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辽宁省盘锦市兴隆台区应急管理局（本级）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辽宁省盘锦市兴隆台区应急管理局（本级）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辽宁省盘锦市兴隆台区应急管理局（本级）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辽宁省盘锦市兴隆台区应急管理局（本级）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辽宁省盘锦市兴隆台区应急管理局（本级）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辽宁省盘锦市兴隆台区应急管理局（本级）概况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（1）负责应急管理工作，指导各街道各部门应对安全生产类、自然灾害类等突发事件和综合防灾减灾救灾工作。负责安全生产综合监督管理和工矿商贸行业安全生产监督管理工作。</w:t>
        <w:br/>
        <w:t xml:space="preserve">    （2）拟订应急管理、安全生产等政策，组织编制全区应急体系建设、安全生产和综合防灾减灾规划。起草相关规范性文件草案，贯彻执行地方规程、标准并监督实施。</w:t>
        <w:br/>
        <w:t xml:space="preserve">    （3）指导应急预案体系建设，建立完善事故灾难和自然灾害分级应对制度，组织编制全区总体应急预案和安全生产类、自然灾害类专项预案，综合协调应急预案衔接工作，组织开展预案演练，推动应急避难设施建设。</w:t>
        <w:br/>
        <w:t xml:space="preserve">    （4）牵头建立统一的应急管理信息系统。负责信息传输渠道的规划和布局，建立监测预警和灾情报告制度，健全自然灾害信息资源获取和共享机制，依法统一发布灾情。</w:t>
        <w:br/>
        <w:t xml:space="preserve">    （5）组织指导协调安全生产类、自然灾害类等突发事件应急救援，综合研判突发事件发展态势并提出应对建议，协助区委、区政府指定的负责同志组织重大灾害应急处置工作，可按程序统筹调度指挥区域范围内监测预警、应急救援资源和力量。</w:t>
        <w:br/>
        <w:t xml:space="preserve">    （6）统一协调指挥各类应急专业队伍，建立应急协调联动机制，推进指挥平台对接，衔接解放军、武警部队和民兵预备役参与应急救援工作。</w:t>
        <w:br/>
        <w:t xml:space="preserve">    （7）统筹应急救援力量建设，负责消防、森林火灾扑救、抗洪抢险、地震和地质灾害救援、生产安全事故救援等应急救援力量建设，指导并推动全区社会应急救援力量建设。</w:t>
        <w:br/>
        <w:t xml:space="preserve">    （8）负责消防工作，指导全区消防监督、火灾预防、火灾扑救等工作。</w:t>
        <w:br/>
        <w:t xml:space="preserve">    （9）指导协调森林火灾、水旱灾害、地震和地质灾害等防治工作，负责自然灾害综合监测预警工作，指导开展自然灾害综合风险评估工作。</w:t>
        <w:br/>
        <w:t xml:space="preserve">    （10）组织协调灾害救助工作，组织指导灾情核查、损失评估、救灾捐赠工作，管理、分配上级下拨救灾款物并监督使用。</w:t>
        <w:br/>
        <w:t xml:space="preserve">    （11）依法行使安全生产综合监督管理职权，指导协调、监督检查区级有关部门和各街道办事处安全生产工作，组织开展安全生产巡查、考核工作。</w:t>
        <w:br/>
        <w:t xml:space="preserve">    （12）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br/>
        <w:t xml:space="preserve">    （13）依法组织指导生产安全事故调查处理，监督事故查处和责任追究落实情况。组织开展自然灾害类突发事件的调查评估工作。</w:t>
        <w:br/>
        <w:t xml:space="preserve">    （14）开展应急管理方面的对外交流与合作。</w:t>
        <w:br/>
        <w:t xml:space="preserve">    （15）制定应急物资储备和应急救援装备规划并组织实施，会同区粮食和物资储备局等部门建立健全应急物资信息平台和调拨制度，在救灾时统一调度。</w:t>
        <w:br/>
        <w:t xml:space="preserve">    （16）负责应急管理、安全生产宣传教育和培训工作，组织指导应急管理、安全生产的科学技术研究、推广应用和信息化建设工作。</w:t>
        <w:br/>
        <w:t xml:space="preserve">    （17）承担辖区铁路无人看守道口（铁路专用线、专用铁路、地方铁路的无人看守道口除外）的安全监督管理工作。</w:t>
        <w:br/>
        <w:t xml:space="preserve">    （18）完成区委、区政府交办的其他任务。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辽宁省盘锦市兴隆台区应急管理局（本级）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（一）综合执法办公室；（二）应急管理执法办公室；（三）危险化学品执法办公室；（四）非煤矿山执法办公室；（五）制造业执法办公室；（六）商贸执法办公室。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262.17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262.17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262.17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减少186.99万元，降低41.63%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减少项目支出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262.17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228.97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87.34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工资福利支出199.51万元；商品和服务支出28.63万元；对个人和家庭的补助0.83万元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12.66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主要包括应急演练、应急预案修订、聘请专家等业务支出。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减少186.99万元，降低41.63%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减少项目支出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262.17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228.97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减少186.99万元，降低41.63%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减少项目支出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84.03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103.98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36.17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2023年度一般公共预算财政拨款支出262.17万元。按支出功能分类科目分，包括：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1.社会保障和就业支出26.11万元，具体包括：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（1）社会保障和就业支出（类）行政事业单位养老支出（款）行政单位离退休（项）0.83万元,主要是退休人员取暖费等支出，完成年初预算的100%，决算数与年初预算数存在差异的主要原因是无。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17.99万元,主要是人员养老保险等支出，完成年初预算的100%，决算数与年初预算数存在差异的主要原因是基数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（3）社会保障和就业支出（类）行政事业单位养老支出（款）机关事业单位职业年金缴费支出（项）7.29万元,主要是退休人员等支出，完成年初预算的100%，决算数与年初预算数存在差异的主要原因是无。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2.卫生健康支出9.33万元，具体包括：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（1）卫生健康支出（类）行政事业单位医疗（款）行政单位医疗（项）6.94万元,主要是人员医疗保险等支出，完成年初预算的100%，决算数与年初预算数存在差异的主要原因是基数调整等。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（2）卫生健康支出（类）行政事业单位医疗（款）公务员医疗补助（项）1.96万元,主要是人员医疗保险等支出，完成年初预算的100%，决算数与年初预算数存在差异的主要原因是基数调整等。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（3）卫生健康支出（类）行政事业单位医疗（款）其他行政事业单位医疗支出（项）0.43万元,主要是人员医疗保险等支出，完成年初预算的100%，决算数与年初预算数存在差异的主要原因是基数调整等。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3.住房保障支出16.22万元，具体包括：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（1）住房保障支出（类）住房改革支出（款）住房公积金（项）16.22万元,主要是公积金缴纳等支出，完成年初预算的100%，决算数与年初预算数存在差异的主要原因是基数调整等。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4.灾害防治及应急管理支出210.51万元，具体包括：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（1）灾害防治及应急管理支出（类）应急管理事务（款）行政运行（项）177.31万元,主要是职工工资、津贴、奖金等支出，完成年初预算的100%，决算数与年初预算数存在差异的主要原因是基数调整。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（2）灾害防治及应急管理支出（类）应急管理事务（款）安全监管（项）7.40万元,主要是综合业务费、特岗保险等支出，完成年初预算的100%，决算数与年初预算数存在差异的主要原因是无。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（3）灾害防治及应急管理支出（类）应急管理事务（款）应急管理（项）7.80万元,主要是应急演练、应急预案等支出，完成年初预算的100%，决算数与年初预算数存在差异的主要原因是无。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（4）灾害防治及应急管理支出（类）应急管理事务（款）其他应急管理支出（项）8.50万元,主要是值班补助等支出，完成年初预算的100%，决算数与年初预算数存在差异的主要原因是无。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类）其他灾害防治及应急管理支出（款）其他灾害防治及应急管理支出（项）9.50万元,主要是化工园区和危险化学品企业安全与环保隐患排查整治工作激励资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减少公务用车，节省费用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35.00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减少公务用车，节省费用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比上年减少0.19万元，降低8.30%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减少公务用车，节省费用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主要用于维修保养等，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228.97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200.34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28.63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28.63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比上年增加1.91万元，增长7.15%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根据预算绩效管理要求，兴隆台区应急管理局组织开展部门（单位）整体绩效自评工作，涉及资金220.2万元，其中财政拨款资金220.2万元，自评得分100分。</w:t>
        <w:br/>
        <w:t xml:space="preserve">详见附件《部门（单位）整体绩效自评表》。</w:t>
        <w:br/>
        <w:t xml:space="preserve">    2.项目绩效自评情况</w:t>
        <w:br/>
        <w:t xml:space="preserve">2023年度，兴隆台区应急管理局对本部门4个项目开展项目绩效自评工作，涉及资金21.05万元，其中财政拨款资金21.05万元，自评覆盖率达到100%，自评平均分60分。</w:t>
        <w:br/>
        <w:t xml:space="preserve">详见附件《预算项目（政策）绩效自评表》。</w:t>
        <w:br/>
        <w:t xml:space="preserve">   3.部门重点评价情况</w:t>
        <w:br/>
        <w:t xml:space="preserve">2023年度，兴隆台区应急管理局未开展部门重点评价工作。</w:t>
        <w:br/>
        <w:t xml:space="preserve">   4.财政重点评价情况</w:t>
        <w:br/>
        <w:t xml:space="preserve">2023年度，兴隆台区财政局未对兴隆台区应急管理局的项目开展财政重点评价工作。良好</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262.17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26.10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210.51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262.17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262.17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262.17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262.17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262.17</w:t>
            </w:r>
          </w:p>
        </w:tc>
        <w:tc>
          <w:tcPr>
            <w:tcW w:w="1160" w:type="dxa"/>
            <w:tcBorders/>
            <w:vAlign w:val="center"/>
          </w:tcPr>
          <w:p>
            <w:pPr>
              <w:jc w:val="right"/>
            </w:pPr>
            <w:r>
              <w:rPr>
                <w:rFonts w:ascii="宋体" w:eastAsia="宋体" w:hAnsi="宋体" w:cs="宋体"/>
                <w:b/>
                <w:i w:val="0"/>
                <w:color w:val="000000"/>
                <w:sz w:val="14"/>
              </w:rPr>
              <w:t xml:space="preserve">262.17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26.11</w:t>
            </w:r>
          </w:p>
        </w:tc>
        <w:tc>
          <w:tcPr>
            <w:tcW w:w="1160" w:type="dxa"/>
            <w:tcBorders/>
            <w:vAlign w:val="center"/>
          </w:tcPr>
          <w:p>
            <w:pPr>
              <w:jc w:val="right"/>
            </w:pPr>
            <w:r>
              <w:rPr>
                <w:rFonts w:ascii="宋体" w:eastAsia="宋体" w:hAnsi="宋体" w:cs="宋体"/>
                <w:b w:val="0"/>
                <w:i w:val="0"/>
                <w:color w:val="000000"/>
                <w:sz w:val="14"/>
              </w:rPr>
              <w:t xml:space="preserve">26.11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26.11</w:t>
            </w:r>
          </w:p>
        </w:tc>
        <w:tc>
          <w:tcPr>
            <w:tcW w:w="1160" w:type="dxa"/>
            <w:tcBorders/>
            <w:vAlign w:val="center"/>
          </w:tcPr>
          <w:p>
            <w:pPr>
              <w:jc w:val="right"/>
            </w:pPr>
            <w:r>
              <w:rPr>
                <w:rFonts w:ascii="宋体" w:eastAsia="宋体" w:hAnsi="宋体" w:cs="宋体"/>
                <w:b w:val="0"/>
                <w:i w:val="0"/>
                <w:color w:val="000000"/>
                <w:sz w:val="14"/>
              </w:rPr>
              <w:t xml:space="preserve">26.11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17.99</w:t>
            </w:r>
          </w:p>
        </w:tc>
        <w:tc>
          <w:tcPr>
            <w:tcW w:w="1160" w:type="dxa"/>
            <w:tcBorders/>
            <w:vAlign w:val="center"/>
          </w:tcPr>
          <w:p>
            <w:pPr>
              <w:jc w:val="right"/>
            </w:pPr>
            <w:r>
              <w:rPr>
                <w:rFonts w:ascii="宋体" w:eastAsia="宋体" w:hAnsi="宋体" w:cs="宋体"/>
                <w:b w:val="0"/>
                <w:i w:val="0"/>
                <w:color w:val="000000"/>
                <w:sz w:val="14"/>
              </w:rPr>
              <w:t xml:space="preserve">17.99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7.29</w:t>
            </w:r>
          </w:p>
        </w:tc>
        <w:tc>
          <w:tcPr>
            <w:tcW w:w="1160" w:type="dxa"/>
            <w:tcBorders/>
            <w:vAlign w:val="center"/>
          </w:tcPr>
          <w:p>
            <w:pPr>
              <w:jc w:val="right"/>
            </w:pPr>
            <w:r>
              <w:rPr>
                <w:rFonts w:ascii="宋体" w:eastAsia="宋体" w:hAnsi="宋体" w:cs="宋体"/>
                <w:b w:val="0"/>
                <w:i w:val="0"/>
                <w:color w:val="000000"/>
                <w:sz w:val="14"/>
              </w:rPr>
              <w:t xml:space="preserve">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9.33</w:t>
            </w:r>
          </w:p>
        </w:tc>
        <w:tc>
          <w:tcPr>
            <w:tcW w:w="1160" w:type="dxa"/>
            <w:tcBorders/>
            <w:vAlign w:val="center"/>
          </w:tcPr>
          <w:p>
            <w:pPr>
              <w:jc w:val="right"/>
            </w:pPr>
            <w:r>
              <w:rPr>
                <w:rFonts w:ascii="宋体" w:eastAsia="宋体" w:hAnsi="宋体" w:cs="宋体"/>
                <w:b w:val="0"/>
                <w:i w:val="0"/>
                <w:color w:val="000000"/>
                <w:sz w:val="14"/>
              </w:rPr>
              <w:t xml:space="preserve">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9.33</w:t>
            </w:r>
          </w:p>
        </w:tc>
        <w:tc>
          <w:tcPr>
            <w:tcW w:w="1160" w:type="dxa"/>
            <w:tcBorders/>
            <w:vAlign w:val="center"/>
          </w:tcPr>
          <w:p>
            <w:pPr>
              <w:jc w:val="right"/>
            </w:pPr>
            <w:r>
              <w:rPr>
                <w:rFonts w:ascii="宋体" w:eastAsia="宋体" w:hAnsi="宋体" w:cs="宋体"/>
                <w:b w:val="0"/>
                <w:i w:val="0"/>
                <w:color w:val="000000"/>
                <w:sz w:val="14"/>
              </w:rPr>
              <w:t xml:space="preserve">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16.22</w:t>
            </w:r>
          </w:p>
        </w:tc>
        <w:tc>
          <w:tcPr>
            <w:tcW w:w="1160" w:type="dxa"/>
            <w:tcBorders/>
            <w:vAlign w:val="center"/>
          </w:tcPr>
          <w:p>
            <w:pPr>
              <w:jc w:val="right"/>
            </w:pPr>
            <w:r>
              <w:rPr>
                <w:rFonts w:ascii="宋体" w:eastAsia="宋体" w:hAnsi="宋体" w:cs="宋体"/>
                <w:b w:val="0"/>
                <w:i w:val="0"/>
                <w:color w:val="000000"/>
                <w:sz w:val="14"/>
              </w:rPr>
              <w:t xml:space="preserve">16.22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16.22</w:t>
            </w:r>
          </w:p>
        </w:tc>
        <w:tc>
          <w:tcPr>
            <w:tcW w:w="1160" w:type="dxa"/>
            <w:tcBorders/>
            <w:vAlign w:val="center"/>
          </w:tcPr>
          <w:p>
            <w:pPr>
              <w:jc w:val="right"/>
            </w:pPr>
            <w:r>
              <w:rPr>
                <w:rFonts w:ascii="宋体" w:eastAsia="宋体" w:hAnsi="宋体" w:cs="宋体"/>
                <w:b w:val="0"/>
                <w:i w:val="0"/>
                <w:color w:val="000000"/>
                <w:sz w:val="14"/>
              </w:rPr>
              <w:t xml:space="preserve">16.22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16.22</w:t>
            </w:r>
          </w:p>
        </w:tc>
        <w:tc>
          <w:tcPr>
            <w:tcW w:w="1160" w:type="dxa"/>
            <w:tcBorders/>
            <w:vAlign w:val="center"/>
          </w:tcPr>
          <w:p>
            <w:pPr>
              <w:jc w:val="right"/>
            </w:pPr>
            <w:r>
              <w:rPr>
                <w:rFonts w:ascii="宋体" w:eastAsia="宋体" w:hAnsi="宋体" w:cs="宋体"/>
                <w:b w:val="0"/>
                <w:i w:val="0"/>
                <w:color w:val="000000"/>
                <w:sz w:val="14"/>
              </w:rPr>
              <w:t xml:space="preserve">16.22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210.51</w:t>
            </w:r>
          </w:p>
        </w:tc>
        <w:tc>
          <w:tcPr>
            <w:tcW w:w="1160" w:type="dxa"/>
            <w:tcBorders/>
            <w:vAlign w:val="center"/>
          </w:tcPr>
          <w:p>
            <w:pPr>
              <w:jc w:val="right"/>
            </w:pPr>
            <w:r>
              <w:rPr>
                <w:rFonts w:ascii="宋体" w:eastAsia="宋体" w:hAnsi="宋体" w:cs="宋体"/>
                <w:b w:val="0"/>
                <w:i w:val="0"/>
                <w:color w:val="000000"/>
                <w:sz w:val="14"/>
              </w:rPr>
              <w:t xml:space="preserve">210.51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201.01</w:t>
            </w:r>
          </w:p>
        </w:tc>
        <w:tc>
          <w:tcPr>
            <w:tcW w:w="1160" w:type="dxa"/>
            <w:tcBorders/>
            <w:vAlign w:val="center"/>
          </w:tcPr>
          <w:p>
            <w:pPr>
              <w:jc w:val="right"/>
            </w:pPr>
            <w:r>
              <w:rPr>
                <w:rFonts w:ascii="宋体" w:eastAsia="宋体" w:hAnsi="宋体" w:cs="宋体"/>
                <w:b w:val="0"/>
                <w:i w:val="0"/>
                <w:color w:val="000000"/>
                <w:sz w:val="14"/>
              </w:rPr>
              <w:t xml:space="preserve">201.01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177.31</w:t>
            </w:r>
          </w:p>
        </w:tc>
        <w:tc>
          <w:tcPr>
            <w:tcW w:w="1160" w:type="dxa"/>
            <w:tcBorders/>
            <w:vAlign w:val="center"/>
          </w:tcPr>
          <w:p>
            <w:pPr>
              <w:jc w:val="right"/>
            </w:pPr>
            <w:r>
              <w:rPr>
                <w:rFonts w:ascii="宋体" w:eastAsia="宋体" w:hAnsi="宋体" w:cs="宋体"/>
                <w:b w:val="0"/>
                <w:i w:val="0"/>
                <w:color w:val="000000"/>
                <w:sz w:val="14"/>
              </w:rPr>
              <w:t xml:space="preserve">177.31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安全监管</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其他灾害防治及应急管理支出</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其他灾害防治及应急管理支出</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262.17</w:t>
            </w:r>
          </w:p>
        </w:tc>
        <w:tc>
          <w:tcPr>
            <w:tcW w:w="1120" w:type="dxa"/>
            <w:tcBorders/>
            <w:vAlign w:val="center"/>
          </w:tcPr>
          <w:p>
            <w:pPr>
              <w:jc w:val="right"/>
            </w:pPr>
            <w:r>
              <w:rPr>
                <w:rFonts w:ascii="宋体" w:eastAsia="宋体" w:hAnsi="宋体" w:cs="宋体"/>
                <w:b/>
                <w:i w:val="0"/>
                <w:color w:val="000000"/>
                <w:sz w:val="16"/>
              </w:rPr>
              <w:t xml:space="preserve">228.97</w:t>
            </w:r>
          </w:p>
        </w:tc>
        <w:tc>
          <w:tcPr>
            <w:tcW w:w="1120" w:type="dxa"/>
            <w:tcBorders/>
            <w:vAlign w:val="center"/>
          </w:tcPr>
          <w:p>
            <w:pPr>
              <w:jc w:val="right"/>
            </w:pPr>
            <w:r>
              <w:rPr>
                <w:rFonts w:ascii="宋体" w:eastAsia="宋体" w:hAnsi="宋体" w:cs="宋体"/>
                <w:b/>
                <w:i w:val="0"/>
                <w:color w:val="000000"/>
                <w:sz w:val="16"/>
              </w:rPr>
              <w:t xml:space="preserve">33.20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26.11</w:t>
            </w:r>
          </w:p>
        </w:tc>
        <w:tc>
          <w:tcPr>
            <w:tcW w:w="1120" w:type="dxa"/>
            <w:tcBorders/>
            <w:vAlign w:val="center"/>
          </w:tcPr>
          <w:p>
            <w:pPr>
              <w:jc w:val="right"/>
            </w:pPr>
            <w:r>
              <w:rPr>
                <w:rFonts w:ascii="宋体" w:eastAsia="宋体" w:hAnsi="宋体" w:cs="宋体"/>
                <w:b w:val="0"/>
                <w:i w:val="0"/>
                <w:color w:val="000000"/>
                <w:sz w:val="16"/>
              </w:rPr>
              <w:t xml:space="preserve">26.11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26.11</w:t>
            </w:r>
          </w:p>
        </w:tc>
        <w:tc>
          <w:tcPr>
            <w:tcW w:w="1120" w:type="dxa"/>
            <w:tcBorders/>
            <w:vAlign w:val="center"/>
          </w:tcPr>
          <w:p>
            <w:pPr>
              <w:jc w:val="right"/>
            </w:pPr>
            <w:r>
              <w:rPr>
                <w:rFonts w:ascii="宋体" w:eastAsia="宋体" w:hAnsi="宋体" w:cs="宋体"/>
                <w:b w:val="0"/>
                <w:i w:val="0"/>
                <w:color w:val="000000"/>
                <w:sz w:val="16"/>
              </w:rPr>
              <w:t xml:space="preserve">26.11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17.99</w:t>
            </w:r>
          </w:p>
        </w:tc>
        <w:tc>
          <w:tcPr>
            <w:tcW w:w="1120" w:type="dxa"/>
            <w:tcBorders/>
            <w:vAlign w:val="center"/>
          </w:tcPr>
          <w:p>
            <w:pPr>
              <w:jc w:val="right"/>
            </w:pPr>
            <w:r>
              <w:rPr>
                <w:rFonts w:ascii="宋体" w:eastAsia="宋体" w:hAnsi="宋体" w:cs="宋体"/>
                <w:b w:val="0"/>
                <w:i w:val="0"/>
                <w:color w:val="000000"/>
                <w:sz w:val="16"/>
              </w:rPr>
              <w:t xml:space="preserve">17.99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7.29</w:t>
            </w:r>
          </w:p>
        </w:tc>
        <w:tc>
          <w:tcPr>
            <w:tcW w:w="1120" w:type="dxa"/>
            <w:tcBorders/>
            <w:vAlign w:val="center"/>
          </w:tcPr>
          <w:p>
            <w:pPr>
              <w:jc w:val="right"/>
            </w:pPr>
            <w:r>
              <w:rPr>
                <w:rFonts w:ascii="宋体" w:eastAsia="宋体" w:hAnsi="宋体" w:cs="宋体"/>
                <w:b w:val="0"/>
                <w:i w:val="0"/>
                <w:color w:val="000000"/>
                <w:sz w:val="16"/>
              </w:rPr>
              <w:t xml:space="preserve">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9.33</w:t>
            </w:r>
          </w:p>
        </w:tc>
        <w:tc>
          <w:tcPr>
            <w:tcW w:w="1120" w:type="dxa"/>
            <w:tcBorders/>
            <w:vAlign w:val="center"/>
          </w:tcPr>
          <w:p>
            <w:pPr>
              <w:jc w:val="right"/>
            </w:pPr>
            <w:r>
              <w:rPr>
                <w:rFonts w:ascii="宋体" w:eastAsia="宋体" w:hAnsi="宋体" w:cs="宋体"/>
                <w:b w:val="0"/>
                <w:i w:val="0"/>
                <w:color w:val="000000"/>
                <w:sz w:val="16"/>
              </w:rPr>
              <w:t xml:space="preserve">9.33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9.33</w:t>
            </w:r>
          </w:p>
        </w:tc>
        <w:tc>
          <w:tcPr>
            <w:tcW w:w="1120" w:type="dxa"/>
            <w:tcBorders/>
            <w:vAlign w:val="center"/>
          </w:tcPr>
          <w:p>
            <w:pPr>
              <w:jc w:val="right"/>
            </w:pPr>
            <w:r>
              <w:rPr>
                <w:rFonts w:ascii="宋体" w:eastAsia="宋体" w:hAnsi="宋体" w:cs="宋体"/>
                <w:b w:val="0"/>
                <w:i w:val="0"/>
                <w:color w:val="000000"/>
                <w:sz w:val="16"/>
              </w:rPr>
              <w:t xml:space="preserve">9.33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6.94</w:t>
            </w:r>
          </w:p>
        </w:tc>
        <w:tc>
          <w:tcPr>
            <w:tcW w:w="1120" w:type="dxa"/>
            <w:tcBorders/>
            <w:vAlign w:val="center"/>
          </w:tcPr>
          <w:p>
            <w:pPr>
              <w:jc w:val="right"/>
            </w:pPr>
            <w:r>
              <w:rPr>
                <w:rFonts w:ascii="宋体" w:eastAsia="宋体" w:hAnsi="宋体" w:cs="宋体"/>
                <w:b w:val="0"/>
                <w:i w:val="0"/>
                <w:color w:val="000000"/>
                <w:sz w:val="16"/>
              </w:rPr>
              <w:t xml:space="preserve">6.94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16.22</w:t>
            </w:r>
          </w:p>
        </w:tc>
        <w:tc>
          <w:tcPr>
            <w:tcW w:w="1120" w:type="dxa"/>
            <w:tcBorders/>
            <w:vAlign w:val="center"/>
          </w:tcPr>
          <w:p>
            <w:pPr>
              <w:jc w:val="right"/>
            </w:pPr>
            <w:r>
              <w:rPr>
                <w:rFonts w:ascii="宋体" w:eastAsia="宋体" w:hAnsi="宋体" w:cs="宋体"/>
                <w:b w:val="0"/>
                <w:i w:val="0"/>
                <w:color w:val="000000"/>
                <w:sz w:val="16"/>
              </w:rPr>
              <w:t xml:space="preserve">16.22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16.22</w:t>
            </w:r>
          </w:p>
        </w:tc>
        <w:tc>
          <w:tcPr>
            <w:tcW w:w="1120" w:type="dxa"/>
            <w:tcBorders/>
            <w:vAlign w:val="center"/>
          </w:tcPr>
          <w:p>
            <w:pPr>
              <w:jc w:val="right"/>
            </w:pPr>
            <w:r>
              <w:rPr>
                <w:rFonts w:ascii="宋体" w:eastAsia="宋体" w:hAnsi="宋体" w:cs="宋体"/>
                <w:b w:val="0"/>
                <w:i w:val="0"/>
                <w:color w:val="000000"/>
                <w:sz w:val="16"/>
              </w:rPr>
              <w:t xml:space="preserve">16.22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16.22</w:t>
            </w:r>
          </w:p>
        </w:tc>
        <w:tc>
          <w:tcPr>
            <w:tcW w:w="1120" w:type="dxa"/>
            <w:tcBorders/>
            <w:vAlign w:val="center"/>
          </w:tcPr>
          <w:p>
            <w:pPr>
              <w:jc w:val="right"/>
            </w:pPr>
            <w:r>
              <w:rPr>
                <w:rFonts w:ascii="宋体" w:eastAsia="宋体" w:hAnsi="宋体" w:cs="宋体"/>
                <w:b w:val="0"/>
                <w:i w:val="0"/>
                <w:color w:val="000000"/>
                <w:sz w:val="16"/>
              </w:rPr>
              <w:t xml:space="preserve">16.22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210.51</w:t>
            </w:r>
          </w:p>
        </w:tc>
        <w:tc>
          <w:tcPr>
            <w:tcW w:w="1120" w:type="dxa"/>
            <w:tcBorders/>
            <w:vAlign w:val="center"/>
          </w:tcPr>
          <w:p>
            <w:pPr>
              <w:jc w:val="right"/>
            </w:pPr>
            <w:r>
              <w:rPr>
                <w:rFonts w:ascii="宋体" w:eastAsia="宋体" w:hAnsi="宋体" w:cs="宋体"/>
                <w:b w:val="0"/>
                <w:i w:val="0"/>
                <w:color w:val="000000"/>
                <w:sz w:val="16"/>
              </w:rPr>
              <w:t xml:space="preserve">177.31</w:t>
            </w:r>
          </w:p>
        </w:tc>
        <w:tc>
          <w:tcPr>
            <w:tcW w:w="1120" w:type="dxa"/>
            <w:tcBorders/>
            <w:vAlign w:val="center"/>
          </w:tcPr>
          <w:p>
            <w:pPr>
              <w:jc w:val="right"/>
            </w:pPr>
            <w:r>
              <w:rPr>
                <w:rFonts w:ascii="宋体" w:eastAsia="宋体" w:hAnsi="宋体" w:cs="宋体"/>
                <w:b w:val="0"/>
                <w:i w:val="0"/>
                <w:color w:val="000000"/>
                <w:sz w:val="16"/>
              </w:rPr>
              <w:t xml:space="preserve">33.20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201.01</w:t>
            </w:r>
          </w:p>
        </w:tc>
        <w:tc>
          <w:tcPr>
            <w:tcW w:w="1120" w:type="dxa"/>
            <w:tcBorders/>
            <w:vAlign w:val="center"/>
          </w:tcPr>
          <w:p>
            <w:pPr>
              <w:jc w:val="right"/>
            </w:pPr>
            <w:r>
              <w:rPr>
                <w:rFonts w:ascii="宋体" w:eastAsia="宋体" w:hAnsi="宋体" w:cs="宋体"/>
                <w:b w:val="0"/>
                <w:i w:val="0"/>
                <w:color w:val="000000"/>
                <w:sz w:val="16"/>
              </w:rPr>
              <w:t xml:space="preserve">177.31</w:t>
            </w:r>
          </w:p>
        </w:tc>
        <w:tc>
          <w:tcPr>
            <w:tcW w:w="1120" w:type="dxa"/>
            <w:tcBorders/>
            <w:vAlign w:val="center"/>
          </w:tcPr>
          <w:p>
            <w:pPr>
              <w:jc w:val="right"/>
            </w:pPr>
            <w:r>
              <w:rPr>
                <w:rFonts w:ascii="宋体" w:eastAsia="宋体" w:hAnsi="宋体" w:cs="宋体"/>
                <w:b w:val="0"/>
                <w:i w:val="0"/>
                <w:color w:val="000000"/>
                <w:sz w:val="16"/>
              </w:rPr>
              <w:t xml:space="preserve">23.70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177.31</w:t>
            </w:r>
          </w:p>
        </w:tc>
        <w:tc>
          <w:tcPr>
            <w:tcW w:w="1120" w:type="dxa"/>
            <w:tcBorders/>
            <w:vAlign w:val="center"/>
          </w:tcPr>
          <w:p>
            <w:pPr>
              <w:jc w:val="right"/>
            </w:pPr>
            <w:r>
              <w:rPr>
                <w:rFonts w:ascii="宋体" w:eastAsia="宋体" w:hAnsi="宋体" w:cs="宋体"/>
                <w:b w:val="0"/>
                <w:i w:val="0"/>
                <w:color w:val="000000"/>
                <w:sz w:val="16"/>
              </w:rPr>
              <w:t xml:space="preserve">177.31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安全监管</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w:t>
            </w: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其他灾害防治及应急管理支出</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其他灾害防治及应急管理支出</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26.10</w:t>
            </w:r>
          </w:p>
        </w:tc>
        <w:tc>
          <w:tcPr>
            <w:tcW w:w="1100" w:type="dxa"/>
            <w:tcBorders/>
            <w:vAlign w:val="center"/>
          </w:tcPr>
          <w:p>
            <w:pPr>
              <w:jc w:val="right"/>
            </w:pPr>
            <w:r>
              <w:rPr>
                <w:rFonts w:ascii="宋体" w:eastAsia="宋体" w:hAnsi="宋体" w:cs="宋体"/>
                <w:b w:val="0"/>
                <w:i w:val="0"/>
                <w:color w:val="000000"/>
                <w:sz w:val="14"/>
              </w:rPr>
              <w:t xml:space="preserve">26.10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9.33</w:t>
            </w:r>
          </w:p>
        </w:tc>
        <w:tc>
          <w:tcPr>
            <w:tcW w:w="1100" w:type="dxa"/>
            <w:tcBorders/>
            <w:vAlign w:val="center"/>
          </w:tcPr>
          <w:p>
            <w:pPr>
              <w:jc w:val="right"/>
            </w:pPr>
            <w:r>
              <w:rPr>
                <w:rFonts w:ascii="宋体" w:eastAsia="宋体" w:hAnsi="宋体" w:cs="宋体"/>
                <w:b w:val="0"/>
                <w:i w:val="0"/>
                <w:color w:val="000000"/>
                <w:sz w:val="14"/>
              </w:rPr>
              <w:t xml:space="preserve">9.33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16.22</w:t>
            </w:r>
          </w:p>
        </w:tc>
        <w:tc>
          <w:tcPr>
            <w:tcW w:w="1100" w:type="dxa"/>
            <w:tcBorders/>
            <w:vAlign w:val="center"/>
          </w:tcPr>
          <w:p>
            <w:pPr>
              <w:jc w:val="right"/>
            </w:pPr>
            <w:r>
              <w:rPr>
                <w:rFonts w:ascii="宋体" w:eastAsia="宋体" w:hAnsi="宋体" w:cs="宋体"/>
                <w:b w:val="0"/>
                <w:i w:val="0"/>
                <w:color w:val="000000"/>
                <w:sz w:val="14"/>
              </w:rPr>
              <w:t xml:space="preserve">16.22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210.51</w:t>
            </w:r>
          </w:p>
        </w:tc>
        <w:tc>
          <w:tcPr>
            <w:tcW w:w="1100" w:type="dxa"/>
            <w:tcBorders/>
            <w:vAlign w:val="center"/>
          </w:tcPr>
          <w:p>
            <w:pPr>
              <w:jc w:val="right"/>
            </w:pPr>
            <w:r>
              <w:rPr>
                <w:rFonts w:ascii="宋体" w:eastAsia="宋体" w:hAnsi="宋体" w:cs="宋体"/>
                <w:b w:val="0"/>
                <w:i w:val="0"/>
                <w:color w:val="000000"/>
                <w:sz w:val="14"/>
              </w:rPr>
              <w:t xml:space="preserve">210.51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1100" w:type="dxa"/>
            <w:tcBorders/>
            <w:vAlign w:val="center"/>
          </w:tcPr>
          <w:p>
            <w:pPr>
              <w:jc w:val="right"/>
            </w:pPr>
            <w:r>
              <w:rPr>
                <w:rFonts w:ascii="宋体" w:eastAsia="宋体" w:hAnsi="宋体" w:cs="宋体"/>
                <w:b w:val="0"/>
                <w:i w:val="0"/>
                <w:color w:val="000000"/>
                <w:sz w:val="14"/>
              </w:rPr>
              <w:t xml:space="preserve">262.17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262.17</w:t>
            </w:r>
          </w:p>
        </w:tc>
        <w:tc>
          <w:tcPr>
            <w:tcW w:w="1980" w:type="dxa"/>
            <w:tcBorders/>
            <w:vAlign w:val="center"/>
          </w:tcPr>
          <w:p>
            <w:pPr>
              <w:jc w:val="right"/>
            </w:pPr>
            <w:r>
              <w:rPr>
                <w:rFonts w:ascii="宋体" w:eastAsia="宋体" w:hAnsi="宋体" w:cs="宋体"/>
                <w:b/>
                <w:i w:val="0"/>
                <w:color w:val="000000"/>
                <w:sz w:val="20"/>
              </w:rPr>
              <w:t xml:space="preserve">228.97</w:t>
            </w:r>
          </w:p>
        </w:tc>
        <w:tc>
          <w:tcPr>
            <w:tcW w:w="1952" w:type="dxa"/>
            <w:tcBorders/>
            <w:vAlign w:val="center"/>
          </w:tcPr>
          <w:p>
            <w:pPr>
              <w:jc w:val="right"/>
            </w:pPr>
            <w:r>
              <w:rPr>
                <w:rFonts w:ascii="宋体" w:eastAsia="宋体" w:hAnsi="宋体" w:cs="宋体"/>
                <w:b/>
                <w:i w:val="0"/>
                <w:color w:val="000000"/>
                <w:sz w:val="20"/>
              </w:rPr>
              <w:t xml:space="preserve">33.20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26.11</w:t>
            </w:r>
          </w:p>
        </w:tc>
        <w:tc>
          <w:tcPr>
            <w:tcW w:w="1980" w:type="dxa"/>
            <w:tcBorders/>
            <w:vAlign w:val="center"/>
          </w:tcPr>
          <w:p>
            <w:pPr>
              <w:jc w:val="right"/>
            </w:pPr>
            <w:r>
              <w:rPr>
                <w:rFonts w:ascii="宋体" w:eastAsia="宋体" w:hAnsi="宋体" w:cs="宋体"/>
                <w:b w:val="0"/>
                <w:i w:val="0"/>
                <w:color w:val="000000"/>
                <w:sz w:val="20"/>
              </w:rPr>
              <w:t xml:space="preserve">26.11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26.11</w:t>
            </w:r>
          </w:p>
        </w:tc>
        <w:tc>
          <w:tcPr>
            <w:tcW w:w="1980" w:type="dxa"/>
            <w:tcBorders/>
            <w:vAlign w:val="center"/>
          </w:tcPr>
          <w:p>
            <w:pPr>
              <w:jc w:val="right"/>
            </w:pPr>
            <w:r>
              <w:rPr>
                <w:rFonts w:ascii="宋体" w:eastAsia="宋体" w:hAnsi="宋体" w:cs="宋体"/>
                <w:b w:val="0"/>
                <w:i w:val="0"/>
                <w:color w:val="000000"/>
                <w:sz w:val="20"/>
              </w:rPr>
              <w:t xml:space="preserve">26.11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17.99</w:t>
            </w:r>
          </w:p>
        </w:tc>
        <w:tc>
          <w:tcPr>
            <w:tcW w:w="1980" w:type="dxa"/>
            <w:tcBorders/>
            <w:vAlign w:val="center"/>
          </w:tcPr>
          <w:p>
            <w:pPr>
              <w:jc w:val="right"/>
            </w:pPr>
            <w:r>
              <w:rPr>
                <w:rFonts w:ascii="宋体" w:eastAsia="宋体" w:hAnsi="宋体" w:cs="宋体"/>
                <w:b w:val="0"/>
                <w:i w:val="0"/>
                <w:color w:val="000000"/>
                <w:sz w:val="20"/>
              </w:rPr>
              <w:t xml:space="preserve">17.99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7.29</w:t>
            </w:r>
          </w:p>
        </w:tc>
        <w:tc>
          <w:tcPr>
            <w:tcW w:w="1980" w:type="dxa"/>
            <w:tcBorders/>
            <w:vAlign w:val="center"/>
          </w:tcPr>
          <w:p>
            <w:pPr>
              <w:jc w:val="right"/>
            </w:pPr>
            <w:r>
              <w:rPr>
                <w:rFonts w:ascii="宋体" w:eastAsia="宋体" w:hAnsi="宋体" w:cs="宋体"/>
                <w:b w:val="0"/>
                <w:i w:val="0"/>
                <w:color w:val="000000"/>
                <w:sz w:val="20"/>
              </w:rPr>
              <w:t xml:space="preserve">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9.33</w:t>
            </w:r>
          </w:p>
        </w:tc>
        <w:tc>
          <w:tcPr>
            <w:tcW w:w="1980" w:type="dxa"/>
            <w:tcBorders/>
            <w:vAlign w:val="center"/>
          </w:tcPr>
          <w:p>
            <w:pPr>
              <w:jc w:val="right"/>
            </w:pPr>
            <w:r>
              <w:rPr>
                <w:rFonts w:ascii="宋体" w:eastAsia="宋体" w:hAnsi="宋体" w:cs="宋体"/>
                <w:b w:val="0"/>
                <w:i w:val="0"/>
                <w:color w:val="000000"/>
                <w:sz w:val="20"/>
              </w:rPr>
              <w:t xml:space="preserve">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9.33</w:t>
            </w:r>
          </w:p>
        </w:tc>
        <w:tc>
          <w:tcPr>
            <w:tcW w:w="1980" w:type="dxa"/>
            <w:tcBorders/>
            <w:vAlign w:val="center"/>
          </w:tcPr>
          <w:p>
            <w:pPr>
              <w:jc w:val="right"/>
            </w:pPr>
            <w:r>
              <w:rPr>
                <w:rFonts w:ascii="宋体" w:eastAsia="宋体" w:hAnsi="宋体" w:cs="宋体"/>
                <w:b w:val="0"/>
                <w:i w:val="0"/>
                <w:color w:val="000000"/>
                <w:sz w:val="20"/>
              </w:rPr>
              <w:t xml:space="preserve">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6.94</w:t>
            </w:r>
          </w:p>
        </w:tc>
        <w:tc>
          <w:tcPr>
            <w:tcW w:w="1980" w:type="dxa"/>
            <w:tcBorders/>
            <w:vAlign w:val="center"/>
          </w:tcPr>
          <w:p>
            <w:pPr>
              <w:jc w:val="right"/>
            </w:pPr>
            <w:r>
              <w:rPr>
                <w:rFonts w:ascii="宋体" w:eastAsia="宋体" w:hAnsi="宋体" w:cs="宋体"/>
                <w:b w:val="0"/>
                <w:i w:val="0"/>
                <w:color w:val="000000"/>
                <w:sz w:val="20"/>
              </w:rPr>
              <w:t xml:space="preserve">6.94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16.22</w:t>
            </w:r>
          </w:p>
        </w:tc>
        <w:tc>
          <w:tcPr>
            <w:tcW w:w="1980" w:type="dxa"/>
            <w:tcBorders/>
            <w:vAlign w:val="center"/>
          </w:tcPr>
          <w:p>
            <w:pPr>
              <w:jc w:val="right"/>
            </w:pPr>
            <w:r>
              <w:rPr>
                <w:rFonts w:ascii="宋体" w:eastAsia="宋体" w:hAnsi="宋体" w:cs="宋体"/>
                <w:b w:val="0"/>
                <w:i w:val="0"/>
                <w:color w:val="000000"/>
                <w:sz w:val="20"/>
              </w:rPr>
              <w:t xml:space="preserve">16.22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16.22</w:t>
            </w:r>
          </w:p>
        </w:tc>
        <w:tc>
          <w:tcPr>
            <w:tcW w:w="1980" w:type="dxa"/>
            <w:tcBorders/>
            <w:vAlign w:val="center"/>
          </w:tcPr>
          <w:p>
            <w:pPr>
              <w:jc w:val="right"/>
            </w:pPr>
            <w:r>
              <w:rPr>
                <w:rFonts w:ascii="宋体" w:eastAsia="宋体" w:hAnsi="宋体" w:cs="宋体"/>
                <w:b w:val="0"/>
                <w:i w:val="0"/>
                <w:color w:val="000000"/>
                <w:sz w:val="20"/>
              </w:rPr>
              <w:t xml:space="preserve">16.22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16.22</w:t>
            </w:r>
          </w:p>
        </w:tc>
        <w:tc>
          <w:tcPr>
            <w:tcW w:w="1980" w:type="dxa"/>
            <w:tcBorders/>
            <w:vAlign w:val="center"/>
          </w:tcPr>
          <w:p>
            <w:pPr>
              <w:jc w:val="right"/>
            </w:pPr>
            <w:r>
              <w:rPr>
                <w:rFonts w:ascii="宋体" w:eastAsia="宋体" w:hAnsi="宋体" w:cs="宋体"/>
                <w:b w:val="0"/>
                <w:i w:val="0"/>
                <w:color w:val="000000"/>
                <w:sz w:val="20"/>
              </w:rPr>
              <w:t xml:space="preserve">16.22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210.51</w:t>
            </w:r>
          </w:p>
        </w:tc>
        <w:tc>
          <w:tcPr>
            <w:tcW w:w="1980" w:type="dxa"/>
            <w:tcBorders/>
            <w:vAlign w:val="center"/>
          </w:tcPr>
          <w:p>
            <w:pPr>
              <w:jc w:val="right"/>
            </w:pPr>
            <w:r>
              <w:rPr>
                <w:rFonts w:ascii="宋体" w:eastAsia="宋体" w:hAnsi="宋体" w:cs="宋体"/>
                <w:b w:val="0"/>
                <w:i w:val="0"/>
                <w:color w:val="000000"/>
                <w:sz w:val="20"/>
              </w:rPr>
              <w:t xml:space="preserve">177.31</w:t>
            </w:r>
          </w:p>
        </w:tc>
        <w:tc>
          <w:tcPr>
            <w:tcW w:w="1952" w:type="dxa"/>
            <w:tcBorders/>
            <w:vAlign w:val="center"/>
          </w:tcPr>
          <w:p>
            <w:pPr>
              <w:jc w:val="right"/>
            </w:pPr>
            <w:r>
              <w:rPr>
                <w:rFonts w:ascii="宋体" w:eastAsia="宋体" w:hAnsi="宋体" w:cs="宋体"/>
                <w:b w:val="0"/>
                <w:i w:val="0"/>
                <w:color w:val="000000"/>
                <w:sz w:val="20"/>
              </w:rPr>
              <w:t xml:space="preserve">33.20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201.01</w:t>
            </w:r>
          </w:p>
        </w:tc>
        <w:tc>
          <w:tcPr>
            <w:tcW w:w="1980" w:type="dxa"/>
            <w:tcBorders/>
            <w:vAlign w:val="center"/>
          </w:tcPr>
          <w:p>
            <w:pPr>
              <w:jc w:val="right"/>
            </w:pPr>
            <w:r>
              <w:rPr>
                <w:rFonts w:ascii="宋体" w:eastAsia="宋体" w:hAnsi="宋体" w:cs="宋体"/>
                <w:b w:val="0"/>
                <w:i w:val="0"/>
                <w:color w:val="000000"/>
                <w:sz w:val="20"/>
              </w:rPr>
              <w:t xml:space="preserve">177.31</w:t>
            </w:r>
          </w:p>
        </w:tc>
        <w:tc>
          <w:tcPr>
            <w:tcW w:w="1952" w:type="dxa"/>
            <w:tcBorders/>
            <w:vAlign w:val="center"/>
          </w:tcPr>
          <w:p>
            <w:pPr>
              <w:jc w:val="right"/>
            </w:pPr>
            <w:r>
              <w:rPr>
                <w:rFonts w:ascii="宋体" w:eastAsia="宋体" w:hAnsi="宋体" w:cs="宋体"/>
                <w:b w:val="0"/>
                <w:i w:val="0"/>
                <w:color w:val="000000"/>
                <w:sz w:val="20"/>
              </w:rPr>
              <w:t xml:space="preserve">23.70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177.31</w:t>
            </w:r>
          </w:p>
        </w:tc>
        <w:tc>
          <w:tcPr>
            <w:tcW w:w="1980" w:type="dxa"/>
            <w:tcBorders/>
            <w:vAlign w:val="center"/>
          </w:tcPr>
          <w:p>
            <w:pPr>
              <w:jc w:val="right"/>
            </w:pPr>
            <w:r>
              <w:rPr>
                <w:rFonts w:ascii="宋体" w:eastAsia="宋体" w:hAnsi="宋体" w:cs="宋体"/>
                <w:b w:val="0"/>
                <w:i w:val="0"/>
                <w:color w:val="000000"/>
                <w:sz w:val="20"/>
              </w:rPr>
              <w:t xml:space="preserve">177.31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安全监管</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w:t>
            </w:r>
          </w:p>
        </w:tc>
        <w:tc>
          <w:tcPr>
            <w:tcW w:w="1980" w:type="dxa"/>
            <w:tcBorders/>
            <w:vAlign w:val="center"/>
          </w:tcPr>
          <w:p>
            <w:pPr>
              <w:jc w:val="right"/>
            </w:pPr>
            <w:r>
              <w:rPr>
                <w:rFonts w:ascii="宋体" w:eastAsia="宋体" w:hAnsi="宋体" w:cs="宋体"/>
                <w:b w:val="0"/>
                <w:i w:val="0"/>
                <w:color w:val="000000"/>
                <w:sz w:val="20"/>
              </w:rPr>
              <w:t xml:space="preserve">7.80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其他灾害防治及应急管理支出</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其他灾害防治及应急管理支出</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199.51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28.63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58.99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5.26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42.49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47.19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17.99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7.29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1.96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16.22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3.06</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9.93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8.13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200.34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28.63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2.10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2.10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2.10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345011辽宁省盘锦市兴隆台区应急管理局(本级)-211103000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9.57165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164.240558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164.24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46.0294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8.1306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全面完成2023年应急管理工作。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全面完成2023年应急管理工作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有利于发扬民主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全面发扬</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受益企业满意度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盘锦市兴隆台区应急管理局，将进一步加强对绩效自评结果的应用，将绩效自评结果作为预算安排。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9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