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辽宁省盘锦市兴隆台区科学技术局</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辽宁省盘锦市兴隆台区科学技术局</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辽宁省盘锦市兴隆台区科学技术局</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辽宁省盘锦市兴隆台区科学技术局</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辽宁省盘锦市兴隆台区科学技术局</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6"/>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辽宁省盘锦市兴隆台区科学技术局概况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both"/>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盘锦市兴隆台区科学技术局是区政府工作部门,为正科级,加挂盘锦市兴隆台区外国专家局牌子。拟订全区创新驱动发展、科技发展、引进国外智力规划和政策,起草区政府规范性文件并组织实施；统筹推进全区创新体系建设和科技体制改革,会同有关 部门健全技术创新激励机制。优化科研体系建设,负责研发平台建设和管理工作,指导科研机构改革发展,承担推进科技军民融 合发展相关工作,推进全区重大科技决策咨询制度建设。开展创新主体培育,提升企业科技创新能力,大力培育高新技术企业、科技型中小企业、创新型领军企业；牵头建立统一的区科技管理平台和科研项目资金协调、评估、监管机制。会同有关部门提出优化配置科技资源的政策措施建议,推动多元化科技投入体系建设,协调管理区财政科技计划(专项、基金等)并监督实施。</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辽宁省盘锦市兴隆台区科学技术局</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盘锦市兴隆台区科学技术局属于行政单位，下设局属事业股级单位-盘锦市兴隆台区科技创新中心。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199.82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199.82</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199.82</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增加115.65万元，增长137.39%</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在于成立事业单位科技创新中心6人工资、养老保险、医疗保险、住房公积金等因素</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199.82</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128.99</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64.55</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工资福利支出119.19万元；商品和服务支出9.28万元；对个人和家庭的补助0.13万元；资本性支出0.38万元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70.84</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35.45</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主要包括中小型企业培育、科技扶持与科技发展等业务支出。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增加115.65万元，增长137.39%</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在于下属事业单位科技创新中心6人工资、养老保险、医疗保险、住房公积金等因素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年底无结转</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199.82</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128.99</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70.84</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增加115.65万元，增长137.39%</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成立下属事业单位人员工资、保险、公积金等因素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93.81</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112.15</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72.28</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2023年度一般公共预算财政拨款支出199.82万元。按支出功能分类科目分，包括：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1.科学技术支出170.37万元，具体包括：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（1）科学技术支出（类）科学技术管理事务（款）行政运行（项）99.36万元,主要是职工工资等支出，完成年初预算的100%，决算数与年初预算数存在差异的主要原因是无差异。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科学技术支出（类）科学技术管理事务（款）一般行政管理事务（项）0.84万元,主要是科技成果对接与交流；开展科技宣传、科学技术普及活动等支出，完成年初预算的10%，决算数与年初预算数存在差异的主要原因是宣传力度还需加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科学技术支出（类）科学技术管理事务（款）其他科学技术管理事务支出（项）70.17万元,主要是重大科技专项研发、科技成果转化、高新技术企业培育、创新载体培育、农业科技计划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2.社会保障和就业支出12.25万元，具体包括：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机关事业单位基本养老保险缴费支出（项）12.25万元,主要是职工养老保险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3.卫生健康支出6.16万元，具体包括：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（1）卫生健康支出（类）行政事业单位医疗（款）行政单位医疗（项）4.63万元,主要是职工医疗保险等支出，完成年初预算的100%，决算数与年初预算数存在差异的主要原因是无差异。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（2）卫生健康支出（类）行政事业单位医疗（款）公务员医疗补助（项）1.31万元,主要是职工公务员医疗补助金等支出，完成年初预算的100%，决算数与年初预算数存在差异的主要原因是无差异。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（3）卫生健康支出（类）行政事业单位医疗（款）其他行政事业单位医疗支出（项）0.22万元,主要是职工大额医疗等支出，完成年初预算的100%，决算数与年初预算数存在差异的主要原因是无差异。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4.住房保障支出11.06万元，具体包括：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（1）住房保障支出（类）住房改革支出（款）住房公积金（项）11.06万元,主要是职工住房公积金等支出，完成年初预算的100%，决算数与年初预算数存在差异的主要原因是无差异。</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both"/>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128.98</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119.32</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9.66</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9.66</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比上年增加2.88万元，增长42.48%</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下属事业单位增加两名职工</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both"/>
        <w:rPr>
          <w:rFonts w:ascii="仿宋_GB2312" w:eastAsia="宋体" w:hint="eastAsia"/>
          <w:b/>
          <w:bCs/>
          <w:sz w:val="32"/>
          <w:szCs w:val="32"/>
          <w:lang w:val="en-US" w:eastAsia="zh-CN"/>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1.部门整体绩效自评情况</w:t>
        <w:br/>
        <w:t xml:space="preserve">根据预算绩效管理要求，兴隆台区科学技术局组织开展部门（单位）整体绩效自评工作，涉及资金115.01万元，其中财政拨款资金115.01万元，自评得分98.4分。</w:t>
        <w:br/>
        <w:t xml:space="preserve">详见附件《部门（单位）整体绩效自评表》。</w:t>
        <w:br/>
        <w:t xml:space="preserve">2.项目绩效自评情况</w:t>
        <w:br/>
        <w:t xml:space="preserve">2023年度，科学技术局对本部门（单位）3个项目开展项目绩效自评工作，涉及资金128万元，其中财政拨款资金70.84万元，自评覆盖率达到100%，自评平均分72.7分。</w:t>
        <w:br/>
        <w:t xml:space="preserve">详见附件《预算项目（政策）绩效自评表》。</w:t>
        <w:br/>
        <w:t xml:space="preserve">3.部门重点评价情况</w:t>
        <w:br/>
        <w:t xml:space="preserve">2023年度，兴隆台区科学技术局未开展部门重点评价工作。</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0" w:firstLineChars="200"/>
        <w:rPr>
          <w:rFonts w:ascii="仿宋_GB2312" w:eastAsia="仿宋_GB2312" w:hint="eastAsia"/>
          <w:sz w:val="32"/>
          <w:szCs w:val="32"/>
        </w:rPr>
      </w:pPr>
      <w:r>
        <w:rPr>
          <w:rFonts w:ascii="仿宋_GB2312" w:eastAsia="仿宋_GB2312" w:hint="eastAsia"/>
          <w:b w:val="0"/>
          <w:bCs/>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0" w:firstLineChars="200"/>
        <w:rPr>
          <w:rFonts w:ascii="仿宋_GB2312" w:eastAsia="仿宋_GB2312" w:hint="eastAsia"/>
          <w:sz w:val="32"/>
          <w:szCs w:val="32"/>
        </w:rPr>
      </w:pPr>
      <w:r>
        <w:rPr>
          <w:rFonts w:ascii="仿宋_GB2312" w:eastAsia="仿宋_GB2312" w:hint="eastAsia"/>
          <w:b w:val="0"/>
          <w:bCs/>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3.事业收入：指事业单位开展专业业务活动及辅助活动所取得的收入。</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4.经营收入：指事业单位在专业业务活动及辅助活动之外开展非独立核算经营活动取得的收入。</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5.附属单位上缴收入：指单位附属的独立核算单位按照规定上缴的收入。</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6.其他收入：指除上述“财政拨款收入”、“上级补助收入”、“事业收入”、“经营收入”、“附属单位上缴收入”等以外的收入。</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7.使用非财政拨款结余：指事业单位按照预算管理要求使用非财政拨款结余弥补收支差额的金额。</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8.上年结转和结余：指以前年度尚未完成、结转到本年按有关规定继续使用的资金。</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9.基本支出：指保障机构正常运转、完成日常工作任务而发生的人员支出和公用支出。</w:t>
      </w:r>
    </w:p>
    <w:p>
      <w:pPr>
        <w:spacing w:line="540" w:lineRule="exact"/>
        <w:ind w:firstLine="640" w:firstLineChars="200"/>
        <w:rPr>
          <w:rFonts w:ascii="仿宋_GB2312" w:eastAsia="仿宋_GB2312" w:hint="eastAsia"/>
          <w:b w:val="0"/>
          <w:bCs/>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val="0"/>
          <w:bCs/>
          <w:sz w:val="32"/>
          <w:szCs w:val="32"/>
        </w:rPr>
        <w:t xml:space="preserve">10.项目支出：指在基本支出之外为完成特定行政任务和事业</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发展目标所发生的支出。</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11.上缴上级支出：指事业单位按照财政部门和主管部门的规定上缴上级单位的支出。</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12.经营支出：指事业单位在专业活动及辅助活动之外开展非独立核算经营活动发生的支出。</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13.对附属单位补助支出：指事业单位用财政补助收入之外的收入对附属单位补助发生的支出。</w:t>
      </w:r>
    </w:p>
    <w:p>
      <w:pPr>
        <w:spacing w:line="540" w:lineRule="exact"/>
        <w:ind w:firstLine="640" w:firstLineChars="200"/>
        <w:rPr>
          <w:rFonts w:ascii="仿宋_GB2312" w:eastAsia="仿宋_GB2312" w:hint="eastAsia"/>
          <w:b w:val="0"/>
          <w:bCs/>
          <w:sz w:val="32"/>
          <w:szCs w:val="32"/>
        </w:rPr>
      </w:pPr>
      <w:r>
        <w:rPr>
          <w:rFonts w:ascii="仿宋_GB2312" w:eastAsia="仿宋_GB2312" w:hint="eastAsia"/>
          <w:b w:val="0"/>
          <w:bCs/>
          <w:sz w:val="32"/>
          <w:szCs w:val="32"/>
        </w:rPr>
        <w:t xml:space="preserve">14.“三公”经费：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val="0"/>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w:t>
      </w:r>
    </w:p>
    <w:p>
      <w:pPr>
        <w:rPr>
          <w:rFonts w:ascii="仿宋_GB2312" w:eastAsia="仿宋_GB2312" w:hAnsi="宋体" w:cs="仿宋_GB2312" w:hint="eastAsia"/>
          <w:kern w:val="0"/>
          <w:sz w:val="32"/>
          <w:szCs w:val="32"/>
        </w:rPr>
      </w:pPr>
      <w:r>
        <w:br w:type="page"/>
      </w:r>
    </w:p>
    <w:p>
      <w:pPr>
        <w:widowControl/>
        <w:spacing w:line="520" w:lineRule="exact"/>
        <w:ind w:firstLine="640" w:firstLineChars="200"/>
        <w:jc w:val="both"/>
        <w:rPr>
          <w:rFonts w:ascii="仿宋_GB2312" w:eastAsia="仿宋_GB2312" w:hAnsi="宋体" w:cs="仿宋_GB2312" w:hint="eastAsia"/>
          <w:kern w:val="0"/>
          <w:sz w:val="32"/>
          <w:szCs w:val="32"/>
        </w:rPr>
      </w:pPr>
      <w:bookmarkStart w:id="0" w:name="_GoBack"/>
      <w:bookmarkEnd w:id="0"/>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199.82</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jc w:val="right"/>
            </w:pPr>
            <w:r>
              <w:rPr>
                <w:rFonts w:ascii="宋体" w:eastAsia="宋体" w:hAnsi="宋体" w:cs="宋体"/>
                <w:b w:val="0"/>
                <w:i w:val="0"/>
                <w:color w:val="000000"/>
                <w:sz w:val="18"/>
              </w:rPr>
              <w:t xml:space="preserve">170.36</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12.25</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6.16</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11.06</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199.82</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199.82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199.82</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199.82</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199.82</w:t>
            </w:r>
          </w:p>
        </w:tc>
        <w:tc>
          <w:tcPr>
            <w:tcW w:w="1160" w:type="dxa"/>
            <w:tcBorders/>
            <w:vAlign w:val="center"/>
          </w:tcPr>
          <w:p>
            <w:pPr>
              <w:jc w:val="right"/>
            </w:pPr>
            <w:r>
              <w:rPr>
                <w:rFonts w:ascii="宋体" w:eastAsia="宋体" w:hAnsi="宋体" w:cs="宋体"/>
                <w:b/>
                <w:i w:val="0"/>
                <w:color w:val="000000"/>
                <w:sz w:val="14"/>
              </w:rPr>
              <w:t xml:space="preserve">199.82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科学技术支出</w:t>
            </w:r>
          </w:p>
        </w:tc>
        <w:tc>
          <w:tcPr>
            <w:tcW w:w="1160" w:type="dxa"/>
            <w:tcBorders/>
            <w:vAlign w:val="center"/>
          </w:tcPr>
          <w:p>
            <w:pPr>
              <w:jc w:val="right"/>
            </w:pPr>
            <w:r>
              <w:rPr>
                <w:rFonts w:ascii="宋体" w:eastAsia="宋体" w:hAnsi="宋体" w:cs="宋体"/>
                <w:b w:val="0"/>
                <w:i w:val="0"/>
                <w:color w:val="000000"/>
                <w:sz w:val="14"/>
              </w:rPr>
              <w:t xml:space="preserve">170.37</w:t>
            </w:r>
          </w:p>
        </w:tc>
        <w:tc>
          <w:tcPr>
            <w:tcW w:w="1160" w:type="dxa"/>
            <w:tcBorders/>
            <w:vAlign w:val="center"/>
          </w:tcPr>
          <w:p>
            <w:pPr>
              <w:jc w:val="right"/>
            </w:pPr>
            <w:r>
              <w:rPr>
                <w:rFonts w:ascii="宋体" w:eastAsia="宋体" w:hAnsi="宋体" w:cs="宋体"/>
                <w:b w:val="0"/>
                <w:i w:val="0"/>
                <w:color w:val="000000"/>
                <w:sz w:val="14"/>
              </w:rPr>
              <w:t xml:space="preserve">170.37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20601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科学技术管理事务</w:t>
            </w:r>
          </w:p>
        </w:tc>
        <w:tc>
          <w:tcPr>
            <w:tcW w:w="1160" w:type="dxa"/>
            <w:tcBorders/>
            <w:vAlign w:val="center"/>
          </w:tcPr>
          <w:p>
            <w:pPr>
              <w:jc w:val="right"/>
            </w:pPr>
            <w:r>
              <w:rPr>
                <w:rFonts w:ascii="宋体" w:eastAsia="宋体" w:hAnsi="宋体" w:cs="宋体"/>
                <w:b w:val="0"/>
                <w:i w:val="0"/>
                <w:color w:val="000000"/>
                <w:sz w:val="14"/>
              </w:rPr>
              <w:t xml:space="preserve">170.37</w:t>
            </w:r>
          </w:p>
        </w:tc>
        <w:tc>
          <w:tcPr>
            <w:tcW w:w="1160" w:type="dxa"/>
            <w:tcBorders/>
            <w:vAlign w:val="center"/>
          </w:tcPr>
          <w:p>
            <w:pPr>
              <w:jc w:val="right"/>
            </w:pPr>
            <w:r>
              <w:rPr>
                <w:rFonts w:ascii="宋体" w:eastAsia="宋体" w:hAnsi="宋体" w:cs="宋体"/>
                <w:b w:val="0"/>
                <w:i w:val="0"/>
                <w:color w:val="000000"/>
                <w:sz w:val="14"/>
              </w:rPr>
              <w:t xml:space="preserve">170.37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2060101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99.36</w:t>
            </w:r>
          </w:p>
        </w:tc>
        <w:tc>
          <w:tcPr>
            <w:tcW w:w="1160" w:type="dxa"/>
            <w:tcBorders/>
            <w:vAlign w:val="center"/>
          </w:tcPr>
          <w:p>
            <w:pPr>
              <w:jc w:val="right"/>
            </w:pPr>
            <w:r>
              <w:rPr>
                <w:rFonts w:ascii="宋体" w:eastAsia="宋体" w:hAnsi="宋体" w:cs="宋体"/>
                <w:b w:val="0"/>
                <w:i w:val="0"/>
                <w:color w:val="000000"/>
                <w:sz w:val="14"/>
              </w:rPr>
              <w:t xml:space="preserve">99.36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2060102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一般行政管理事务</w:t>
            </w:r>
          </w:p>
        </w:tc>
        <w:tc>
          <w:tcPr>
            <w:tcW w:w="1160" w:type="dxa"/>
            <w:tcBorders/>
            <w:vAlign w:val="center"/>
          </w:tcPr>
          <w:p>
            <w:pPr>
              <w:jc w:val="right"/>
            </w:pPr>
            <w:r>
              <w:rPr>
                <w:rFonts w:ascii="宋体" w:eastAsia="宋体" w:hAnsi="宋体" w:cs="宋体"/>
                <w:b w:val="0"/>
                <w:i w:val="0"/>
                <w:color w:val="000000"/>
                <w:sz w:val="14"/>
              </w:rPr>
              <w:t xml:space="preserve">0.84</w:t>
            </w:r>
          </w:p>
        </w:tc>
        <w:tc>
          <w:tcPr>
            <w:tcW w:w="1160" w:type="dxa"/>
            <w:tcBorders/>
            <w:vAlign w:val="center"/>
          </w:tcPr>
          <w:p>
            <w:pPr>
              <w:jc w:val="right"/>
            </w:pPr>
            <w:r>
              <w:rPr>
                <w:rFonts w:ascii="宋体" w:eastAsia="宋体" w:hAnsi="宋体" w:cs="宋体"/>
                <w:b w:val="0"/>
                <w:i w:val="0"/>
                <w:color w:val="000000"/>
                <w:sz w:val="14"/>
              </w:rPr>
              <w:t xml:space="preserve">0.84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2060199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其他科学技术管理事务支出</w:t>
            </w:r>
          </w:p>
        </w:tc>
        <w:tc>
          <w:tcPr>
            <w:tcW w:w="1160" w:type="dxa"/>
            <w:tcBorders/>
            <w:vAlign w:val="center"/>
          </w:tcPr>
          <w:p>
            <w:pPr>
              <w:jc w:val="right"/>
            </w:pPr>
            <w:r>
              <w:rPr>
                <w:rFonts w:ascii="宋体" w:eastAsia="宋体" w:hAnsi="宋体" w:cs="宋体"/>
                <w:b w:val="0"/>
                <w:i w:val="0"/>
                <w:color w:val="000000"/>
                <w:sz w:val="14"/>
              </w:rPr>
              <w:t xml:space="preserve">70.17</w:t>
            </w:r>
          </w:p>
        </w:tc>
        <w:tc>
          <w:tcPr>
            <w:tcW w:w="1160" w:type="dxa"/>
            <w:tcBorders/>
            <w:vAlign w:val="center"/>
          </w:tcPr>
          <w:p>
            <w:pPr>
              <w:jc w:val="right"/>
            </w:pPr>
            <w:r>
              <w:rPr>
                <w:rFonts w:ascii="宋体" w:eastAsia="宋体" w:hAnsi="宋体" w:cs="宋体"/>
                <w:b w:val="0"/>
                <w:i w:val="0"/>
                <w:color w:val="000000"/>
                <w:sz w:val="14"/>
              </w:rPr>
              <w:t xml:space="preserve">70.17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jc w:val="right"/>
            </w:pPr>
            <w:r>
              <w:rPr>
                <w:rFonts w:ascii="宋体" w:eastAsia="宋体" w:hAnsi="宋体" w:cs="宋体"/>
                <w:b w:val="0"/>
                <w:i w:val="0"/>
                <w:color w:val="000000"/>
                <w:sz w:val="14"/>
              </w:rPr>
              <w:t xml:space="preserve">12.25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6.16</w:t>
            </w:r>
          </w:p>
        </w:tc>
        <w:tc>
          <w:tcPr>
            <w:tcW w:w="1160" w:type="dxa"/>
            <w:tcBorders/>
            <w:vAlign w:val="center"/>
          </w:tcPr>
          <w:p>
            <w:pPr>
              <w:jc w:val="right"/>
            </w:pPr>
            <w:r>
              <w:rPr>
                <w:rFonts w:ascii="宋体" w:eastAsia="宋体" w:hAnsi="宋体" w:cs="宋体"/>
                <w:b w:val="0"/>
                <w:i w:val="0"/>
                <w:color w:val="000000"/>
                <w:sz w:val="14"/>
              </w:rPr>
              <w:t xml:space="preserve">6.16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6.16</w:t>
            </w:r>
          </w:p>
        </w:tc>
        <w:tc>
          <w:tcPr>
            <w:tcW w:w="1160" w:type="dxa"/>
            <w:tcBorders/>
            <w:vAlign w:val="center"/>
          </w:tcPr>
          <w:p>
            <w:pPr>
              <w:jc w:val="right"/>
            </w:pPr>
            <w:r>
              <w:rPr>
                <w:rFonts w:ascii="宋体" w:eastAsia="宋体" w:hAnsi="宋体" w:cs="宋体"/>
                <w:b w:val="0"/>
                <w:i w:val="0"/>
                <w:color w:val="000000"/>
                <w:sz w:val="14"/>
              </w:rPr>
              <w:t xml:space="preserve">6.16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4.63</w:t>
            </w:r>
          </w:p>
        </w:tc>
        <w:tc>
          <w:tcPr>
            <w:tcW w:w="1160" w:type="dxa"/>
            <w:tcBorders/>
            <w:vAlign w:val="center"/>
          </w:tcPr>
          <w:p>
            <w:pPr>
              <w:jc w:val="right"/>
            </w:pPr>
            <w:r>
              <w:rPr>
                <w:rFonts w:ascii="宋体" w:eastAsia="宋体" w:hAnsi="宋体" w:cs="宋体"/>
                <w:b w:val="0"/>
                <w:i w:val="0"/>
                <w:color w:val="000000"/>
                <w:sz w:val="14"/>
              </w:rPr>
              <w:t xml:space="preserve">4.63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1.31</w:t>
            </w:r>
          </w:p>
        </w:tc>
        <w:tc>
          <w:tcPr>
            <w:tcW w:w="1160" w:type="dxa"/>
            <w:tcBorders/>
            <w:vAlign w:val="center"/>
          </w:tcPr>
          <w:p>
            <w:pPr>
              <w:jc w:val="right"/>
            </w:pPr>
            <w:r>
              <w:rPr>
                <w:rFonts w:ascii="宋体" w:eastAsia="宋体" w:hAnsi="宋体" w:cs="宋体"/>
                <w:b w:val="0"/>
                <w:i w:val="0"/>
                <w:color w:val="000000"/>
                <w:sz w:val="14"/>
              </w:rPr>
              <w:t xml:space="preserve">1.31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0.22</w:t>
            </w:r>
          </w:p>
        </w:tc>
        <w:tc>
          <w:tcPr>
            <w:tcW w:w="1160" w:type="dxa"/>
            <w:tcBorders/>
            <w:vAlign w:val="center"/>
          </w:tcPr>
          <w:p>
            <w:pPr>
              <w:jc w:val="right"/>
            </w:pPr>
            <w:r>
              <w:rPr>
                <w:rFonts w:ascii="宋体" w:eastAsia="宋体" w:hAnsi="宋体" w:cs="宋体"/>
                <w:b w:val="0"/>
                <w:i w:val="0"/>
                <w:color w:val="000000"/>
                <w:sz w:val="14"/>
              </w:rPr>
              <w:t xml:space="preserve">0.22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jc w:val="right"/>
            </w:pPr>
            <w:r>
              <w:rPr>
                <w:rFonts w:ascii="宋体" w:eastAsia="宋体" w:hAnsi="宋体" w:cs="宋体"/>
                <w:b w:val="0"/>
                <w:i w:val="0"/>
                <w:color w:val="000000"/>
                <w:sz w:val="14"/>
              </w:rPr>
              <w:t xml:space="preserve">11.06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199.82</w:t>
            </w:r>
          </w:p>
        </w:tc>
        <w:tc>
          <w:tcPr>
            <w:tcW w:w="1120" w:type="dxa"/>
            <w:tcBorders/>
            <w:vAlign w:val="center"/>
          </w:tcPr>
          <w:p>
            <w:pPr>
              <w:jc w:val="right"/>
            </w:pPr>
            <w:r>
              <w:rPr>
                <w:rFonts w:ascii="宋体" w:eastAsia="宋体" w:hAnsi="宋体" w:cs="宋体"/>
                <w:b/>
                <w:i w:val="0"/>
                <w:color w:val="000000"/>
                <w:sz w:val="16"/>
              </w:rPr>
              <w:t xml:space="preserve">128.99</w:t>
            </w:r>
          </w:p>
        </w:tc>
        <w:tc>
          <w:tcPr>
            <w:tcW w:w="1120" w:type="dxa"/>
            <w:tcBorders/>
            <w:vAlign w:val="center"/>
          </w:tcPr>
          <w:p>
            <w:pPr>
              <w:jc w:val="right"/>
            </w:pPr>
            <w:r>
              <w:rPr>
                <w:rFonts w:ascii="宋体" w:eastAsia="宋体" w:hAnsi="宋体" w:cs="宋体"/>
                <w:b/>
                <w:i w:val="0"/>
                <w:color w:val="000000"/>
                <w:sz w:val="16"/>
              </w:rPr>
              <w:t xml:space="preserve">70.84</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科学技术支出</w:t>
            </w:r>
          </w:p>
        </w:tc>
        <w:tc>
          <w:tcPr>
            <w:tcW w:w="1120" w:type="dxa"/>
            <w:tcBorders/>
            <w:vAlign w:val="center"/>
          </w:tcPr>
          <w:p>
            <w:pPr>
              <w:jc w:val="right"/>
            </w:pPr>
            <w:r>
              <w:rPr>
                <w:rFonts w:ascii="宋体" w:eastAsia="宋体" w:hAnsi="宋体" w:cs="宋体"/>
                <w:b w:val="0"/>
                <w:i w:val="0"/>
                <w:color w:val="000000"/>
                <w:sz w:val="16"/>
              </w:rPr>
              <w:t xml:space="preserve">170.37</w:t>
            </w:r>
          </w:p>
        </w:tc>
        <w:tc>
          <w:tcPr>
            <w:tcW w:w="1120" w:type="dxa"/>
            <w:tcBorders/>
            <w:vAlign w:val="center"/>
          </w:tcPr>
          <w:p>
            <w:pPr>
              <w:jc w:val="right"/>
            </w:pPr>
            <w:r>
              <w:rPr>
                <w:rFonts w:ascii="宋体" w:eastAsia="宋体" w:hAnsi="宋体" w:cs="宋体"/>
                <w:b w:val="0"/>
                <w:i w:val="0"/>
                <w:color w:val="000000"/>
                <w:sz w:val="16"/>
              </w:rPr>
              <w:t xml:space="preserve">99.53</w:t>
            </w:r>
          </w:p>
        </w:tc>
        <w:tc>
          <w:tcPr>
            <w:tcW w:w="1120" w:type="dxa"/>
            <w:tcBorders/>
            <w:vAlign w:val="center"/>
          </w:tcPr>
          <w:p>
            <w:pPr>
              <w:jc w:val="right"/>
            </w:pPr>
            <w:r>
              <w:rPr>
                <w:rFonts w:ascii="宋体" w:eastAsia="宋体" w:hAnsi="宋体" w:cs="宋体"/>
                <w:b w:val="0"/>
                <w:i w:val="0"/>
                <w:color w:val="000000"/>
                <w:sz w:val="16"/>
              </w:rPr>
              <w:t xml:space="preserve">70.84</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20601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科学技术管理事务</w:t>
            </w:r>
          </w:p>
        </w:tc>
        <w:tc>
          <w:tcPr>
            <w:tcW w:w="1120" w:type="dxa"/>
            <w:tcBorders/>
            <w:vAlign w:val="center"/>
          </w:tcPr>
          <w:p>
            <w:pPr>
              <w:jc w:val="right"/>
            </w:pPr>
            <w:r>
              <w:rPr>
                <w:rFonts w:ascii="宋体" w:eastAsia="宋体" w:hAnsi="宋体" w:cs="宋体"/>
                <w:b w:val="0"/>
                <w:i w:val="0"/>
                <w:color w:val="000000"/>
                <w:sz w:val="16"/>
              </w:rPr>
              <w:t xml:space="preserve">170.37</w:t>
            </w:r>
          </w:p>
        </w:tc>
        <w:tc>
          <w:tcPr>
            <w:tcW w:w="1120" w:type="dxa"/>
            <w:tcBorders/>
            <w:vAlign w:val="center"/>
          </w:tcPr>
          <w:p>
            <w:pPr>
              <w:jc w:val="right"/>
            </w:pPr>
            <w:r>
              <w:rPr>
                <w:rFonts w:ascii="宋体" w:eastAsia="宋体" w:hAnsi="宋体" w:cs="宋体"/>
                <w:b w:val="0"/>
                <w:i w:val="0"/>
                <w:color w:val="000000"/>
                <w:sz w:val="16"/>
              </w:rPr>
              <w:t xml:space="preserve">99.53</w:t>
            </w:r>
          </w:p>
        </w:tc>
        <w:tc>
          <w:tcPr>
            <w:tcW w:w="1120" w:type="dxa"/>
            <w:tcBorders/>
            <w:vAlign w:val="center"/>
          </w:tcPr>
          <w:p>
            <w:pPr>
              <w:jc w:val="right"/>
            </w:pPr>
            <w:r>
              <w:rPr>
                <w:rFonts w:ascii="宋体" w:eastAsia="宋体" w:hAnsi="宋体" w:cs="宋体"/>
                <w:b w:val="0"/>
                <w:i w:val="0"/>
                <w:color w:val="000000"/>
                <w:sz w:val="16"/>
              </w:rPr>
              <w:t xml:space="preserve">70.84</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2060101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99.36</w:t>
            </w:r>
          </w:p>
        </w:tc>
        <w:tc>
          <w:tcPr>
            <w:tcW w:w="1120" w:type="dxa"/>
            <w:tcBorders/>
            <w:vAlign w:val="center"/>
          </w:tcPr>
          <w:p>
            <w:pPr>
              <w:jc w:val="right"/>
            </w:pPr>
            <w:r>
              <w:rPr>
                <w:rFonts w:ascii="宋体" w:eastAsia="宋体" w:hAnsi="宋体" w:cs="宋体"/>
                <w:b w:val="0"/>
                <w:i w:val="0"/>
                <w:color w:val="000000"/>
                <w:sz w:val="16"/>
              </w:rPr>
              <w:t xml:space="preserve">99.36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2060102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一般行政管理事务</w:t>
            </w:r>
          </w:p>
        </w:tc>
        <w:tc>
          <w:tcPr>
            <w:tcW w:w="1120" w:type="dxa"/>
            <w:tcBorders/>
            <w:vAlign w:val="center"/>
          </w:tcPr>
          <w:p>
            <w:pPr>
              <w:jc w:val="right"/>
            </w:pPr>
            <w:r>
              <w:rPr>
                <w:rFonts w:ascii="宋体" w:eastAsia="宋体" w:hAnsi="宋体" w:cs="宋体"/>
                <w:b w:val="0"/>
                <w:i w:val="0"/>
                <w:color w:val="000000"/>
                <w:sz w:val="16"/>
              </w:rPr>
              <w:t xml:space="preserve">0.84</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0.84</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2060199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其他科学技术管理事务支出</w:t>
            </w:r>
          </w:p>
        </w:tc>
        <w:tc>
          <w:tcPr>
            <w:tcW w:w="1120" w:type="dxa"/>
            <w:tcBorders/>
            <w:vAlign w:val="center"/>
          </w:tcPr>
          <w:p>
            <w:pPr>
              <w:jc w:val="right"/>
            </w:pPr>
            <w:r>
              <w:rPr>
                <w:rFonts w:ascii="宋体" w:eastAsia="宋体" w:hAnsi="宋体" w:cs="宋体"/>
                <w:b w:val="0"/>
                <w:i w:val="0"/>
                <w:color w:val="000000"/>
                <w:sz w:val="16"/>
              </w:rPr>
              <w:t xml:space="preserve">70.17</w:t>
            </w:r>
          </w:p>
        </w:tc>
        <w:tc>
          <w:tcPr>
            <w:tcW w:w="1120" w:type="dxa"/>
            <w:tcBorders/>
            <w:vAlign w:val="center"/>
          </w:tcPr>
          <w:p>
            <w:pPr>
              <w:jc w:val="right"/>
            </w:pPr>
            <w:r>
              <w:rPr>
                <w:rFonts w:ascii="宋体" w:eastAsia="宋体" w:hAnsi="宋体" w:cs="宋体"/>
                <w:b w:val="0"/>
                <w:i w:val="0"/>
                <w:color w:val="000000"/>
                <w:sz w:val="16"/>
              </w:rPr>
              <w:t xml:space="preserve">0.17</w:t>
            </w:r>
          </w:p>
        </w:tc>
        <w:tc>
          <w:tcPr>
            <w:tcW w:w="1120" w:type="dxa"/>
            <w:tcBorders/>
            <w:vAlign w:val="center"/>
          </w:tcPr>
          <w:p>
            <w:pPr>
              <w:jc w:val="right"/>
            </w:pPr>
            <w:r>
              <w:rPr>
                <w:rFonts w:ascii="宋体" w:eastAsia="宋体" w:hAnsi="宋体" w:cs="宋体"/>
                <w:b w:val="0"/>
                <w:i w:val="0"/>
                <w:color w:val="000000"/>
                <w:sz w:val="16"/>
              </w:rPr>
              <w:t xml:space="preserve">70.00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jc w:val="right"/>
            </w:pPr>
            <w:r>
              <w:rPr>
                <w:rFonts w:ascii="宋体" w:eastAsia="宋体" w:hAnsi="宋体" w:cs="宋体"/>
                <w:b w:val="0"/>
                <w:i w:val="0"/>
                <w:color w:val="000000"/>
                <w:sz w:val="16"/>
              </w:rPr>
              <w:t xml:space="preserve">12.25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6.16</w:t>
            </w:r>
          </w:p>
        </w:tc>
        <w:tc>
          <w:tcPr>
            <w:tcW w:w="1120" w:type="dxa"/>
            <w:tcBorders/>
            <w:vAlign w:val="center"/>
          </w:tcPr>
          <w:p>
            <w:pPr>
              <w:jc w:val="right"/>
            </w:pPr>
            <w:r>
              <w:rPr>
                <w:rFonts w:ascii="宋体" w:eastAsia="宋体" w:hAnsi="宋体" w:cs="宋体"/>
                <w:b w:val="0"/>
                <w:i w:val="0"/>
                <w:color w:val="000000"/>
                <w:sz w:val="16"/>
              </w:rPr>
              <w:t xml:space="preserve">6.16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6.16</w:t>
            </w:r>
          </w:p>
        </w:tc>
        <w:tc>
          <w:tcPr>
            <w:tcW w:w="1120" w:type="dxa"/>
            <w:tcBorders/>
            <w:vAlign w:val="center"/>
          </w:tcPr>
          <w:p>
            <w:pPr>
              <w:jc w:val="right"/>
            </w:pPr>
            <w:r>
              <w:rPr>
                <w:rFonts w:ascii="宋体" w:eastAsia="宋体" w:hAnsi="宋体" w:cs="宋体"/>
                <w:b w:val="0"/>
                <w:i w:val="0"/>
                <w:color w:val="000000"/>
                <w:sz w:val="16"/>
              </w:rPr>
              <w:t xml:space="preserve">6.16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4.63</w:t>
            </w:r>
          </w:p>
        </w:tc>
        <w:tc>
          <w:tcPr>
            <w:tcW w:w="1120" w:type="dxa"/>
            <w:tcBorders/>
            <w:vAlign w:val="center"/>
          </w:tcPr>
          <w:p>
            <w:pPr>
              <w:jc w:val="right"/>
            </w:pPr>
            <w:r>
              <w:rPr>
                <w:rFonts w:ascii="宋体" w:eastAsia="宋体" w:hAnsi="宋体" w:cs="宋体"/>
                <w:b w:val="0"/>
                <w:i w:val="0"/>
                <w:color w:val="000000"/>
                <w:sz w:val="16"/>
              </w:rPr>
              <w:t xml:space="preserve">4.63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1.31</w:t>
            </w:r>
          </w:p>
        </w:tc>
        <w:tc>
          <w:tcPr>
            <w:tcW w:w="1120" w:type="dxa"/>
            <w:tcBorders/>
            <w:vAlign w:val="center"/>
          </w:tcPr>
          <w:p>
            <w:pPr>
              <w:jc w:val="right"/>
            </w:pPr>
            <w:r>
              <w:rPr>
                <w:rFonts w:ascii="宋体" w:eastAsia="宋体" w:hAnsi="宋体" w:cs="宋体"/>
                <w:b w:val="0"/>
                <w:i w:val="0"/>
                <w:color w:val="000000"/>
                <w:sz w:val="16"/>
              </w:rPr>
              <w:t xml:space="preserve">1.31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0.22</w:t>
            </w:r>
          </w:p>
        </w:tc>
        <w:tc>
          <w:tcPr>
            <w:tcW w:w="1120" w:type="dxa"/>
            <w:tcBorders/>
            <w:vAlign w:val="center"/>
          </w:tcPr>
          <w:p>
            <w:pPr>
              <w:jc w:val="right"/>
            </w:pPr>
            <w:r>
              <w:rPr>
                <w:rFonts w:ascii="宋体" w:eastAsia="宋体" w:hAnsi="宋体" w:cs="宋体"/>
                <w:b w:val="0"/>
                <w:i w:val="0"/>
                <w:color w:val="000000"/>
                <w:sz w:val="16"/>
              </w:rPr>
              <w:t xml:space="preserve">0.22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jc w:val="right"/>
            </w:pPr>
            <w:r>
              <w:rPr>
                <w:rFonts w:ascii="宋体" w:eastAsia="宋体" w:hAnsi="宋体" w:cs="宋体"/>
                <w:b w:val="0"/>
                <w:i w:val="0"/>
                <w:color w:val="000000"/>
                <w:sz w:val="16"/>
              </w:rPr>
              <w:t xml:space="preserve">11.06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jc w:val="right"/>
            </w:pPr>
            <w:r>
              <w:rPr>
                <w:rFonts w:ascii="宋体" w:eastAsia="宋体" w:hAnsi="宋体" w:cs="宋体"/>
                <w:b w:val="0"/>
                <w:i w:val="0"/>
                <w:color w:val="000000"/>
                <w:sz w:val="14"/>
              </w:rPr>
              <w:t xml:space="preserve">170.36</w:t>
            </w:r>
          </w:p>
        </w:tc>
        <w:tc>
          <w:tcPr>
            <w:tcW w:w="1100" w:type="dxa"/>
            <w:tcBorders/>
            <w:vAlign w:val="center"/>
          </w:tcPr>
          <w:p>
            <w:pPr>
              <w:jc w:val="right"/>
            </w:pPr>
            <w:r>
              <w:rPr>
                <w:rFonts w:ascii="宋体" w:eastAsia="宋体" w:hAnsi="宋体" w:cs="宋体"/>
                <w:b w:val="0"/>
                <w:i w:val="0"/>
                <w:color w:val="000000"/>
                <w:sz w:val="14"/>
              </w:rPr>
              <w:t xml:space="preserve">170.36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12.25</w:t>
            </w:r>
          </w:p>
        </w:tc>
        <w:tc>
          <w:tcPr>
            <w:tcW w:w="1100" w:type="dxa"/>
            <w:tcBorders/>
            <w:vAlign w:val="center"/>
          </w:tcPr>
          <w:p>
            <w:pPr>
              <w:jc w:val="right"/>
            </w:pPr>
            <w:r>
              <w:rPr>
                <w:rFonts w:ascii="宋体" w:eastAsia="宋体" w:hAnsi="宋体" w:cs="宋体"/>
                <w:b w:val="0"/>
                <w:i w:val="0"/>
                <w:color w:val="000000"/>
                <w:sz w:val="14"/>
              </w:rPr>
              <w:t xml:space="preserve">12.25</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6.16</w:t>
            </w:r>
          </w:p>
        </w:tc>
        <w:tc>
          <w:tcPr>
            <w:tcW w:w="1100" w:type="dxa"/>
            <w:tcBorders/>
            <w:vAlign w:val="center"/>
          </w:tcPr>
          <w:p>
            <w:pPr>
              <w:jc w:val="right"/>
            </w:pPr>
            <w:r>
              <w:rPr>
                <w:rFonts w:ascii="宋体" w:eastAsia="宋体" w:hAnsi="宋体" w:cs="宋体"/>
                <w:b w:val="0"/>
                <w:i w:val="0"/>
                <w:color w:val="000000"/>
                <w:sz w:val="14"/>
              </w:rPr>
              <w:t xml:space="preserve">6.16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11.06</w:t>
            </w:r>
          </w:p>
        </w:tc>
        <w:tc>
          <w:tcPr>
            <w:tcW w:w="1100" w:type="dxa"/>
            <w:tcBorders/>
            <w:vAlign w:val="center"/>
          </w:tcPr>
          <w:p>
            <w:pPr>
              <w:jc w:val="right"/>
            </w:pPr>
            <w:r>
              <w:rPr>
                <w:rFonts w:ascii="宋体" w:eastAsia="宋体" w:hAnsi="宋体" w:cs="宋体"/>
                <w:b w:val="0"/>
                <w:i w:val="0"/>
                <w:color w:val="000000"/>
                <w:sz w:val="14"/>
              </w:rPr>
              <w:t xml:space="preserve">11.06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1100" w:type="dxa"/>
            <w:tcBorders/>
            <w:vAlign w:val="center"/>
          </w:tcPr>
          <w:p>
            <w:pPr>
              <w:jc w:val="right"/>
            </w:pPr>
            <w:r>
              <w:rPr>
                <w:rFonts w:ascii="宋体" w:eastAsia="宋体" w:hAnsi="宋体" w:cs="宋体"/>
                <w:b w:val="0"/>
                <w:i w:val="0"/>
                <w:color w:val="000000"/>
                <w:sz w:val="14"/>
              </w:rPr>
              <w:t xml:space="preserve">199.82</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199.82</w:t>
            </w:r>
          </w:p>
        </w:tc>
        <w:tc>
          <w:tcPr>
            <w:tcW w:w="1980" w:type="dxa"/>
            <w:tcBorders/>
            <w:vAlign w:val="center"/>
          </w:tcPr>
          <w:p>
            <w:pPr>
              <w:jc w:val="right"/>
            </w:pPr>
            <w:r>
              <w:rPr>
                <w:rFonts w:ascii="宋体" w:eastAsia="宋体" w:hAnsi="宋体" w:cs="宋体"/>
                <w:b/>
                <w:i w:val="0"/>
                <w:color w:val="000000"/>
                <w:sz w:val="20"/>
              </w:rPr>
              <w:t xml:space="preserve">128.99</w:t>
            </w:r>
          </w:p>
        </w:tc>
        <w:tc>
          <w:tcPr>
            <w:tcW w:w="1952" w:type="dxa"/>
            <w:tcBorders/>
            <w:vAlign w:val="center"/>
          </w:tcPr>
          <w:p>
            <w:pPr>
              <w:jc w:val="right"/>
            </w:pPr>
            <w:r>
              <w:rPr>
                <w:rFonts w:ascii="宋体" w:eastAsia="宋体" w:hAnsi="宋体" w:cs="宋体"/>
                <w:b/>
                <w:i w:val="0"/>
                <w:color w:val="000000"/>
                <w:sz w:val="20"/>
              </w:rPr>
              <w:t xml:space="preserve">70.84</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科学技术支出</w:t>
            </w:r>
          </w:p>
        </w:tc>
        <w:tc>
          <w:tcPr>
            <w:tcW w:w="1980" w:type="dxa"/>
            <w:tcBorders/>
            <w:vAlign w:val="center"/>
          </w:tcPr>
          <w:p>
            <w:pPr>
              <w:jc w:val="right"/>
            </w:pPr>
            <w:r>
              <w:rPr>
                <w:rFonts w:ascii="宋体" w:eastAsia="宋体" w:hAnsi="宋体" w:cs="宋体"/>
                <w:b w:val="0"/>
                <w:i w:val="0"/>
                <w:color w:val="000000"/>
                <w:sz w:val="20"/>
              </w:rPr>
              <w:t xml:space="preserve">170.37</w:t>
            </w:r>
          </w:p>
        </w:tc>
        <w:tc>
          <w:tcPr>
            <w:tcW w:w="1980" w:type="dxa"/>
            <w:tcBorders/>
            <w:vAlign w:val="center"/>
          </w:tcPr>
          <w:p>
            <w:pPr>
              <w:jc w:val="right"/>
            </w:pPr>
            <w:r>
              <w:rPr>
                <w:rFonts w:ascii="宋体" w:eastAsia="宋体" w:hAnsi="宋体" w:cs="宋体"/>
                <w:b w:val="0"/>
                <w:i w:val="0"/>
                <w:color w:val="000000"/>
                <w:sz w:val="20"/>
              </w:rPr>
              <w:t xml:space="preserve">99.53</w:t>
            </w:r>
          </w:p>
        </w:tc>
        <w:tc>
          <w:tcPr>
            <w:tcW w:w="1952" w:type="dxa"/>
            <w:tcBorders/>
            <w:vAlign w:val="center"/>
          </w:tcPr>
          <w:p>
            <w:pPr>
              <w:jc w:val="right"/>
            </w:pPr>
            <w:r>
              <w:rPr>
                <w:rFonts w:ascii="宋体" w:eastAsia="宋体" w:hAnsi="宋体" w:cs="宋体"/>
                <w:b w:val="0"/>
                <w:i w:val="0"/>
                <w:color w:val="000000"/>
                <w:sz w:val="20"/>
              </w:rPr>
              <w:t xml:space="preserve">70.84</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20601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科学技术管理事务</w:t>
            </w:r>
          </w:p>
        </w:tc>
        <w:tc>
          <w:tcPr>
            <w:tcW w:w="1980" w:type="dxa"/>
            <w:tcBorders/>
            <w:vAlign w:val="center"/>
          </w:tcPr>
          <w:p>
            <w:pPr>
              <w:jc w:val="right"/>
            </w:pPr>
            <w:r>
              <w:rPr>
                <w:rFonts w:ascii="宋体" w:eastAsia="宋体" w:hAnsi="宋体" w:cs="宋体"/>
                <w:b w:val="0"/>
                <w:i w:val="0"/>
                <w:color w:val="000000"/>
                <w:sz w:val="20"/>
              </w:rPr>
              <w:t xml:space="preserve">170.37</w:t>
            </w:r>
          </w:p>
        </w:tc>
        <w:tc>
          <w:tcPr>
            <w:tcW w:w="1980" w:type="dxa"/>
            <w:tcBorders/>
            <w:vAlign w:val="center"/>
          </w:tcPr>
          <w:p>
            <w:pPr>
              <w:jc w:val="right"/>
            </w:pPr>
            <w:r>
              <w:rPr>
                <w:rFonts w:ascii="宋体" w:eastAsia="宋体" w:hAnsi="宋体" w:cs="宋体"/>
                <w:b w:val="0"/>
                <w:i w:val="0"/>
                <w:color w:val="000000"/>
                <w:sz w:val="20"/>
              </w:rPr>
              <w:t xml:space="preserve">99.53</w:t>
            </w:r>
          </w:p>
        </w:tc>
        <w:tc>
          <w:tcPr>
            <w:tcW w:w="1952" w:type="dxa"/>
            <w:tcBorders/>
            <w:vAlign w:val="center"/>
          </w:tcPr>
          <w:p>
            <w:pPr>
              <w:jc w:val="right"/>
            </w:pPr>
            <w:r>
              <w:rPr>
                <w:rFonts w:ascii="宋体" w:eastAsia="宋体" w:hAnsi="宋体" w:cs="宋体"/>
                <w:b w:val="0"/>
                <w:i w:val="0"/>
                <w:color w:val="000000"/>
                <w:sz w:val="20"/>
              </w:rPr>
              <w:t xml:space="preserve">70.84</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2060101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99.36</w:t>
            </w:r>
          </w:p>
        </w:tc>
        <w:tc>
          <w:tcPr>
            <w:tcW w:w="1980" w:type="dxa"/>
            <w:tcBorders/>
            <w:vAlign w:val="center"/>
          </w:tcPr>
          <w:p>
            <w:pPr>
              <w:jc w:val="right"/>
            </w:pPr>
            <w:r>
              <w:rPr>
                <w:rFonts w:ascii="宋体" w:eastAsia="宋体" w:hAnsi="宋体" w:cs="宋体"/>
                <w:b w:val="0"/>
                <w:i w:val="0"/>
                <w:color w:val="000000"/>
                <w:sz w:val="20"/>
              </w:rPr>
              <w:t xml:space="preserve">99.36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2060102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一般行政管理事务</w:t>
            </w:r>
          </w:p>
        </w:tc>
        <w:tc>
          <w:tcPr>
            <w:tcW w:w="1980" w:type="dxa"/>
            <w:tcBorders/>
            <w:vAlign w:val="center"/>
          </w:tcPr>
          <w:p>
            <w:pPr>
              <w:jc w:val="right"/>
            </w:pPr>
            <w:r>
              <w:rPr>
                <w:rFonts w:ascii="宋体" w:eastAsia="宋体" w:hAnsi="宋体" w:cs="宋体"/>
                <w:b w:val="0"/>
                <w:i w:val="0"/>
                <w:color w:val="000000"/>
                <w:sz w:val="20"/>
              </w:rPr>
              <w:t xml:space="preserve">0.84</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0.84</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2060199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其他科学技术管理事务支出</w:t>
            </w:r>
          </w:p>
        </w:tc>
        <w:tc>
          <w:tcPr>
            <w:tcW w:w="1980" w:type="dxa"/>
            <w:tcBorders/>
            <w:vAlign w:val="center"/>
          </w:tcPr>
          <w:p>
            <w:pPr>
              <w:jc w:val="right"/>
            </w:pPr>
            <w:r>
              <w:rPr>
                <w:rFonts w:ascii="宋体" w:eastAsia="宋体" w:hAnsi="宋体" w:cs="宋体"/>
                <w:b w:val="0"/>
                <w:i w:val="0"/>
                <w:color w:val="000000"/>
                <w:sz w:val="20"/>
              </w:rPr>
              <w:t xml:space="preserve">70.17</w:t>
            </w:r>
          </w:p>
        </w:tc>
        <w:tc>
          <w:tcPr>
            <w:tcW w:w="1980" w:type="dxa"/>
            <w:tcBorders/>
            <w:vAlign w:val="center"/>
          </w:tcPr>
          <w:p>
            <w:pPr>
              <w:jc w:val="right"/>
            </w:pPr>
            <w:r>
              <w:rPr>
                <w:rFonts w:ascii="宋体" w:eastAsia="宋体" w:hAnsi="宋体" w:cs="宋体"/>
                <w:b w:val="0"/>
                <w:i w:val="0"/>
                <w:color w:val="000000"/>
                <w:sz w:val="20"/>
              </w:rPr>
              <w:t xml:space="preserve">0.17</w:t>
            </w:r>
          </w:p>
        </w:tc>
        <w:tc>
          <w:tcPr>
            <w:tcW w:w="1952" w:type="dxa"/>
            <w:tcBorders/>
            <w:vAlign w:val="center"/>
          </w:tcPr>
          <w:p>
            <w:pPr>
              <w:jc w:val="right"/>
            </w:pPr>
            <w:r>
              <w:rPr>
                <w:rFonts w:ascii="宋体" w:eastAsia="宋体" w:hAnsi="宋体" w:cs="宋体"/>
                <w:b w:val="0"/>
                <w:i w:val="0"/>
                <w:color w:val="000000"/>
                <w:sz w:val="20"/>
              </w:rPr>
              <w:t xml:space="preserve">70.00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80" w:type="dxa"/>
            <w:tcBorders/>
            <w:vAlign w:val="center"/>
          </w:tcPr>
          <w:p>
            <w:pPr>
              <w:jc w:val="right"/>
            </w:pPr>
            <w:r>
              <w:rPr>
                <w:rFonts w:ascii="宋体" w:eastAsia="宋体" w:hAnsi="宋体" w:cs="宋体"/>
                <w:b w:val="0"/>
                <w:i w:val="0"/>
                <w:color w:val="000000"/>
                <w:sz w:val="20"/>
              </w:rPr>
              <w:t xml:space="preserve">12.25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6.16</w:t>
            </w:r>
          </w:p>
        </w:tc>
        <w:tc>
          <w:tcPr>
            <w:tcW w:w="1980" w:type="dxa"/>
            <w:tcBorders/>
            <w:vAlign w:val="center"/>
          </w:tcPr>
          <w:p>
            <w:pPr>
              <w:jc w:val="right"/>
            </w:pPr>
            <w:r>
              <w:rPr>
                <w:rFonts w:ascii="宋体" w:eastAsia="宋体" w:hAnsi="宋体" w:cs="宋体"/>
                <w:b w:val="0"/>
                <w:i w:val="0"/>
                <w:color w:val="000000"/>
                <w:sz w:val="20"/>
              </w:rPr>
              <w:t xml:space="preserve">6.16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6.16</w:t>
            </w:r>
          </w:p>
        </w:tc>
        <w:tc>
          <w:tcPr>
            <w:tcW w:w="1980" w:type="dxa"/>
            <w:tcBorders/>
            <w:vAlign w:val="center"/>
          </w:tcPr>
          <w:p>
            <w:pPr>
              <w:jc w:val="right"/>
            </w:pPr>
            <w:r>
              <w:rPr>
                <w:rFonts w:ascii="宋体" w:eastAsia="宋体" w:hAnsi="宋体" w:cs="宋体"/>
                <w:b w:val="0"/>
                <w:i w:val="0"/>
                <w:color w:val="000000"/>
                <w:sz w:val="20"/>
              </w:rPr>
              <w:t xml:space="preserve">6.16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4.63</w:t>
            </w:r>
          </w:p>
        </w:tc>
        <w:tc>
          <w:tcPr>
            <w:tcW w:w="1980" w:type="dxa"/>
            <w:tcBorders/>
            <w:vAlign w:val="center"/>
          </w:tcPr>
          <w:p>
            <w:pPr>
              <w:jc w:val="right"/>
            </w:pPr>
            <w:r>
              <w:rPr>
                <w:rFonts w:ascii="宋体" w:eastAsia="宋体" w:hAnsi="宋体" w:cs="宋体"/>
                <w:b w:val="0"/>
                <w:i w:val="0"/>
                <w:color w:val="000000"/>
                <w:sz w:val="20"/>
              </w:rPr>
              <w:t xml:space="preserve">4.63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1.31</w:t>
            </w:r>
          </w:p>
        </w:tc>
        <w:tc>
          <w:tcPr>
            <w:tcW w:w="1980" w:type="dxa"/>
            <w:tcBorders/>
            <w:vAlign w:val="center"/>
          </w:tcPr>
          <w:p>
            <w:pPr>
              <w:jc w:val="right"/>
            </w:pPr>
            <w:r>
              <w:rPr>
                <w:rFonts w:ascii="宋体" w:eastAsia="宋体" w:hAnsi="宋体" w:cs="宋体"/>
                <w:b w:val="0"/>
                <w:i w:val="0"/>
                <w:color w:val="000000"/>
                <w:sz w:val="20"/>
              </w:rPr>
              <w:t xml:space="preserve">1.31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0.22</w:t>
            </w:r>
          </w:p>
        </w:tc>
        <w:tc>
          <w:tcPr>
            <w:tcW w:w="1980" w:type="dxa"/>
            <w:tcBorders/>
            <w:vAlign w:val="center"/>
          </w:tcPr>
          <w:p>
            <w:pPr>
              <w:jc w:val="right"/>
            </w:pPr>
            <w:r>
              <w:rPr>
                <w:rFonts w:ascii="宋体" w:eastAsia="宋体" w:hAnsi="宋体" w:cs="宋体"/>
                <w:b w:val="0"/>
                <w:i w:val="0"/>
                <w:color w:val="000000"/>
                <w:sz w:val="20"/>
              </w:rPr>
              <w:t xml:space="preserve">0.22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80" w:type="dxa"/>
            <w:tcBorders/>
            <w:vAlign w:val="center"/>
          </w:tcPr>
          <w:p>
            <w:pPr>
              <w:jc w:val="right"/>
            </w:pPr>
            <w:r>
              <w:rPr>
                <w:rFonts w:ascii="宋体" w:eastAsia="宋体" w:hAnsi="宋体" w:cs="宋体"/>
                <w:b w:val="0"/>
                <w:i w:val="0"/>
                <w:color w:val="000000"/>
                <w:sz w:val="20"/>
              </w:rPr>
              <w:t xml:space="preserve">11.06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119.19</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9.28</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40.97</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2.70</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29.30</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jc w:val="right"/>
            </w:pPr>
            <w:r>
              <w:rPr>
                <w:rFonts w:ascii="宋体" w:eastAsia="宋体" w:hAnsi="宋体" w:cs="宋体"/>
                <w:b w:val="0"/>
                <w:i w:val="0"/>
                <w:color w:val="000000"/>
                <w:sz w:val="14"/>
              </w:rPr>
              <w:t xml:space="preserve">0.19</w:t>
            </w: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19.29</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jc w:val="right"/>
            </w:pPr>
            <w:r>
              <w:rPr>
                <w:rFonts w:ascii="宋体" w:eastAsia="宋体" w:hAnsi="宋体" w:cs="宋体"/>
                <w:b w:val="0"/>
                <w:i w:val="0"/>
                <w:color w:val="000000"/>
                <w:sz w:val="14"/>
              </w:rPr>
              <w:t xml:space="preserve">0.38</w:t>
            </w: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jc w:val="right"/>
            </w:pPr>
            <w:r>
              <w:rPr>
                <w:rFonts w:ascii="宋体" w:eastAsia="宋体" w:hAnsi="宋体" w:cs="宋体"/>
                <w:b w:val="0"/>
                <w:i w:val="0"/>
                <w:color w:val="000000"/>
                <w:sz w:val="14"/>
              </w:rPr>
              <w:t xml:space="preserve">0.00</w:t>
            </w: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jc w:val="right"/>
            </w:pPr>
            <w:r>
              <w:rPr>
                <w:rFonts w:ascii="宋体" w:eastAsia="宋体" w:hAnsi="宋体" w:cs="宋体"/>
                <w:b w:val="0"/>
                <w:i w:val="0"/>
                <w:color w:val="000000"/>
                <w:sz w:val="14"/>
              </w:rPr>
              <w:t xml:space="preserve">0.38</w:t>
            </w: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12.25</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jc w:val="right"/>
            </w:pPr>
            <w:r>
              <w:rPr>
                <w:rFonts w:ascii="宋体" w:eastAsia="宋体" w:hAnsi="宋体" w:cs="宋体"/>
                <w:b w:val="0"/>
                <w:i w:val="0"/>
                <w:color w:val="000000"/>
                <w:sz w:val="14"/>
              </w:rPr>
              <w:t xml:space="preserve">0.18</w:t>
            </w: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4.60</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1.31</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0.41</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0.09</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11.06</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jc w:val="right"/>
            </w:pPr>
            <w:r>
              <w:rPr>
                <w:rFonts w:ascii="宋体" w:eastAsia="宋体" w:hAnsi="宋体" w:cs="宋体"/>
                <w:b w:val="0"/>
                <w:i w:val="0"/>
                <w:color w:val="000000"/>
                <w:sz w:val="14"/>
              </w:rPr>
              <w:t xml:space="preserve">0.03</w:t>
            </w: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0.13</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jc w:val="right"/>
            </w:pPr>
            <w:r>
              <w:rPr>
                <w:rFonts w:ascii="宋体" w:eastAsia="宋体" w:hAnsi="宋体" w:cs="宋体"/>
                <w:b w:val="0"/>
                <w:i w:val="0"/>
                <w:color w:val="000000"/>
                <w:sz w:val="14"/>
              </w:rPr>
              <w:t xml:space="preserve">0.02</w:t>
            </w: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jc w:val="right"/>
            </w:pPr>
            <w:r>
              <w:rPr>
                <w:rFonts w:ascii="宋体" w:eastAsia="宋体" w:hAnsi="宋体" w:cs="宋体"/>
                <w:b w:val="0"/>
                <w:i w:val="0"/>
                <w:color w:val="000000"/>
                <w:sz w:val="14"/>
              </w:rPr>
              <w:t xml:space="preserve">1.84</w:t>
            </w: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jc w:val="right"/>
            </w:pPr>
            <w:r>
              <w:rPr>
                <w:rFonts w:ascii="宋体" w:eastAsia="宋体" w:hAnsi="宋体" w:cs="宋体"/>
                <w:b w:val="0"/>
                <w:i w:val="0"/>
                <w:color w:val="000000"/>
                <w:sz w:val="14"/>
              </w:rPr>
              <w:t xml:space="preserve">0.13</w:t>
            </w: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3.90</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jc w:val="right"/>
            </w:pPr>
            <w:r>
              <w:rPr>
                <w:rFonts w:ascii="宋体" w:eastAsia="宋体" w:hAnsi="宋体" w:cs="宋体"/>
                <w:b w:val="0"/>
                <w:i w:val="0"/>
                <w:color w:val="000000"/>
                <w:sz w:val="14"/>
              </w:rPr>
              <w:t xml:space="preserve">0.13</w:t>
            </w: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jc w:val="right"/>
            </w:pPr>
            <w:r>
              <w:rPr>
                <w:rFonts w:ascii="宋体" w:eastAsia="宋体" w:hAnsi="宋体" w:cs="宋体"/>
                <w:b w:val="0"/>
                <w:i w:val="0"/>
                <w:color w:val="000000"/>
                <w:sz w:val="14"/>
              </w:rPr>
              <w:t xml:space="preserve">0.19</w:t>
            </w: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119.32</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9.66</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部门：辽宁省盘锦市兴隆台区科学技术局</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tbl>
      <w:tblPr>
        <w:tblW w:w="0" w:type="auto"/>
        <w:jc w:val="center"/>
        <w:tblLayout w:type="fixed"/>
        <w:tblCellMar>
          <w:left w:w="20" w:type="dxa"/>
          <w:right w:w="20" w:type="dxa"/>
        </w:tblCellMar>
        <w:tblLook w:firstRow="0" w:lastRow="0" w:firstColumn="0" w:lastColumn="0" w:noHBand="1" w:noVBand="1"/>
      </w:tblPr>
      <w:tblGrid>
        <w:gridCol w:w="1001"/>
        <w:gridCol w:w="1001"/>
        <w:gridCol w:w="984"/>
        <w:gridCol w:w="1475"/>
        <w:gridCol w:w="656"/>
        <w:gridCol w:w="1180"/>
        <w:gridCol w:w="656"/>
        <w:gridCol w:w="968"/>
        <w:gridCol w:w="590"/>
        <w:gridCol w:w="590"/>
        <w:gridCol w:w="590"/>
        <w:gridCol w:w="557"/>
        <w:gridCol w:w="542"/>
        <w:gridCol w:w="673"/>
        <w:gridCol w:w="590"/>
        <w:gridCol w:w="590"/>
        <w:gridCol w:w="1049"/>
        <w:gridCol w:w="1148"/>
      </w:tblGrid>
      <w:tr>
        <w:trPr>
          <w:trHeight w:hRule="exact" w:val="794"/>
          <w:jc w:val="center"/>
        </w:trPr>
        <w:tc>
          <w:tcPr>
            <w:tcW w:w="1484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30"/>
              </w:rPr>
              <w:t xml:space="preserve">预算项目(政策)绩效自评表</w:t>
            </w:r>
          </w:p>
          <w:p>
            <w:pPr>
              <w:snapToGrid w:val="0"/>
              <w:spacing w:before="0" w:beforeAutospacing="0" w:after="0" w:afterAutospacing="0" w:line="240" w:lineRule="auto"/>
              <w:jc w:val="center"/>
              <w:rPr/>
            </w:pPr>
            <w:r>
              <w:rPr>
                <w:rFonts w:ascii="宋体" w:eastAsia="宋体" w:hAnsi="宋体" w:cs="宋体"/>
                <w:b/>
                <w:i w:val="0"/>
                <w:color w:val="000000"/>
                <w:sz w:val="30"/>
              </w:rPr>
              <w:t xml:space="preserve">(2023年度)</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项目(政策)名称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科技扶持资金</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实施单位</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项目预算金额（万元）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70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全年执行数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95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70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执行率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年度总体目标</w:t>
            </w: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年初设定目标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全年实际完成情况</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重大科技专项计划；重点研发计划；重大科技成果转化计划；高新技术企业培育计划；创新载体培育计划；农业科技计划。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累计完成4家雏鹰企业申报，8家高新技术企业申报，25家新注册科技型中小企业。</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绩效指标</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一级指标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二级指标</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三级指标</w:t>
            </w:r>
          </w:p>
        </w:tc>
        <w:tc>
          <w:tcPr>
            <w:tcW w:w="249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年度目标值</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完成值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完成程度</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分值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得分</w:t>
            </w:r>
          </w:p>
        </w:tc>
        <w:tc>
          <w:tcPr>
            <w:tcW w:w="400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未完成原因分析</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改进措施</w:t>
            </w:r>
          </w:p>
        </w:tc>
      </w:tr>
      <w:tr>
        <w:trPr>
          <w:trHeight w:hRule="exact" w:val="680"/>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运算</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符号</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内容</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度量</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单位</w:t>
            </w:r>
          </w:p>
        </w:tc>
        <w:tc>
          <w:tcPr>
            <w:tcW w:w="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经费保障</w:t>
            </w: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制度保障</w:t>
            </w: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人员保障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硬件条件保障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其他</w:t>
            </w: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原因说明</w:t>
            </w:r>
          </w:p>
        </w:tc>
        <w:tc>
          <w:tcPr>
            <w:tcW w:w="11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产出指标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数量指标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新认定国家级高新技术企业数量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家</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高新技术企业评审数量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质量指标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政策宣传覆盖率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正常运转率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时效指标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补助资金下达及时性</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&lt;=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30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天</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30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113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成本指标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经费支出规范性</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规范</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全部或基本达成预期指标100%-80%（含）</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效益指标</w:t>
            </w: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经济效益指标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支持各类科技创新平台</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个数</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社会效益指标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高新技术企业增加数量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家</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指标自评得分小计</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90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预算执行率得分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99"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减分项</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pPr>
            <w:r>
              <w:rPr>
                <w:rFonts w:ascii="宋体" w:eastAsia="宋体" w:hAnsi="宋体" w:cs="宋体"/>
                <w:b w:val="0"/>
                <w:i w:val="0"/>
                <w:color w:val="000000"/>
                <w:sz w:val="19"/>
              </w:rPr>
              <w:t xml:space="preserve">0</w:t>
            </w: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绩效自评总得分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0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结果应用建议选项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具体建议内容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改进预算项目管理（改进措施和方式）</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w:t>
            </w: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单位进一步将资金，合理化利用，将严格按照单位规章制度，与财政部门下达文件进行执行。</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完善制度设计，建议进行政策调整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政策到期，建议重新发布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不再继续安排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减少或取消安排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907"/>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结构调整，压低效补高效</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预算一次核定、资金分年度拨付</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财政部门总体意见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bl>
    <w:p>
      <w:pPr>
        <w:sectPr>
          <w:pgSz w:w="16839" w:h="11907" w:orient="landscape"/>
          <w:pgMar w:top="400" w:right="1000" w:bottom="400" w:left="1000" w:header="720" w:footer="720" w:gutter="0"/>
        </w:sectPr>
      </w:pPr>
    </w:p>
    <w:tbl>
      <w:tblPr>
        <w:tblW w:w="0" w:type="auto"/>
        <w:jc w:val="center"/>
        <w:tblLayout w:type="fixed"/>
        <w:tblCellMar>
          <w:left w:w="20" w:type="dxa"/>
          <w:right w:w="20" w:type="dxa"/>
        </w:tblCellMar>
        <w:tblLook w:firstRow="0" w:lastRow="0" w:firstColumn="0" w:lastColumn="0" w:noHBand="1" w:noVBand="1"/>
      </w:tblPr>
      <w:tblGrid>
        <w:gridCol w:w="1001"/>
        <w:gridCol w:w="1001"/>
        <w:gridCol w:w="984"/>
        <w:gridCol w:w="1475"/>
        <w:gridCol w:w="656"/>
        <w:gridCol w:w="1180"/>
        <w:gridCol w:w="656"/>
        <w:gridCol w:w="968"/>
        <w:gridCol w:w="590"/>
        <w:gridCol w:w="590"/>
        <w:gridCol w:w="590"/>
        <w:gridCol w:w="557"/>
        <w:gridCol w:w="542"/>
        <w:gridCol w:w="673"/>
        <w:gridCol w:w="590"/>
        <w:gridCol w:w="590"/>
        <w:gridCol w:w="1049"/>
        <w:gridCol w:w="1148"/>
      </w:tblGrid>
      <w:tr>
        <w:trPr>
          <w:trHeight w:hRule="exact" w:val="794"/>
          <w:jc w:val="center"/>
        </w:trPr>
        <w:tc>
          <w:tcPr>
            <w:tcW w:w="1484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30"/>
              </w:rPr>
              <w:t xml:space="preserve">预算项目(政策)绩效自评表</w:t>
            </w:r>
          </w:p>
          <w:p>
            <w:pPr>
              <w:snapToGrid w:val="0"/>
              <w:spacing w:before="0" w:beforeAutospacing="0" w:after="0" w:afterAutospacing="0" w:line="240" w:lineRule="auto"/>
              <w:jc w:val="center"/>
              <w:rPr/>
            </w:pPr>
            <w:r>
              <w:rPr>
                <w:rFonts w:ascii="宋体" w:eastAsia="宋体" w:hAnsi="宋体" w:cs="宋体"/>
                <w:b/>
                <w:i w:val="0"/>
                <w:color w:val="000000"/>
                <w:sz w:val="30"/>
              </w:rPr>
              <w:t xml:space="preserve">(2023年度)</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项目(政策)名称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科技发展专项资金</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实施单位</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项目预算金额（万元）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全年执行数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95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0.84</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执行率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10.46%</w:t>
            </w: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年度总体目标</w:t>
            </w: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年初设定目标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全年实际完成情况</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科技型中小企业引育；科技成果对接与交流；开展科技宣传、科学技术普及活动；科技计划项目管理。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一是开展科技活动周进社区、进学校活动，累计出动科技工作者30余人次，发放宣传手册400余册，宣传科技创新政策、科技法律法规及生态环保、低碳节能、健康生活等科普知识，提升全民科学素养。二是制定印发科技手册，开展企业成长情况跟踪服务，把最新的科技企业认定标准和优惠政策送进企业.</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绩效指标</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一级指标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二级指标</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三级指标</w:t>
            </w:r>
          </w:p>
        </w:tc>
        <w:tc>
          <w:tcPr>
            <w:tcW w:w="249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年度目标值</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完成值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完成程度</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分值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得分</w:t>
            </w:r>
          </w:p>
        </w:tc>
        <w:tc>
          <w:tcPr>
            <w:tcW w:w="400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未完成原因分析</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改进措施</w:t>
            </w:r>
          </w:p>
        </w:tc>
      </w:tr>
      <w:tr>
        <w:trPr>
          <w:trHeight w:hRule="exact" w:val="680"/>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运算</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符号</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内容</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度量</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单位</w:t>
            </w:r>
          </w:p>
        </w:tc>
        <w:tc>
          <w:tcPr>
            <w:tcW w:w="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经费保障</w:t>
            </w: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制度保障</w:t>
            </w: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人员保障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硬件条件保障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其他</w:t>
            </w: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原因说明</w:t>
            </w:r>
          </w:p>
        </w:tc>
        <w:tc>
          <w:tcPr>
            <w:tcW w:w="11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产出指标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数量指标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科技创新平台数量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科技成果转化数</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5</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5</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质量指标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政策宣传覆盖率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正常运转率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时效指标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各项任务完成及时率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90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90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113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成本指标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经费支出规范性</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规范</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全部或基本达成预期指标100%-80%（含）</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效益指标</w:t>
            </w: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经济效益指标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支持各类科技创新平台数量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社会效益指标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高新技术企业增加数量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家</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指标自评得分小计</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90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预算执行率得分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1.05</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99"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减分项</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pPr>
            <w:r>
              <w:rPr>
                <w:rFonts w:ascii="宋体" w:eastAsia="宋体" w:hAnsi="宋体" w:cs="宋体"/>
                <w:b w:val="0"/>
                <w:i w:val="0"/>
                <w:color w:val="000000"/>
                <w:sz w:val="19"/>
              </w:rPr>
              <w:t xml:space="preserve">32.0459375</w:t>
            </w: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绩效自评总得分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59</w:t>
            </w: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0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结果应用建议选项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具体建议内容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改进预算项目管理（改进措施和方式）</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w:t>
            </w: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单位将进一步细化项目管理细则，严格按照安慰规章制度，及时完成财政部门下达的任务。</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完善制度设计，建议进行政策调整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政策到期，建议重新发布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不再继续安排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减少或取消安排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907"/>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结构调整，压低效补高效</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预算一次核定、资金分年度拨付</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财政部门总体意见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bl>
    <w:p>
      <w:pPr>
        <w:sectPr>
          <w:pgSz w:w="16839" w:h="11907" w:orient="landscape"/>
          <w:pgMar w:top="400" w:right="1000" w:bottom="400" w:left="1000" w:header="720" w:footer="720" w:gutter="0"/>
        </w:sectPr>
      </w:pPr>
    </w:p>
    <w:tbl>
      <w:tblPr>
        <w:tblW w:w="0" w:type="auto"/>
        <w:jc w:val="center"/>
        <w:tblLayout w:type="fixed"/>
        <w:tblCellMar>
          <w:left w:w="20" w:type="dxa"/>
          <w:right w:w="20" w:type="dxa"/>
        </w:tblCellMar>
        <w:tblLook w:firstRow="0" w:lastRow="0" w:firstColumn="0" w:lastColumn="0" w:noHBand="1" w:noVBand="1"/>
      </w:tblPr>
      <w:tblGrid>
        <w:gridCol w:w="1001"/>
        <w:gridCol w:w="1001"/>
        <w:gridCol w:w="984"/>
        <w:gridCol w:w="1475"/>
        <w:gridCol w:w="656"/>
        <w:gridCol w:w="1180"/>
        <w:gridCol w:w="656"/>
        <w:gridCol w:w="968"/>
        <w:gridCol w:w="590"/>
        <w:gridCol w:w="590"/>
        <w:gridCol w:w="590"/>
        <w:gridCol w:w="557"/>
        <w:gridCol w:w="542"/>
        <w:gridCol w:w="673"/>
        <w:gridCol w:w="590"/>
        <w:gridCol w:w="590"/>
        <w:gridCol w:w="1049"/>
        <w:gridCol w:w="1148"/>
      </w:tblGrid>
      <w:tr>
        <w:trPr>
          <w:trHeight w:hRule="exact" w:val="794"/>
          <w:jc w:val="center"/>
        </w:trPr>
        <w:tc>
          <w:tcPr>
            <w:tcW w:w="1484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30"/>
              </w:rPr>
              <w:t xml:space="preserve">预算项目(政策)绩效自评表</w:t>
            </w:r>
          </w:p>
          <w:p>
            <w:pPr>
              <w:snapToGrid w:val="0"/>
              <w:spacing w:before="0" w:beforeAutospacing="0" w:after="0" w:afterAutospacing="0" w:line="240" w:lineRule="auto"/>
              <w:jc w:val="center"/>
              <w:rPr/>
            </w:pPr>
            <w:r>
              <w:rPr>
                <w:rFonts w:ascii="宋体" w:eastAsia="宋体" w:hAnsi="宋体" w:cs="宋体"/>
                <w:b/>
                <w:i w:val="0"/>
                <w:color w:val="000000"/>
                <w:sz w:val="30"/>
              </w:rPr>
              <w:t xml:space="preserve">(2023年度)</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项目(政策)名称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中小科技企业培育引导资金</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实施单位</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辽宁省盘锦市兴隆台区科学技术局-</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项目预算金额（万元）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50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全年执行数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95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执行率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0.0%</w:t>
            </w: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年度总体目标</w:t>
            </w: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年初设定目标</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全年实际完成情况</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8100"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推动科技型企业数量增长和质量提升；提升科技成果本地转化数量和质量。</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73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现已征集到科技成果转化6项。完成10家交易主体单位完成全国技术合同管理与服务系统注册和实名认证。组织20余家次企业参加东北科技大市场科技型企业惠企政策培训，让惠企业政策直达快享。组织20余家企业参加《技术合同认定登记工作》专题培训会，指导企业及时完成技术合同网上系统登记。组织4家企业参加盘锦市创新创业大赛，深入企业宣传发动。</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绩效指标</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一级指标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二级指标</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三级指标</w:t>
            </w:r>
          </w:p>
        </w:tc>
        <w:tc>
          <w:tcPr>
            <w:tcW w:w="249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年度目标值</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全年</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完成值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完成程度</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分值</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得分</w:t>
            </w:r>
          </w:p>
        </w:tc>
        <w:tc>
          <w:tcPr>
            <w:tcW w:w="400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未完成原因分析</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改进措施</w:t>
            </w:r>
          </w:p>
        </w:tc>
      </w:tr>
      <w:tr>
        <w:trPr>
          <w:trHeight w:hRule="exact" w:val="680"/>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运算</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符号</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内容</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度量</w:t>
            </w:r>
          </w:p>
          <w:p>
            <w:pPr>
              <w:snapToGrid w:val="0"/>
              <w:spacing w:before="0" w:beforeAutospacing="0" w:after="0" w:afterAutospacing="0" w:line="240" w:lineRule="auto"/>
              <w:jc w:val="center"/>
              <w:rPr/>
            </w:pPr>
            <w:r>
              <w:rPr>
                <w:rFonts w:ascii="宋体" w:eastAsia="宋体" w:hAnsi="宋体" w:cs="宋体"/>
                <w:b/>
                <w:i w:val="0"/>
                <w:color w:val="000000"/>
                <w:sz w:val="19"/>
              </w:rPr>
              <w:t xml:space="preserve">单位</w:t>
            </w:r>
          </w:p>
        </w:tc>
        <w:tc>
          <w:tcPr>
            <w:tcW w:w="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经费保障</w:t>
            </w: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制度保障</w:t>
            </w: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人员保障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硬件条件保障</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其他</w:t>
            </w: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原因说明</w:t>
            </w:r>
          </w:p>
        </w:tc>
        <w:tc>
          <w:tcPr>
            <w:tcW w:w="11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产出指标</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数量指标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新认定国家级高新技术企业数量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家</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科技成果转化数</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5</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5</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质量指标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政策宣传覆盖率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正常运转率</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8.5</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时效指标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补助资金下达及时性</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&lt;=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30</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天</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30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113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成本指标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经费支出规范性</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规范</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全部或基本达成预期指标100%-80%（含）</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8.3</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效益指标</w:t>
            </w: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经济效益指标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支持各类科技创新平台</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个数</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1</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454"/>
          <w:jc w:val="center"/>
        </w:trPr>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社会效益指标</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高新技术企业增加数量</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&gt;=</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65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家</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2</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100%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20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42"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指标自评得分小计</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3311"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90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21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预算执行率得分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099"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减分项</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pPr>
            <w:r>
              <w:rPr>
                <w:rFonts w:ascii="宋体" w:eastAsia="宋体" w:hAnsi="宋体" w:cs="宋体"/>
                <w:b w:val="0"/>
                <w:i w:val="0"/>
                <w:color w:val="000000"/>
                <w:sz w:val="19"/>
              </w:rPr>
              <w:t xml:space="preserve">31</w:t>
            </w:r>
          </w:p>
        </w:tc>
        <w:tc>
          <w:tcPr>
            <w:tcW w:w="222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绩效自评总得分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19"/>
              </w:rPr>
              <w:t xml:space="preserve">59</w:t>
            </w: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0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结果应用建议选项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具体建议内容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改进预算项目管理（改进措施和方式）</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w:t>
            </w: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val="0"/>
                <w:i w:val="0"/>
                <w:color w:val="000000"/>
                <w:sz w:val="19"/>
              </w:rPr>
              <w:t xml:space="preserve">单位将进一步细化项目管理细则，严格按照安慰规章制度，及时及时且合理的利用各项资金。</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完善制度设计，建议进行政策调整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政策到期，建议重新发布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不再继续安排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减少或取消安排</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907"/>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结构调整，压低效补高效</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预算一次核定、资金分年度拨付</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主管部门审核意见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改进预算项目管理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规范财政资金管理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进行政策调整</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政策到期重新发布</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调整公共服务标准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11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19"/>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59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14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r>
        <w:trPr>
          <w:trHeight w:hRule="exact" w:val="269"/>
          <w:jc w:val="center"/>
        </w:trPr>
        <w:tc>
          <w:tcPr>
            <w:tcW w:w="2986"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19"/>
              </w:rPr>
              <w:t xml:space="preserve">财政部门总体意见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1854"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r>
    </w:tbl>
    <w:p>
      <w:pPr>
        <w:sectPr>
          <w:pgSz w:w="16839" w:h="11907" w:orient="landscape"/>
          <w:pgMar w:top="400" w:right="1000" w:bottom="400" w:left="1000" w:header="720" w:footer="720" w:gutter="0"/>
        </w:sectPr>
      </w:pPr>
    </w:p>
    <w:tbl>
      <w:tblPr>
        <w:tblW w:w="0" w:type="auto"/>
        <w:jc w:val="center"/>
        <w:tblLayout w:type="fixed"/>
        <w:tblCellMar>
          <w:left w:w="20" w:type="dxa"/>
          <w:right w:w="20" w:type="dxa"/>
        </w:tblCellMar>
        <w:tblLook w:firstRow="0" w:lastRow="0" w:firstColumn="0" w:lastColumn="0" w:noHBand="1" w:noVBand="1"/>
      </w:tblPr>
      <w:tblGrid>
        <w:gridCol w:w="703"/>
        <w:gridCol w:w="703"/>
        <w:gridCol w:w="703"/>
        <w:gridCol w:w="666"/>
        <w:gridCol w:w="666"/>
        <w:gridCol w:w="666"/>
        <w:gridCol w:w="666"/>
        <w:gridCol w:w="666"/>
        <w:gridCol w:w="666"/>
        <w:gridCol w:w="666"/>
        <w:gridCol w:w="666"/>
        <w:gridCol w:w="925"/>
        <w:gridCol w:w="925"/>
        <w:gridCol w:w="925"/>
        <w:gridCol w:w="925"/>
        <w:gridCol w:w="925"/>
        <w:gridCol w:w="1850"/>
        <w:gridCol w:w="925"/>
      </w:tblGrid>
      <w:tr>
        <w:trPr>
          <w:trHeight w:hRule="exact" w:val="304"/>
          <w:jc w:val="center"/>
        </w:trPr>
        <w:tc>
          <w:tcPr>
            <w:tcW w:w="14837" w:type="dxa"/>
            <w:hMerge w:val="restart"/>
            <w:vMerge w:val="restart"/>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34"/>
              </w:rPr>
              <w:t xml:space="preserve">部门（单位）整体绩效自评表</w:t>
            </w:r>
          </w:p>
          <w:p>
            <w:pPr>
              <w:snapToGrid w:val="0"/>
              <w:spacing w:before="0" w:beforeAutospacing="0" w:after="0" w:afterAutospacing="0" w:line="240" w:lineRule="auto"/>
              <w:jc w:val="center"/>
              <w:rPr/>
            </w:pPr>
            <w:r>
              <w:rPr>
                <w:rFonts w:ascii="宋体" w:eastAsia="宋体" w:hAnsi="宋体" w:cs="宋体"/>
                <w:b/>
                <w:i w:val="0"/>
                <w:color w:val="000000"/>
                <w:sz w:val="34"/>
              </w:rPr>
              <w:t xml:space="preserve">（2023年度）</w:t>
            </w: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c>
          <w:tcPr>
            <w:tcW w:type="auto" w:w="0"/>
            <w:hMerge/>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14837" w:type="dxa"/>
            <w:hMerge w:val="restart"/>
            <w:v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c>
          <w:tcPr>
            <w:tcW w:type="auto" w:w="0"/>
            <w:hMerge/>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14837" w:type="dxa"/>
            <w:hMerge w:val="restart"/>
            <w:v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77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部门（单位）名称</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20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363011辽宁省盘锦市兴隆台区科学技术局-211103000</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20"/>
          <w:jc w:val="center"/>
        </w:trPr>
        <w:tc>
          <w:tcPr>
            <w:tcW w:w="277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部门年初预算收入金额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20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115.01</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20"/>
          <w:jc w:val="center"/>
        </w:trPr>
        <w:tc>
          <w:tcPr>
            <w:tcW w:w="277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部门年初预算支出金额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20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115.01</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2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年度主要任务</w:t>
            </w:r>
          </w:p>
        </w:tc>
        <w:tc>
          <w:tcPr>
            <w:tcW w:w="606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对应项目</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91"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项目下达金额</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项目执行金额</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项目执行率</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分值</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得分</w:t>
            </w:r>
          </w:p>
        </w:tc>
      </w:tr>
      <w:tr>
        <w:trPr>
          <w:trHeight w:hRule="exact" w:val="51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06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基本支出人员经费（保工资）</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91"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50.437607</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50.43</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13.3</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13.3</w:t>
            </w:r>
          </w:p>
        </w:tc>
      </w:tr>
      <w:tr>
        <w:trPr>
          <w:trHeight w:hRule="exact" w:val="51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06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基本支出公用经费（保运转）</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91"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2.0163</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2.01</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13.3</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13.3</w:t>
            </w:r>
          </w:p>
        </w:tc>
      </w:tr>
      <w:tr>
        <w:trPr>
          <w:trHeight w:hRule="exact" w:val="51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06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基本支出人员经费（刚性）</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591"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13.7204</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13.72</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85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13.4</w:t>
            </w: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13.4</w:t>
            </w:r>
          </w:p>
        </w:tc>
      </w:tr>
      <w:tr>
        <w:trPr>
          <w:trHeight w:hRule="exact" w:val="32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年度目标</w:t>
            </w:r>
          </w:p>
        </w:tc>
        <w:tc>
          <w:tcPr>
            <w:tcW w:w="6734"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年初总体目标</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全年完成情况</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51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734"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切实保障各项科技管理工作有效开展，取得实效</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一是开展科技活动周进社区、进学校活动，累计出动科技工作者30余人次，发放宣传手册400余册，宣传科技创新政策、科技法律法规及生态环保、低碳节能、健康生活等科普知识，提升全民科学素养。二是制定印发科技手册，开展企业成长情况跟踪服务，把最新的科技企业认定标准和优惠政策送进企业.</w:t>
            </w:r>
          </w:p>
          <w:p>
            <w:pPr>
              <w:snapToGrid w:val="0"/>
              <w:spacing w:before="0" w:beforeAutospacing="0" w:after="0" w:afterAutospacing="0" w:line="240" w:lineRule="auto"/>
              <w:jc w:val="center"/>
              <w:rPr/>
            </w:pPr>
            <w:r>
              <w:rPr>
                <w:rFonts w:ascii="宋体" w:eastAsia="宋体" w:hAnsi="宋体" w:cs="宋体"/>
                <w:b w:val="0"/>
                <w:i w:val="0"/>
                <w:color w:val="000000"/>
                <w:sz w:val="21"/>
              </w:rPr>
              <w:t xml:space="preserve">现已征集到科技成果转化6项。完成10家交易主体单位完成全国技术合同管理与服务系统注册和实名认证。组织20余家次企业参加东北科技大市场科技型企业惠企政策培训，让惠企业政策直达快享。组织20余家企业参加《技术合同认定登记工作》专题培训会，指导企业及时完成技术合同网上系统登记。组织4家企业参加盘锦市创新创业大赛，深入企业宣传发动。</w:t>
            </w:r>
          </w:p>
          <w:p>
            <w:pPr>
              <w:snapToGrid w:val="0"/>
              <w:spacing w:before="0" w:beforeAutospacing="0" w:after="0" w:afterAutospacing="0" w:line="240" w:lineRule="auto"/>
              <w:jc w:val="center"/>
              <w:rPr/>
            </w:pPr>
            <w:r>
              <w:rPr>
                <w:rFonts w:ascii="宋体" w:eastAsia="宋体" w:hAnsi="宋体" w:cs="宋体"/>
                <w:b w:val="0"/>
                <w:i w:val="0"/>
                <w:color w:val="000000"/>
                <w:sz w:val="21"/>
              </w:rPr>
              <w:t xml:space="preserve">  累计完成4家雏鹰企业申报，8家高新技术企业申报，25家新注册科技型中小企业。</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703"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绩效指标</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一级指标</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二级指标</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三级指标</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运算符号</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指标值</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度量单位</w:t>
            </w:r>
          </w:p>
        </w:tc>
        <w:tc>
          <w:tcPr>
            <w:tcW w:w="666"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全年完成值</w:t>
            </w:r>
          </w:p>
        </w:tc>
        <w:tc>
          <w:tcPr>
            <w:tcW w:w="666"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完成程度</w:t>
            </w:r>
          </w:p>
        </w:tc>
        <w:tc>
          <w:tcPr>
            <w:tcW w:w="666"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分值</w:t>
            </w:r>
          </w:p>
        </w:tc>
        <w:tc>
          <w:tcPr>
            <w:tcW w:w="666"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得分</w:t>
            </w:r>
          </w:p>
        </w:tc>
        <w:tc>
          <w:tcPr>
            <w:tcW w:w="4625"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偏差原因分析</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vMerge w:val="restart"/>
            <w:tcBorders>
              <w:top w:val="single" w:sz="4" w:space="0" w:color="000000"/>
              <w:lef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改进措施</w:t>
            </w:r>
          </w:p>
        </w:tc>
        <w:tc>
          <w:tcPr>
            <w:tcW w:type="auto" w:w="0"/>
            <w:hMerge/>
            <w:tcBorders>
              <w:top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vMerge/>
            <w:tcBorders>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经费保障原因分析</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制度保障原因分析</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人员保障原因分析</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硬件条件保障原因分析</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其他原因分析</w:t>
            </w:r>
          </w:p>
        </w:tc>
        <w:tc>
          <w:tcPr>
            <w:tcW w:w="2775" w:type="dxa"/>
            <w:hMerge w:val="restart"/>
            <w:vMerge/>
            <w:tcBorders>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履职效能</w:t>
            </w: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重点工作履行情况</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重点工作办结率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3.5</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整体工作完成情况</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总体工作完成率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工作完成及时率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工作质量达标率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基础管理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依法行政能力</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管理规范</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综合管理水平</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管理规范</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3.3</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768"/>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预算执行</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预算执行效率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预算执行率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1.6</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1.6</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768"/>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预算调整率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&lt;=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1.8</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1.8</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58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结转结余变动率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&lt;=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0.01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1.6</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因年底财政部门结算原因，财政部门未下发批复文件，款项尚未得到批复，从而结转资金。</w:t>
            </w: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其他:总结一下结转资金原因，再有即将结转资金的情况，单位将会及时，提前想财政部门进行上报。</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280"/>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管理效率</w:t>
            </w: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预算编制管理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预算绩效目标覆盖率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预算监督管理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预决算公开情况</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全部公开</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0.8</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0.8</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预算收支管理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预算收入管理规范性</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管理规范</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预算支出管理规范性</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管理规范</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财务管理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内控制度有效性</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制度有效</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资产管理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固定资产利用率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048"/>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业务管理</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政府采购管理违法违规行为发生次数</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次</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0.7</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280"/>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运行成本</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成本控制成效</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“三公”经费变动率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&lt;=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2.5</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024"/>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在职人员控制率</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&lt;=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2.5</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280"/>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社会效应</w:t>
            </w: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服务对象满意度</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科普活动参与者满意度</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&gt;=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90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90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1536"/>
          <w:jc w:val="center"/>
        </w:trPr>
        <w:tc>
          <w:tcPr>
            <w:tcW w:w="703" w:type="dxa"/>
            <w:vMerge/>
            <w:tcBorders>
              <w:top w:val="single" w:sz="4" w:space="0" w:color="000000"/>
              <w:left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社会公众满意度</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科技服务群众总体满意度</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&gt;=</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90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90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10</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2303"/>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pP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可持续性</w:t>
            </w: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体制机制改革</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推进实施科技成果转化政策激励试点</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支持鼓励</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全部或基本达成预期指标100%-80%（含）</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1</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5</w:t>
            </w: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2775"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36"/>
          <w:jc w:val="center"/>
        </w:trPr>
        <w:tc>
          <w:tcPr>
            <w:tcW w:w="7437" w:type="dxa"/>
            <w:hMerge w:val="restart"/>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r>
              <w:rPr>
                <w:rFonts w:ascii="Calibri" w:eastAsia="Calibri" w:hAnsi="Calibri" w:cs="Calibri"/>
                <w:b w:val="0"/>
                <w:i w:val="0"/>
                <w:color w:val="000000"/>
                <w:sz w:val="23"/>
              </w:rPr>
              <w:t xml:space="preserve">总评价得分</w:t>
            </w: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auto"/>
            <w:vAlign w:val="bottom"/>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r>
              <w:rPr>
                <w:rFonts w:ascii="Calibri" w:eastAsia="Calibri" w:hAnsi="Calibri" w:cs="Calibri"/>
                <w:b w:val="0"/>
                <w:i w:val="0"/>
                <w:color w:val="000000"/>
                <w:sz w:val="23"/>
              </w:rPr>
              <w:t xml:space="preserve">98.4</w:t>
            </w: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auto"/>
            <w:vAlign w:val="bottom"/>
          </w:tcPr>
          <w:p>
            <w:pPr>
              <w:snapToGrid w:val="0"/>
              <w:spacing w:before="0" w:beforeAutospacing="0" w:after="0" w:afterAutospacing="0" w:line="240" w:lineRule="auto"/>
              <w:jc w:val="center"/>
            </w:pPr>
          </w:p>
        </w:tc>
      </w:tr>
      <w:tr>
        <w:trPr>
          <w:trHeight w:hRule="exact" w:val="304"/>
          <w:jc w:val="center"/>
        </w:trPr>
        <w:tc>
          <w:tcPr>
            <w:tcW w:w="2109"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结果应用建议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5328"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结果应用建议选项</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具体建议内容</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建议进一步规范预算管理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建议改进业务管理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val="0"/>
                <w:i w:val="0"/>
                <w:color w:val="000000"/>
                <w:sz w:val="21"/>
              </w:rPr>
              <w:t xml:space="preserve">单位进一步提高预算绩效管理认识，强化以“绩效为中心、对支出结果负责、对社会公众负责”的理念，在绩效目标编制方面，针对绩效目标设置指向不清、预算和目标匹配不足，数量目标和质量目标量化不细，效益目标编制不完整等方面加以了改善。加强预算绩效动态监控管理，及时跟踪项目进度，对项目实施中存在的具体问题采取纠偏措施。加强相关专业技术人员的业务培训，进一步提高预算绩效评价质量。目前单位绩效评价结果还停留在反映情况、找问题、提建议层面，评价结果和预算安排有机结合的机制尚未真正建立。</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建议改进预算编制管理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建议进一步提升预算执行效率和效益</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建议改进资产管理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建议改进政府采购管理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建议调整公共服务标准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结果应用建议_建议核减下一年度经费数额</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建议消减低效、无效资金或结构调整</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建议回收长期沉淀的资金</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其他建议</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主管部门审核意见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规范预算管理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改进业务管理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改进预算编制管理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提升预算执行效率和效益</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改进资产管理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改进政府采购管理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调整公共服务标准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削减低效、无效资金</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对资金结构进行调整</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收回长期沉淀的资金</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主管部门总体意见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27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财政部门审核意见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建议继续全额安排</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建议继续安排，按规定调整下一年度预算金额</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规范预算管理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改进业务管理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改进预算编制管理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提升预算执行效率和效益</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改进资产管理</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改进政府采购管理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调整公共服务标准</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削减低效、无效资金</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对资金结构进行调整</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收回长期沉淀的资金</w:t>
            </w: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304"/>
          <w:jc w:val="center"/>
        </w:trPr>
        <w:tc>
          <w:tcPr>
            <w:tcW w:w="2109" w:type="dxa"/>
            <w:hMerge w:val="restart"/>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4662"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r>
              <w:rPr>
                <w:rFonts w:ascii="宋体" w:eastAsia="宋体" w:hAnsi="宋体" w:cs="宋体"/>
                <w:b/>
                <w:i w:val="0"/>
                <w:color w:val="000000"/>
                <w:sz w:val="21"/>
              </w:rPr>
              <w:t xml:space="preserve">其他意见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left"/>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7400"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r>
        <w:trPr>
          <w:trHeight w:hRule="exact" w:val="736"/>
          <w:jc w:val="center"/>
        </w:trPr>
        <w:tc>
          <w:tcPr>
            <w:tcW w:w="2109" w:type="dxa"/>
            <w:h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r>
              <w:rPr>
                <w:rFonts w:ascii="宋体" w:eastAsia="宋体" w:hAnsi="宋体" w:cs="宋体"/>
                <w:b/>
                <w:i w:val="0"/>
                <w:color w:val="000000"/>
                <w:sz w:val="21"/>
              </w:rPr>
              <w:t xml:space="preserve">财政部门总体意见</w:t>
            </w: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before="0" w:beforeAutospacing="0" w:after="0" w:afterAutospacing="0" w:line="240" w:lineRule="auto"/>
              <w:jc w:val="center"/>
            </w:pPr>
          </w:p>
        </w:tc>
        <w:tc>
          <w:tcPr>
            <w:tcW w:w="12728" w:type="dxa"/>
            <w:hMerge w:val="restart"/>
            <w:tcBorders>
              <w:top w:val="single" w:sz="4" w:space="0" w:color="000000"/>
              <w:left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c>
          <w:tcPr>
            <w:tcW w:type="auto" w:w="0"/>
            <w:hMerge/>
            <w:tcBorders>
              <w:top w:val="single" w:sz="4" w:space="0" w:color="000000"/>
              <w:bottom w:val="single" w:sz="4" w:space="0" w:color="000000"/>
            </w:tcBorders>
            <w:shd w:val="clear" w:color="auto" w:fill="FFFFFF"/>
            <w:vAlign w:val="center"/>
          </w:tcPr>
          <w:p>
            <w:pPr>
              <w:snapToGrid w:val="0"/>
              <w:spacing w:before="0" w:beforeAutospacing="0" w:after="0" w:afterAutospacing="0" w:line="240" w:lineRule="auto"/>
              <w:jc w:val="center"/>
            </w:pPr>
          </w:p>
        </w:tc>
      </w:tr>
    </w:tbl>
    <w:p>
      <w:pPr>
        <w:sectPr>
          <w:pgSz w:w="16839" w:h="11907" w:orient="landscape"/>
          <w:pgMar w:top="400" w:right="1000" w:bottom="400" w:left="1000" w:header="720" w:footer="720" w:gutter="0"/>
        </w:sectPr>
      </w:pPr>
    </w:p>
    <w:p>
      <w:pPr>
        <w:pStyle w:val="Normal_bc00da55-3245-4621-a249-99c2eb7c3e6a"/>
      </w:pPr>
      <w:r>
        <w:pict>
          <v:shape id="_x0000_i97271" type="#_x0000_t75" style="height:792.25pt;width:595.15pt" o:bordertopcolor="this" o:borderleftcolor="this" o:borderbottomcolor="this" o:borderrightcolor="this">
            <v:imagedata r:id="rId8" o:title=""/>
          </v:shape>
        </w:pict>
      </w:r>
    </w:p>
    <w:p>
      <w:pPr>
        <w:pStyle w:val="Normal_bc00da55-3245-4621-a249-99c2eb7c3e6a"/>
      </w:pPr>
      <w:r>
        <w:pict>
          <v:shape id="_x0000_i97272" type="#_x0000_t75" style="height:792.25pt;width:595.15pt" o:bordertopcolor="this" o:borderleftcolor="this" o:borderbottomcolor="this" o:borderrightcolor="this">
            <v:imagedata r:id="rId9" o:title=""/>
          </v:shape>
        </w:pict>
      </w:r>
    </w:p>
    <w:p>
      <w:pPr>
        <w:pStyle w:val="Normal_bc00da55-3245-4621-a249-99c2eb7c3e6a"/>
      </w:pPr>
      <w:r>
        <w:pict>
          <v:shape id="_x0000_i97273" type="#_x0000_t75" style="height:792.25pt;width:595.15pt" o:bordertopcolor="this" o:borderleftcolor="this" o:borderbottomcolor="this" o:borderrightcolor="this">
            <v:imagedata r:id="rId10" o:title=""/>
          </v:shape>
        </w:pict>
      </w:r>
    </w:p>
    <w:p>
      <w:pPr>
        <w:pStyle w:val="Normal_bc00da55-3245-4621-a249-99c2eb7c3e6a"/>
      </w:pPr>
      <w:r>
        <w:pict>
          <v:shape id="_x0000_i97274" type="#_x0000_t75" style="height:792.25pt;width:595.15pt" o:bordertopcolor="this" o:borderleftcolor="this" o:borderbottomcolor="this" o:borderrightcolor="this">
            <v:imagedata r:id="rId11" o:title=""/>
          </v:shape>
        </w:pict>
      </w:r>
    </w:p>
    <w:p>
      <w:pPr>
        <w:pStyle w:val="Normal_bc00da55-3245-4621-a249-99c2eb7c3e6a"/>
      </w:pPr>
      <w:r>
        <w:pict>
          <v:shape id="_x0000_i97275" type="#_x0000_t75" style="height:792.25pt;width:595.15pt" o:bordertopcolor="this" o:borderleftcolor="this" o:borderbottomcolor="this" o:borderrightcolor="this">
            <v:imagedata r:id="rId12" o:title=""/>
          </v:shape>
        </w:pict>
      </w:r>
    </w:p>
    <w:sectPr>
      <w:headerReference w:type="default" r:id="rId13"/>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34"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97270"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bc00da55-3245-4621-a249-99c2eb7c3e6a"/>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27"/>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bc00da55-3245-4621-a249-99c2eb7c3e6a">
    <w:name w:val="Normal_bc00da55-3245-4621-a249-99c2eb7c3e6a"/>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2024-09-24T09:58:16Z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4081</Words>
  <Characters>12790</Characters>
  <Lines>90</Lines>
  <Paragraphs>25</Paragraphs>
  <TotalTime>3</TotalTime>
  <ScaleCrop>false</ScaleCrop>
  <LinksUpToDate>false</LinksUpToDate>
  <CharactersWithSpaces>12915</CharactersWithSpaces>
  <Application>WPS Office_12.1.0.18276_F1E327BC-269C-435d-A152-05C5408002CA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4081</Words>
  <Characters>12790</Characters>
  <Application>WPS Office_12.1.0.18276_F1E327BC-269C-435d-A152-05C5408002CA</Application>
  <DocSecurity>0</DocSecurity>
  <Lines>90</Lines>
  <Paragraphs>25</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10</cp:revision>
  <cp:lastPrinted>2023-07-31T21:56:00Z</cp:lastPrinted>
  <dcterms:created xsi:type="dcterms:W3CDTF">2024-05-11T01:33:00Z</dcterms:created>
  <dcterms:modified xsi:type="dcterms:W3CDTF">2024-09-24T09:58:16Z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2052-12.1.0.18276</vt:lpwstr>
  </property>
  <property fmtid="{D5CDD505-2E9C-101B-9397-08002B2CF9AE}" pid="3" name="ICV">
    <vt:lpwstr>EC9CEE0467244214B2233E74EBAAD9F6_13</vt:lpwstr>
  </property>
</Properties>
</file>