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rPr>
          <w:b/>
          <w:color w:val="auto"/>
          <w:sz w:val="44"/>
          <w:szCs w:val="44"/>
          <w:highlight w:val="none"/>
          <w:u w:val="single"/>
        </w:rPr>
      </w:pPr>
    </w:p>
    <w:p>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辽宁省盘锦市兴隆台区人民代表大会常务委员会办公室</w:t>
      </w:r>
    </w:p>
    <w:p>
      <w:pPr>
        <w:spacing w:line="360" w:lineRule="auto"/>
        <w:jc w:val="center"/>
        <w:rPr>
          <w:rFonts w:ascii="宋体" w:hAnsi="宋体"/>
          <w:b/>
          <w:color w:val="auto"/>
          <w:sz w:val="52"/>
          <w:szCs w:val="52"/>
          <w:highlight w:val="none"/>
        </w:rPr>
      </w:pPr>
      <w:r>
        <w:rPr>
          <w:rFonts w:hint="eastAsia" w:ascii="宋体" w:hAnsi="宋体"/>
          <w:b/>
          <w:color w:val="auto"/>
          <w:sz w:val="48"/>
          <w:szCs w:val="48"/>
          <w:highlight w:val="none"/>
        </w:rPr>
        <w:t>2023年度部门决算</w:t>
      </w:r>
    </w:p>
    <w:p>
      <w:pPr>
        <w:spacing w:line="540" w:lineRule="exact"/>
        <w:jc w:val="center"/>
        <w:rPr>
          <w:rFonts w:ascii="宋体" w:hAnsi="宋体"/>
          <w:b/>
          <w:color w:val="auto"/>
          <w:sz w:val="52"/>
          <w:szCs w:val="52"/>
          <w:highlight w:val="non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u w:val="single"/>
        </w:rPr>
      </w:pPr>
    </w:p>
    <w:p>
      <w:pPr>
        <w:spacing w:line="540" w:lineRule="exact"/>
        <w:jc w:val="center"/>
        <w:rPr>
          <w:b/>
          <w:color w:val="auto"/>
          <w:sz w:val="44"/>
          <w:szCs w:val="44"/>
          <w:highlight w:val="none"/>
        </w:rPr>
      </w:pPr>
    </w:p>
    <w:p>
      <w:pPr>
        <w:spacing w:line="540" w:lineRule="exact"/>
        <w:jc w:val="center"/>
        <w:rPr>
          <w:b/>
          <w:color w:val="auto"/>
          <w:sz w:val="44"/>
          <w:szCs w:val="44"/>
          <w:highlight w:val="none"/>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color w:val="auto"/>
          <w:sz w:val="44"/>
          <w:szCs w:val="44"/>
          <w:highlight w:val="none"/>
        </w:rPr>
      </w:pPr>
      <w:r>
        <w:rPr>
          <w:rFonts w:hint="eastAsia"/>
          <w:b/>
          <w:color w:val="auto"/>
          <w:sz w:val="44"/>
          <w:szCs w:val="44"/>
          <w:highlight w:val="none"/>
        </w:rPr>
        <w:t>目    录</w:t>
      </w:r>
    </w:p>
    <w:p>
      <w:pPr>
        <w:spacing w:line="540" w:lineRule="exact"/>
        <w:rPr>
          <w:b/>
          <w:color w:val="auto"/>
          <w:sz w:val="44"/>
          <w:szCs w:val="44"/>
          <w:highlight w:val="none"/>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第一部分  辽宁省盘锦市兴隆台区人民代表大会常务委员会办公室概况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hAnsi="黑体" w:eastAsia="仿宋_GB2312"/>
          <w:color w:val="auto"/>
          <w:sz w:val="32"/>
          <w:szCs w:val="32"/>
          <w:highlight w:val="none"/>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hAnsi="黑体" w:eastAsia="仿宋_GB2312"/>
          <w:color w:val="auto"/>
          <w:sz w:val="32"/>
          <w:szCs w:val="32"/>
          <w:highlight w:val="none"/>
        </w:rPr>
        <w:t>辽宁省盘锦市兴隆台区人民代表大会常务委员会办公室决算单位构成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第二部分  2023年度辽宁省盘锦市兴隆台区人民代表大会常务委员会办公室部门决算情况说明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部分</w:t>
      </w:r>
      <w:r>
        <w:rPr>
          <w:rFonts w:hint="eastAsia" w:ascii="黑体" w:hAnsi="黑体" w:eastAsia="黑体"/>
          <w:color w:val="auto"/>
          <w:sz w:val="32"/>
          <w:szCs w:val="32"/>
          <w:highlight w:val="none"/>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四</w:t>
      </w:r>
      <w:r>
        <w:rPr>
          <w:rFonts w:hint="eastAsia" w:ascii="黑体" w:hAnsi="黑体" w:eastAsia="黑体"/>
          <w:color w:val="auto"/>
          <w:sz w:val="32"/>
          <w:szCs w:val="32"/>
          <w:highlight w:val="none"/>
        </w:rPr>
        <w:t>部分  2023年度辽宁省盘锦市兴隆台区人民代表大会常务委员会办公室部门决算表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r>
        <w:rPr>
          <w:rFonts w:hint="eastAsia" w:ascii="仿宋_GB2312" w:eastAsia="仿宋_GB2312"/>
          <w:color w:val="auto"/>
          <w:sz w:val="32"/>
          <w:szCs w:val="32"/>
          <w:highlight w:val="none"/>
        </w:rPr>
        <w:t>一、</w:t>
      </w:r>
      <w:r>
        <w:rPr>
          <w:rFonts w:hint="eastAsia" w:ascii="仿宋_GB2312" w:hAnsi="仿宋" w:eastAsia="仿宋_GB2312"/>
          <w:color w:val="auto"/>
          <w:sz w:val="32"/>
          <w:szCs w:val="32"/>
          <w:highlight w:val="none"/>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r>
        <w:rPr>
          <w:rFonts w:hint="eastAsia" w:ascii="仿宋_GB2312" w:eastAsia="仿宋_GB2312"/>
          <w:color w:val="auto"/>
          <w:sz w:val="32"/>
          <w:szCs w:val="32"/>
          <w:highlight w:val="none"/>
        </w:rPr>
        <w:t>四、</w:t>
      </w:r>
      <w:r>
        <w:rPr>
          <w:rFonts w:hint="eastAsia" w:ascii="仿宋_GB2312" w:hAnsi="仿宋" w:eastAsia="仿宋_GB2312"/>
          <w:color w:val="auto"/>
          <w:sz w:val="32"/>
          <w:szCs w:val="32"/>
          <w:highlight w:val="none"/>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五、一般公共预算</w:t>
      </w:r>
      <w:r>
        <w:rPr>
          <w:rFonts w:ascii="仿宋_GB2312" w:eastAsia="仿宋_GB2312"/>
          <w:color w:val="auto"/>
          <w:sz w:val="32"/>
          <w:szCs w:val="32"/>
          <w:highlight w:val="none"/>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六、一般公共预算</w:t>
      </w:r>
      <w:r>
        <w:rPr>
          <w:rFonts w:ascii="仿宋_GB2312" w:eastAsia="仿宋_GB2312"/>
          <w:color w:val="auto"/>
          <w:sz w:val="32"/>
          <w:szCs w:val="32"/>
          <w:highlight w:val="none"/>
        </w:rPr>
        <w:t>财政拨款</w:t>
      </w:r>
      <w:r>
        <w:rPr>
          <w:rFonts w:hint="eastAsia" w:ascii="仿宋_GB2312" w:eastAsia="仿宋_GB2312"/>
          <w:color w:val="auto"/>
          <w:sz w:val="32"/>
          <w:szCs w:val="32"/>
          <w:highlight w:val="none"/>
        </w:rPr>
        <w:t>基本支出</w:t>
      </w:r>
      <w:r>
        <w:rPr>
          <w:rFonts w:ascii="仿宋_GB2312" w:eastAsia="仿宋_GB2312"/>
          <w:color w:val="auto"/>
          <w:sz w:val="32"/>
          <w:szCs w:val="32"/>
          <w:highlight w:val="none"/>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八、</w:t>
      </w:r>
      <w:r>
        <w:rPr>
          <w:rFonts w:ascii="仿宋_GB2312" w:eastAsia="仿宋_GB2312"/>
          <w:color w:val="auto"/>
          <w:sz w:val="32"/>
          <w:szCs w:val="32"/>
          <w:highlight w:val="none"/>
        </w:rPr>
        <w:t>政府性基金预算财政拨款</w:t>
      </w:r>
      <w:r>
        <w:rPr>
          <w:rFonts w:hint="eastAsia" w:ascii="仿宋_GB2312" w:eastAsia="仿宋_GB2312"/>
          <w:color w:val="auto"/>
          <w:sz w:val="32"/>
          <w:szCs w:val="32"/>
          <w:highlight w:val="none"/>
        </w:rPr>
        <w:t>收入</w:t>
      </w:r>
      <w:r>
        <w:rPr>
          <w:rFonts w:ascii="仿宋_GB2312" w:eastAsia="仿宋_GB2312"/>
          <w:color w:val="auto"/>
          <w:sz w:val="32"/>
          <w:szCs w:val="32"/>
          <w:highlight w:val="none"/>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olor w:val="auto"/>
          <w:sz w:val="32"/>
          <w:szCs w:val="32"/>
          <w:highlight w:val="none"/>
          <w:lang w:val="en-US"/>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rPr>
        <w:t>部分</w:t>
      </w:r>
      <w:r>
        <w:rPr>
          <w:rFonts w:hint="eastAsia" w:ascii="黑体" w:hAnsi="黑体" w:eastAsia="黑体"/>
          <w:color w:val="auto"/>
          <w:sz w:val="32"/>
          <w:szCs w:val="32"/>
          <w:highlight w:val="none"/>
          <w:lang w:val="en-US" w:eastAsia="zh-CN"/>
        </w:rPr>
        <w:t xml:space="preserve">  附件</w:t>
      </w:r>
    </w:p>
    <w:p>
      <w:pPr>
        <w:spacing w:line="540" w:lineRule="exact"/>
        <w:ind w:left="638" w:leftChars="304" w:firstLine="0" w:firstLineChars="0"/>
        <w:rPr>
          <w:rFonts w:hint="eastAsia" w:ascii="仿宋_GB2312" w:eastAsia="仿宋_GB2312"/>
          <w:color w:val="auto"/>
          <w:sz w:val="32"/>
          <w:szCs w:val="32"/>
          <w:highlight w:val="none"/>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color w:val="auto"/>
          <w:sz w:val="32"/>
          <w:szCs w:val="32"/>
          <w:highlight w:val="none"/>
        </w:rPr>
      </w:pPr>
    </w:p>
    <w:p>
      <w:pPr>
        <w:spacing w:line="540" w:lineRule="exact"/>
        <w:jc w:val="center"/>
        <w:rPr>
          <w:rFonts w:ascii="宋体" w:hAnsi="宋体"/>
          <w:b/>
          <w:color w:val="auto"/>
          <w:sz w:val="36"/>
          <w:szCs w:val="36"/>
          <w:highlight w:val="none"/>
        </w:rPr>
      </w:pPr>
      <w:r>
        <w:rPr>
          <w:rFonts w:hint="eastAsia" w:ascii="宋体" w:hAnsi="宋体"/>
          <w:b/>
          <w:color w:val="auto"/>
          <w:sz w:val="36"/>
          <w:szCs w:val="36"/>
          <w:highlight w:val="none"/>
        </w:rPr>
        <w:t>第一部分 辽宁省盘锦市兴隆台区人民代表大会常务委员会办公室概况</w:t>
      </w:r>
    </w:p>
    <w:p>
      <w:pPr>
        <w:spacing w:line="540" w:lineRule="exact"/>
        <w:ind w:firstLine="640" w:firstLineChars="200"/>
        <w:jc w:val="left"/>
        <w:rPr>
          <w:rFonts w:ascii="黑体" w:eastAsia="黑体"/>
          <w:color w:val="auto"/>
          <w:sz w:val="32"/>
          <w:szCs w:val="32"/>
          <w:highlight w:val="none"/>
        </w:rPr>
      </w:pPr>
    </w:p>
    <w:p>
      <w:pPr>
        <w:spacing w:line="540" w:lineRule="exact"/>
        <w:ind w:firstLine="640" w:firstLineChars="200"/>
        <w:jc w:val="left"/>
        <w:rPr>
          <w:rFonts w:ascii="黑体" w:eastAsia="黑体"/>
          <w:color w:val="auto"/>
          <w:sz w:val="32"/>
          <w:szCs w:val="32"/>
          <w:highlight w:val="none"/>
        </w:rPr>
      </w:pPr>
      <w:r>
        <w:rPr>
          <w:rFonts w:hint="eastAsia" w:ascii="黑体" w:hAnsi="宋体" w:eastAsia="黑体" w:cs="黑体"/>
          <w:color w:val="auto"/>
          <w:kern w:val="0"/>
          <w:sz w:val="32"/>
          <w:szCs w:val="32"/>
          <w:highlight w:val="none"/>
        </w:rPr>
        <w:t>一、主要职责</w:t>
      </w:r>
    </w:p>
    <w:p>
      <w:pPr>
        <w:wordWrap w:val="0"/>
        <w:topLinePunct/>
        <w:spacing w:line="540" w:lineRule="exact"/>
        <w:ind w:firstLine="640" w:firstLineChars="200"/>
        <w:jc w:val="both"/>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（1）在本区行政区域内，保证宪法、法律、行政法规和上级人民代表大会及其常务委员会决议的遵守和执行。</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（2）领导或者主持兴隆台区人民代表大会代表的选举。</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（3）召集兴隆台区人民代表大会会议。</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（4）讨论、决定本行政区域内的政治、经济、教育、科学、文化、卫生、环境和资源保护、民政、民族等工作的重大事项。</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（5）根据兴隆台区人民政府的建议，决定对本区国民经济和社会发展计划、预算的部分变更。</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（6）监督兴隆台区人民政府、人民法院和人民检察院的工作，联系兴隆台区人民代表大会代表，受理人民群众对上述机关和国家工作人员的申诉。</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（7）撤销兴隆台区人民政府不适当的决定和命令。</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（8）根据法律规定的权限，任免本区国家机关工作人员。</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（9）在兴隆台区人民代表大会闭会期间，补选市人民代表大会出缺的代表和罢免个别代表。</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（10）决定授予地方的荣誉称号。</w:t>
      </w:r>
    </w:p>
    <w:p>
      <w:pPr>
        <w:spacing w:line="540" w:lineRule="exact"/>
        <w:ind w:firstLine="640" w:firstLineChars="200"/>
        <w:jc w:val="left"/>
        <w:rPr>
          <w:rFonts w:ascii="黑体" w:eastAsia="黑体"/>
          <w:color w:val="auto"/>
          <w:sz w:val="32"/>
          <w:szCs w:val="32"/>
          <w:highlight w:val="none"/>
        </w:rPr>
      </w:pPr>
      <w:r>
        <w:rPr>
          <w:rFonts w:hint="eastAsia" w:ascii="黑体" w:hAnsi="宋体" w:eastAsia="黑体" w:cs="黑体"/>
          <w:color w:val="auto"/>
          <w:kern w:val="0"/>
          <w:sz w:val="32"/>
          <w:szCs w:val="32"/>
          <w:highlight w:val="none"/>
        </w:rPr>
        <w:t>二、部门决算单位构成</w:t>
      </w:r>
    </w:p>
    <w:p>
      <w:pPr>
        <w:spacing w:line="540" w:lineRule="exact"/>
        <w:ind w:firstLine="643" w:firstLineChars="200"/>
        <w:jc w:val="left"/>
        <w:rPr>
          <w:rFonts w:ascii="仿宋_GB2312" w:eastAsia="仿宋_GB2312"/>
          <w:b/>
          <w:color w:val="auto"/>
          <w:sz w:val="32"/>
          <w:szCs w:val="32"/>
          <w:highlight w:val="none"/>
        </w:rPr>
      </w:pPr>
      <w:r>
        <w:rPr>
          <w:rFonts w:hint="eastAsia" w:ascii="仿宋_GB2312" w:eastAsia="仿宋_GB2312"/>
          <w:b/>
          <w:color w:val="auto"/>
          <w:sz w:val="32"/>
          <w:szCs w:val="32"/>
          <w:highlight w:val="none"/>
        </w:rPr>
        <w:t>纳入辽宁省盘锦市兴隆台区人民代表大会常务委员会办公室2023年部门决算编制范围的预算单位包括：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兴隆台区人大常委会内设</w:t>
      </w:r>
      <w:r>
        <w:rPr>
          <w:rFonts w:hint="eastAsia" w:ascii="仿宋_GB2312" w:hAnsi="宋体" w:eastAsia="仿宋_GB2312" w:cs="仿宋_GB2312"/>
          <w:color w:val="auto"/>
          <w:kern w:val="0"/>
          <w:sz w:val="32"/>
          <w:szCs w:val="32"/>
          <w:highlight w:val="none"/>
          <w:lang w:val="en-US" w:eastAsia="zh-CN"/>
        </w:rPr>
        <w:t>4</w:t>
      </w:r>
      <w:r>
        <w:rPr>
          <w:rFonts w:hint="eastAsia" w:ascii="仿宋_GB2312" w:hAnsi="宋体" w:eastAsia="仿宋_GB2312" w:cs="仿宋_GB2312"/>
          <w:color w:val="auto"/>
          <w:kern w:val="0"/>
          <w:sz w:val="32"/>
          <w:szCs w:val="32"/>
          <w:highlight w:val="none"/>
        </w:rPr>
        <w:t>个机构，分别是办公室、预算工作委员会、法制工作委员会、代表工作委员会。</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设有派出机构11个，分别是振兴、创新、惠宾、渤海、兴隆、兴盛、兴海、新工、曙光、欢喜岭、沈采</w:t>
      </w:r>
      <w:r>
        <w:rPr>
          <w:rFonts w:hint="eastAsia" w:ascii="仿宋_GB2312" w:hAnsi="宋体" w:eastAsia="仿宋_GB2312" w:cs="仿宋_GB2312"/>
          <w:color w:val="auto"/>
          <w:kern w:val="0"/>
          <w:sz w:val="32"/>
          <w:szCs w:val="32"/>
          <w:highlight w:val="none"/>
          <w:lang w:eastAsia="zh-CN"/>
        </w:rPr>
        <w:t>街道工作委员会</w:t>
      </w:r>
      <w:r>
        <w:rPr>
          <w:rFonts w:hint="eastAsia" w:ascii="仿宋_GB2312" w:hAnsi="宋体" w:eastAsia="仿宋_GB2312" w:cs="仿宋_GB2312"/>
          <w:color w:val="auto"/>
          <w:kern w:val="0"/>
          <w:sz w:val="32"/>
          <w:szCs w:val="32"/>
          <w:highlight w:val="none"/>
        </w:rPr>
        <w:t>。</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区人民代表大会设有5个专委会，分别是财经委员会、监察和司法委员会、教科文卫委员会、社会建设委员会、人事选举委员会。</w:t>
      </w:r>
    </w:p>
    <w:p>
      <w:pPr>
        <w:spacing w:line="540" w:lineRule="exact"/>
        <w:ind w:firstLine="420" w:firstLineChars="200"/>
        <w:jc w:val="center"/>
        <w:rPr>
          <w:rFonts w:ascii="宋体" w:hAnsi="宋体"/>
          <w:b/>
          <w:color w:val="auto"/>
          <w:sz w:val="36"/>
          <w:szCs w:val="36"/>
          <w:highlight w:val="none"/>
        </w:rPr>
      </w:pPr>
      <w:r>
        <w:rPr>
          <w:color w:val="auto"/>
          <w:highlight w:val="none"/>
        </w:rPr>
        <w:br w:type="page"/>
      </w:r>
      <w:r>
        <w:rPr>
          <w:rFonts w:hint="eastAsia" w:ascii="宋体" w:hAnsi="宋体"/>
          <w:b/>
          <w:color w:val="auto"/>
          <w:sz w:val="36"/>
          <w:szCs w:val="36"/>
          <w:highlight w:val="none"/>
        </w:rPr>
        <w:t>第二部分 2023年度部门决算情况说明</w:t>
      </w:r>
    </w:p>
    <w:p>
      <w:pPr>
        <w:spacing w:line="540" w:lineRule="exact"/>
        <w:rPr>
          <w:rFonts w:ascii="宋体" w:hAnsi="宋体"/>
          <w:b/>
          <w:color w:val="auto"/>
          <w:sz w:val="36"/>
          <w:szCs w:val="36"/>
          <w:highlight w:val="none"/>
        </w:rPr>
      </w:pPr>
    </w:p>
    <w:p>
      <w:pPr>
        <w:spacing w:line="540" w:lineRule="exact"/>
        <w:ind w:firstLine="627" w:firstLineChars="196"/>
        <w:rPr>
          <w:rFonts w:ascii="黑体" w:hAnsi="黑体" w:eastAsia="黑体"/>
          <w:color w:val="auto"/>
          <w:sz w:val="32"/>
          <w:szCs w:val="32"/>
          <w:highlight w:val="none"/>
        </w:rPr>
      </w:pPr>
      <w:r>
        <w:rPr>
          <w:rFonts w:hint="eastAsia" w:ascii="黑体" w:hAnsi="宋体" w:eastAsia="黑体" w:cs="黑体"/>
          <w:color w:val="auto"/>
          <w:sz w:val="32"/>
          <w:szCs w:val="32"/>
          <w:highlight w:val="none"/>
        </w:rPr>
        <w:t>一、收入支出决算总体情况说明</w:t>
      </w:r>
    </w:p>
    <w:p>
      <w:pPr>
        <w:spacing w:line="540" w:lineRule="exact"/>
        <w:ind w:firstLine="660"/>
        <w:rPr>
          <w:rFonts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（一）收入总计354.93万元，包括：</w:t>
      </w:r>
    </w:p>
    <w:p>
      <w:pPr>
        <w:spacing w:line="54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1.财政拨款收入</w:t>
      </w:r>
      <w:r>
        <w:rPr>
          <w:rFonts w:hint="eastAsia" w:ascii="仿宋_GB2312" w:eastAsia="仿宋_GB2312" w:cs="仿宋_GB2312"/>
          <w:color w:val="auto"/>
          <w:sz w:val="32"/>
          <w:szCs w:val="32"/>
          <w:highlight w:val="none"/>
        </w:rPr>
        <w:t>354.93</w:t>
      </w:r>
      <w:r>
        <w:rPr>
          <w:rFonts w:hint="eastAsia" w:ascii="仿宋_GB2312" w:hAnsi="宋体" w:eastAsia="仿宋_GB2312"/>
          <w:color w:val="auto"/>
          <w:sz w:val="32"/>
          <w:szCs w:val="32"/>
          <w:highlight w:val="none"/>
        </w:rPr>
        <w:t>万元，占</w:t>
      </w:r>
      <w:r>
        <w:rPr>
          <w:rFonts w:ascii="仿宋_GB2312" w:hAnsi="宋体" w:eastAsia="仿宋_GB2312"/>
          <w:color w:val="auto"/>
          <w:sz w:val="32"/>
          <w:szCs w:val="32"/>
          <w:highlight w:val="none"/>
        </w:rPr>
        <w:t>收入总计的</w:t>
      </w:r>
      <w:r>
        <w:rPr>
          <w:rFonts w:hint="eastAsia" w:ascii="仿宋_GB2312" w:eastAsia="仿宋_GB2312" w:cs="仿宋_GB2312"/>
          <w:color w:val="auto"/>
          <w:sz w:val="32"/>
          <w:szCs w:val="32"/>
          <w:highlight w:val="none"/>
        </w:rPr>
        <w:t>100.00</w:t>
      </w:r>
      <w:r>
        <w:rPr>
          <w:rFonts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。其中：一般公共预算财政拨款收入</w:t>
      </w:r>
      <w:r>
        <w:rPr>
          <w:rFonts w:hint="eastAsia" w:ascii="仿宋_GB2312" w:eastAsia="仿宋_GB2312" w:cs="仿宋_GB2312"/>
          <w:color w:val="auto"/>
          <w:sz w:val="32"/>
          <w:szCs w:val="32"/>
          <w:highlight w:val="none"/>
        </w:rPr>
        <w:t>354.93</w:t>
      </w:r>
      <w:r>
        <w:rPr>
          <w:rFonts w:hint="eastAsia" w:ascii="仿宋_GB2312" w:hAnsi="宋体" w:eastAsia="仿宋_GB2312"/>
          <w:color w:val="auto"/>
          <w:sz w:val="32"/>
          <w:szCs w:val="32"/>
          <w:highlight w:val="none"/>
        </w:rPr>
        <w:t>万元，政府性基金预算财政拨款收入</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万元，国有资本经营预算财政拨款收入</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w:t>
      </w:r>
    </w:p>
    <w:p>
      <w:pPr>
        <w:spacing w:line="540" w:lineRule="exact"/>
        <w:ind w:firstLine="66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2.上级补助收入</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万元，占收入总计的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topLinePunct/>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3.事业收入</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万元，占收入总计的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spacing w:line="54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4.经营收入</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万元，占收入总计的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5.附属单位上缴收入</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万元，占收入总计的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spacing w:line="54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6.其他收入</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万元，占收入总计的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7.使用非财政拨款结余</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万元，占收入总计的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8.上年结转和结余</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万元，占收入总计的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topLinePunct/>
        <w:spacing w:line="540" w:lineRule="exact"/>
        <w:ind w:firstLine="658"/>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与上年相比，今年收入</w:t>
      </w:r>
      <w:r>
        <w:rPr>
          <w:rFonts w:hint="eastAsia" w:ascii="仿宋_GB2312" w:hAnsi="宋体" w:eastAsia="仿宋_GB2312"/>
          <w:color w:val="auto"/>
          <w:sz w:val="32"/>
          <w:szCs w:val="32"/>
          <w:highlight w:val="none"/>
          <w:lang w:val="en-US" w:eastAsia="zh-CN"/>
        </w:rPr>
        <w:t>总计</w:t>
      </w:r>
      <w:r>
        <w:rPr>
          <w:rFonts w:hint="eastAsia" w:ascii="仿宋_GB2312" w:hAnsi="宋体" w:eastAsia="仿宋_GB2312"/>
          <w:color w:val="auto"/>
          <w:sz w:val="32"/>
          <w:szCs w:val="32"/>
          <w:highlight w:val="none"/>
        </w:rPr>
        <w:t>减少80.57万元，降低18.50%,主要原因：</w:t>
      </w:r>
      <w:r>
        <w:rPr>
          <w:rFonts w:hint="default" w:ascii="仿宋_GB2312" w:hAnsi="宋体" w:eastAsia="仿宋_GB2312"/>
          <w:color w:val="auto"/>
          <w:sz w:val="32"/>
          <w:szCs w:val="32"/>
          <w:highlight w:val="none"/>
        </w:rPr>
        <w:t>人员经费、项目经费支出减少</w:t>
      </w:r>
      <w:r>
        <w:rPr>
          <w:rFonts w:hint="eastAsia" w:ascii="仿宋_GB2312" w:hAnsi="宋体" w:eastAsia="仿宋_GB2312"/>
          <w:color w:val="auto"/>
          <w:sz w:val="32"/>
          <w:szCs w:val="32"/>
          <w:highlight w:val="none"/>
          <w:lang w:eastAsia="zh-CN"/>
        </w:rPr>
        <w:t>。</w:t>
      </w:r>
    </w:p>
    <w:p>
      <w:pPr>
        <w:spacing w:line="540" w:lineRule="exact"/>
        <w:ind w:firstLine="660"/>
        <w:rPr>
          <w:rFonts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（二）支出总计354.93万元，包括：</w:t>
      </w:r>
    </w:p>
    <w:p>
      <w:pPr>
        <w:spacing w:line="54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1.基本支出</w:t>
      </w:r>
      <w:r>
        <w:rPr>
          <w:rFonts w:hint="eastAsia" w:ascii="仿宋_GB2312" w:eastAsia="仿宋_GB2312" w:cs="仿宋_GB2312"/>
          <w:color w:val="auto"/>
          <w:sz w:val="32"/>
          <w:szCs w:val="32"/>
          <w:highlight w:val="none"/>
        </w:rPr>
        <w:t>303.43</w:t>
      </w:r>
      <w:r>
        <w:rPr>
          <w:rFonts w:hint="eastAsia" w:ascii="仿宋_GB2312" w:hAnsi="宋体" w:eastAsia="仿宋_GB2312"/>
          <w:color w:val="auto"/>
          <w:sz w:val="32"/>
          <w:szCs w:val="32"/>
          <w:highlight w:val="none"/>
        </w:rPr>
        <w:t>万元，占支出总计的</w:t>
      </w:r>
      <w:r>
        <w:rPr>
          <w:rFonts w:hint="eastAsia" w:ascii="仿宋_GB2312" w:eastAsia="仿宋_GB2312" w:cs="仿宋_GB2312"/>
          <w:color w:val="auto"/>
          <w:sz w:val="32"/>
          <w:szCs w:val="32"/>
          <w:highlight w:val="none"/>
        </w:rPr>
        <w:t>85.49</w:t>
      </w:r>
      <w:r>
        <w:rPr>
          <w:rFonts w:hint="eastAsia" w:ascii="仿宋_GB2312" w:hAnsi="宋体" w:eastAsia="仿宋_GB2312"/>
          <w:color w:val="auto"/>
          <w:sz w:val="32"/>
          <w:szCs w:val="32"/>
          <w:highlight w:val="none"/>
        </w:rPr>
        <w:t>%。主要是为保障机构正常运转、完成日常工作任务而发生的各项支出，其中：</w:t>
      </w:r>
      <w:r>
        <w:rPr>
          <w:rFonts w:hint="eastAsia" w:ascii="仿宋_GB2312" w:eastAsia="仿宋_GB2312" w:cs="仿宋_GB2312"/>
          <w:color w:val="auto"/>
          <w:sz w:val="32"/>
          <w:szCs w:val="32"/>
          <w:highlight w:val="none"/>
        </w:rPr>
        <w:t>工资福利支出269.67万元；商品和服务支出28.22万元；对个人和家庭的补助3.58万元；资本性支出1.96万元。</w:t>
      </w:r>
    </w:p>
    <w:p>
      <w:pPr>
        <w:topLinePunct/>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2.项目支出</w:t>
      </w:r>
      <w:r>
        <w:rPr>
          <w:rFonts w:hint="eastAsia" w:ascii="仿宋_GB2312" w:eastAsia="仿宋_GB2312" w:cs="仿宋_GB2312"/>
          <w:color w:val="auto"/>
          <w:sz w:val="32"/>
          <w:szCs w:val="32"/>
          <w:highlight w:val="none"/>
        </w:rPr>
        <w:t>51.50</w:t>
      </w:r>
      <w:r>
        <w:rPr>
          <w:rFonts w:hint="eastAsia" w:ascii="仿宋_GB2312" w:hAnsi="宋体" w:eastAsia="仿宋_GB2312"/>
          <w:color w:val="auto"/>
          <w:sz w:val="32"/>
          <w:szCs w:val="32"/>
          <w:highlight w:val="none"/>
        </w:rPr>
        <w:t>万元，占支出总计的</w:t>
      </w:r>
      <w:r>
        <w:rPr>
          <w:rFonts w:hint="eastAsia" w:ascii="仿宋_GB2312" w:eastAsia="仿宋_GB2312" w:cs="仿宋_GB2312"/>
          <w:color w:val="auto"/>
          <w:sz w:val="32"/>
          <w:szCs w:val="32"/>
          <w:highlight w:val="none"/>
        </w:rPr>
        <w:t>14.51</w:t>
      </w:r>
      <w:r>
        <w:rPr>
          <w:rFonts w:hint="eastAsia" w:ascii="仿宋_GB2312" w:hAnsi="宋体" w:eastAsia="仿宋_GB2312"/>
          <w:color w:val="auto"/>
          <w:sz w:val="32"/>
          <w:szCs w:val="32"/>
          <w:highlight w:val="none"/>
        </w:rPr>
        <w:t>%。</w:t>
      </w:r>
      <w:r>
        <w:rPr>
          <w:rFonts w:hint="eastAsia" w:ascii="仿宋_GB2312" w:eastAsia="仿宋_GB2312" w:cs="仿宋_GB2312"/>
          <w:color w:val="auto"/>
          <w:sz w:val="32"/>
          <w:szCs w:val="32"/>
          <w:highlight w:val="none"/>
        </w:rPr>
        <w:t>主要包括</w:t>
      </w:r>
      <w:r>
        <w:rPr>
          <w:rFonts w:hint="eastAsia" w:ascii="仿宋_GB2312" w:eastAsia="仿宋_GB2312" w:cs="仿宋_GB2312"/>
          <w:color w:val="auto"/>
          <w:sz w:val="32"/>
          <w:szCs w:val="32"/>
          <w:highlight w:val="none"/>
          <w:lang w:eastAsia="zh-CN"/>
        </w:rPr>
        <w:t>九届二次</w:t>
      </w:r>
      <w:r>
        <w:rPr>
          <w:rFonts w:hint="eastAsia" w:ascii="仿宋_GB2312" w:eastAsia="仿宋_GB2312" w:cs="仿宋_GB2312"/>
          <w:color w:val="auto"/>
          <w:sz w:val="32"/>
          <w:szCs w:val="32"/>
          <w:highlight w:val="none"/>
        </w:rPr>
        <w:t>人</w:t>
      </w:r>
      <w:r>
        <w:rPr>
          <w:rFonts w:hint="eastAsia" w:ascii="仿宋_GB2312" w:eastAsia="仿宋_GB2312" w:cs="仿宋_GB2312"/>
          <w:color w:val="auto"/>
          <w:sz w:val="32"/>
          <w:szCs w:val="32"/>
          <w:highlight w:val="none"/>
          <w:lang w:eastAsia="zh-CN"/>
        </w:rPr>
        <w:t>代会</w:t>
      </w:r>
      <w:r>
        <w:rPr>
          <w:rFonts w:hint="eastAsia" w:ascii="仿宋_GB2312" w:eastAsia="仿宋_GB2312" w:cs="仿宋_GB2312"/>
          <w:color w:val="auto"/>
          <w:sz w:val="32"/>
          <w:szCs w:val="32"/>
          <w:highlight w:val="none"/>
        </w:rPr>
        <w:t>会议</w:t>
      </w:r>
      <w:r>
        <w:rPr>
          <w:rFonts w:hint="eastAsia" w:ascii="仿宋_GB2312" w:eastAsia="仿宋_GB2312" w:cs="仿宋_GB2312"/>
          <w:color w:val="auto"/>
          <w:sz w:val="32"/>
          <w:szCs w:val="32"/>
          <w:highlight w:val="none"/>
          <w:lang w:eastAsia="zh-CN"/>
        </w:rPr>
        <w:t>经费、人大业务工作经费、常委会会议经费、编印费</w:t>
      </w:r>
      <w:r>
        <w:rPr>
          <w:rFonts w:hint="eastAsia" w:ascii="仿宋_GB2312" w:eastAsia="仿宋_GB2312" w:cs="仿宋_GB2312"/>
          <w:color w:val="auto"/>
          <w:sz w:val="32"/>
          <w:szCs w:val="32"/>
          <w:highlight w:val="none"/>
        </w:rPr>
        <w:t>等业务支出。</w:t>
      </w:r>
    </w:p>
    <w:p>
      <w:pPr>
        <w:topLinePunct/>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3.上缴上级支出</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万元，占支出总计的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topLinePunct/>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4.经营支出</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万元，占支出总计的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topLinePunct/>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5.对附属单位补助支出</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万元，占支出总计的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w:t>
      </w:r>
    </w:p>
    <w:p>
      <w:pPr>
        <w:topLinePunct/>
        <w:spacing w:line="540" w:lineRule="exact"/>
        <w:ind w:firstLine="658"/>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与上年相比，今年支出减少80.57万元，降低18.50%,主要原因：</w:t>
      </w:r>
      <w:r>
        <w:rPr>
          <w:rFonts w:hint="eastAsia" w:ascii="仿宋_GB2312" w:hAnsi="宋体" w:eastAsia="仿宋_GB2312"/>
          <w:color w:val="auto"/>
          <w:sz w:val="32"/>
          <w:szCs w:val="32"/>
          <w:highlight w:val="none"/>
          <w:lang w:eastAsia="zh-CN"/>
        </w:rPr>
        <w:t>人员费用支出减少，代表活动、人大会议等项目支出减少</w:t>
      </w:r>
      <w:r>
        <w:rPr>
          <w:rFonts w:hint="eastAsia" w:ascii="仿宋_GB2312" w:hAnsi="宋体" w:eastAsia="仿宋_GB2312"/>
          <w:color w:val="auto"/>
          <w:sz w:val="32"/>
          <w:szCs w:val="32"/>
          <w:highlight w:val="none"/>
        </w:rPr>
        <w:t>。</w:t>
      </w:r>
    </w:p>
    <w:p>
      <w:pPr>
        <w:wordWrap w:val="0"/>
        <w:topLinePunct/>
        <w:spacing w:line="540" w:lineRule="exact"/>
        <w:ind w:firstLine="658"/>
        <w:rPr>
          <w:rFonts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（三）年末结转和结余0.00万元</w:t>
      </w:r>
    </w:p>
    <w:p>
      <w:pPr>
        <w:topLinePunct/>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与上年相比，今年结转结余持平，主要原因：</w:t>
      </w:r>
      <w:r>
        <w:rPr>
          <w:rFonts w:hint="eastAsia" w:ascii="仿宋_GB2312" w:hAnsi="宋体" w:eastAsia="仿宋_GB2312"/>
          <w:color w:val="auto"/>
          <w:sz w:val="32"/>
          <w:szCs w:val="32"/>
          <w:highlight w:val="none"/>
          <w:lang w:eastAsia="zh-CN"/>
        </w:rPr>
        <w:t>均未发生结余结转。</w:t>
      </w:r>
    </w:p>
    <w:p>
      <w:pPr>
        <w:spacing w:line="540" w:lineRule="exact"/>
        <w:ind w:firstLine="660"/>
        <w:rPr>
          <w:rFonts w:ascii="黑体" w:hAnsi="黑体" w:eastAsia="黑体"/>
          <w:color w:val="auto"/>
          <w:sz w:val="32"/>
          <w:szCs w:val="32"/>
          <w:highlight w:val="none"/>
        </w:rPr>
      </w:pPr>
      <w:r>
        <w:rPr>
          <w:rFonts w:hint="eastAsia" w:ascii="黑体" w:hAnsi="宋体" w:eastAsia="黑体" w:cs="黑体"/>
          <w:color w:val="auto"/>
          <w:sz w:val="32"/>
          <w:szCs w:val="32"/>
          <w:highlight w:val="none"/>
        </w:rPr>
        <w:t>二、财政拨款支出决算情况说明</w:t>
      </w:r>
    </w:p>
    <w:p>
      <w:pPr>
        <w:spacing w:line="540" w:lineRule="exact"/>
        <w:ind w:firstLine="660"/>
        <w:rPr>
          <w:rFonts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（一）总体情况</w:t>
      </w:r>
    </w:p>
    <w:p>
      <w:pPr>
        <w:topLinePunct/>
        <w:spacing w:line="540" w:lineRule="exact"/>
        <w:ind w:firstLine="658"/>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2023年度财政拨款支出</w:t>
      </w:r>
      <w:r>
        <w:rPr>
          <w:rFonts w:hint="eastAsia" w:ascii="仿宋_GB2312" w:eastAsia="仿宋_GB2312" w:cs="仿宋_GB2312"/>
          <w:color w:val="auto"/>
          <w:sz w:val="32"/>
          <w:szCs w:val="32"/>
          <w:highlight w:val="none"/>
        </w:rPr>
        <w:t>354.93</w:t>
      </w:r>
      <w:r>
        <w:rPr>
          <w:rFonts w:hint="eastAsia" w:ascii="仿宋_GB2312" w:hAnsi="宋体" w:eastAsia="仿宋_GB2312"/>
          <w:color w:val="auto"/>
          <w:sz w:val="32"/>
          <w:szCs w:val="32"/>
          <w:highlight w:val="none"/>
        </w:rPr>
        <w:t>万元，其中：基本支出</w:t>
      </w:r>
      <w:r>
        <w:rPr>
          <w:rFonts w:hint="eastAsia" w:ascii="仿宋_GB2312" w:eastAsia="仿宋_GB2312" w:cs="仿宋_GB2312"/>
          <w:color w:val="auto"/>
          <w:sz w:val="32"/>
          <w:szCs w:val="32"/>
          <w:highlight w:val="none"/>
        </w:rPr>
        <w:t>303.43</w:t>
      </w:r>
      <w:r>
        <w:rPr>
          <w:rFonts w:hint="eastAsia" w:ascii="仿宋_GB2312" w:hAnsi="宋体" w:eastAsia="仿宋_GB2312"/>
          <w:color w:val="auto"/>
          <w:sz w:val="32"/>
          <w:szCs w:val="32"/>
          <w:highlight w:val="none"/>
        </w:rPr>
        <w:t>万元，项目支出</w:t>
      </w:r>
      <w:r>
        <w:rPr>
          <w:rFonts w:hint="eastAsia" w:ascii="仿宋_GB2312" w:eastAsia="仿宋_GB2312" w:cs="仿宋_GB2312"/>
          <w:color w:val="auto"/>
          <w:sz w:val="32"/>
          <w:szCs w:val="32"/>
          <w:highlight w:val="none"/>
        </w:rPr>
        <w:t>51.50</w:t>
      </w:r>
      <w:r>
        <w:rPr>
          <w:rFonts w:hint="eastAsia" w:ascii="仿宋_GB2312" w:hAnsi="宋体" w:eastAsia="仿宋_GB2312"/>
          <w:color w:val="auto"/>
          <w:sz w:val="32"/>
          <w:szCs w:val="32"/>
          <w:highlight w:val="none"/>
        </w:rPr>
        <w:t>万元。与</w:t>
      </w:r>
      <w:r>
        <w:rPr>
          <w:rFonts w:ascii="仿宋_GB2312" w:hAnsi="宋体" w:eastAsia="仿宋_GB2312"/>
          <w:color w:val="auto"/>
          <w:sz w:val="32"/>
          <w:szCs w:val="32"/>
          <w:highlight w:val="none"/>
        </w:rPr>
        <w:t>上年相比，</w:t>
      </w:r>
      <w:r>
        <w:rPr>
          <w:rFonts w:hint="eastAsia" w:ascii="仿宋_GB2312" w:hAnsi="宋体" w:eastAsia="仿宋_GB2312"/>
          <w:color w:val="auto"/>
          <w:sz w:val="32"/>
          <w:szCs w:val="32"/>
          <w:highlight w:val="none"/>
        </w:rPr>
        <w:t>财政拨款支出减少79.50万元，降低18.30%，主要原因</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牢固树立过紧日子思想，严格控制项目支出</w:t>
      </w:r>
      <w:r>
        <w:rPr>
          <w:rFonts w:hint="eastAsia" w:ascii="仿宋_GB2312" w:eastAsia="仿宋_GB2312" w:cs="仿宋_GB2312"/>
          <w:color w:val="auto"/>
          <w:sz w:val="32"/>
          <w:szCs w:val="32"/>
          <w:highlight w:val="none"/>
        </w:rPr>
        <w:t>。</w:t>
      </w:r>
      <w:r>
        <w:rPr>
          <w:rFonts w:hint="eastAsia" w:ascii="仿宋_GB2312" w:hAnsi="宋体" w:eastAsia="仿宋_GB2312"/>
          <w:color w:val="auto"/>
          <w:sz w:val="32"/>
          <w:szCs w:val="32"/>
          <w:highlight w:val="none"/>
        </w:rPr>
        <w:t>与年初预算相比，2023年度财政拨款支出完成年初预算的</w:t>
      </w:r>
      <w:r>
        <w:rPr>
          <w:rFonts w:hint="eastAsia" w:ascii="仿宋_GB2312" w:eastAsia="仿宋_GB2312" w:cs="仿宋_GB2312"/>
          <w:color w:val="auto"/>
          <w:sz w:val="32"/>
          <w:szCs w:val="32"/>
          <w:highlight w:val="none"/>
        </w:rPr>
        <w:t>76.93</w:t>
      </w:r>
      <w:r>
        <w:rPr>
          <w:rFonts w:hint="eastAsia" w:ascii="仿宋_GB2312" w:hAnsi="宋体" w:eastAsia="仿宋_GB2312"/>
          <w:color w:val="auto"/>
          <w:sz w:val="32"/>
          <w:szCs w:val="32"/>
          <w:highlight w:val="none"/>
        </w:rPr>
        <w:t>%，其中：基本支出完成年初预算的</w:t>
      </w:r>
      <w:r>
        <w:rPr>
          <w:rFonts w:hint="eastAsia" w:ascii="仿宋_GB2312" w:eastAsia="仿宋_GB2312" w:cs="仿宋_GB2312"/>
          <w:color w:val="auto"/>
          <w:sz w:val="32"/>
          <w:szCs w:val="32"/>
          <w:highlight w:val="none"/>
        </w:rPr>
        <w:t>86.70</w:t>
      </w:r>
      <w:r>
        <w:rPr>
          <w:rFonts w:hint="eastAsia" w:ascii="仿宋_GB2312" w:hAnsi="宋体" w:eastAsia="仿宋_GB2312"/>
          <w:color w:val="auto"/>
          <w:sz w:val="32"/>
          <w:szCs w:val="32"/>
          <w:highlight w:val="none"/>
        </w:rPr>
        <w:t>%，项目支出完成年初预算的</w:t>
      </w:r>
      <w:r>
        <w:rPr>
          <w:rFonts w:hint="eastAsia" w:ascii="仿宋_GB2312" w:eastAsia="仿宋_GB2312" w:cs="仿宋_GB2312"/>
          <w:color w:val="auto"/>
          <w:sz w:val="32"/>
          <w:szCs w:val="32"/>
          <w:highlight w:val="none"/>
        </w:rPr>
        <w:t>46.23</w:t>
      </w:r>
      <w:r>
        <w:rPr>
          <w:rFonts w:hint="eastAsia" w:ascii="仿宋_GB2312" w:hAnsi="宋体" w:eastAsia="仿宋_GB2312"/>
          <w:color w:val="auto"/>
          <w:sz w:val="32"/>
          <w:szCs w:val="32"/>
          <w:highlight w:val="none"/>
        </w:rPr>
        <w:t>%。</w:t>
      </w:r>
    </w:p>
    <w:p>
      <w:pPr>
        <w:spacing w:line="540" w:lineRule="exact"/>
        <w:ind w:firstLine="660"/>
        <w:rPr>
          <w:rFonts w:hint="eastAsia" w:ascii="仿宋_GB2312" w:eastAsia="仿宋_GB2312" w:cs="仿宋_GB2312"/>
          <w:color w:val="auto"/>
          <w:sz w:val="32"/>
          <w:szCs w:val="32"/>
          <w:highlight w:val="none"/>
        </w:rPr>
      </w:pPr>
      <w:r>
        <w:rPr>
          <w:rFonts w:hint="eastAsia" w:ascii="楷体_GB2312" w:hAnsi="宋体" w:eastAsia="楷体_GB2312"/>
          <w:b/>
          <w:color w:val="auto"/>
          <w:sz w:val="32"/>
          <w:szCs w:val="32"/>
          <w:highlight w:val="none"/>
        </w:rPr>
        <w:t>（二）一般公共预算财政拨款支出情况</w:t>
      </w:r>
    </w:p>
    <w:p>
      <w:pPr>
        <w:wordWrap w:val="0"/>
        <w:topLinePunct/>
        <w:spacing w:line="540" w:lineRule="exact"/>
        <w:ind w:firstLine="658"/>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2023年度一般公共预算财政拨款支出354.93万元。按支出功能分类科目分，包括：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1.一般公共服务支出278.41万元，具体包括：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一般公共服务支出（类）人大事务（款）行政运行（项）226.90万元,主要是基本工资、津贴补贴、奖金、办公费、工会经费、其他交通费等支出，完成年初预算的88%，决算数与年初预算数存在差异的主要原因是</w:t>
      </w:r>
      <w:r>
        <w:rPr>
          <w:rFonts w:hint="eastAsia" w:ascii="仿宋_GB2312" w:eastAsia="仿宋_GB2312" w:cs="仿宋_GB2312"/>
          <w:color w:val="auto"/>
          <w:sz w:val="32"/>
          <w:szCs w:val="32"/>
          <w:highlight w:val="none"/>
          <w:lang w:eastAsia="zh-CN"/>
        </w:rPr>
        <w:t>人员经费减少等</w:t>
      </w:r>
      <w:r>
        <w:rPr>
          <w:rFonts w:hint="eastAsia" w:asci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一般公共服务支出（类）人大事务（款）一般行政管理事务（项）18.56万元,主要是业务费、编印费、培训费、人大智慧平台服务费和代表活动经费等支出，完成年初预算的33.5%，决算数与年初预算数存在差异的主要原因是严格控制</w:t>
      </w:r>
      <w:r>
        <w:rPr>
          <w:rFonts w:hint="eastAsia" w:ascii="仿宋_GB2312" w:eastAsia="仿宋_GB2312" w:cs="仿宋_GB2312"/>
          <w:color w:val="auto"/>
          <w:sz w:val="32"/>
          <w:szCs w:val="32"/>
          <w:highlight w:val="none"/>
          <w:lang w:eastAsia="zh-CN"/>
        </w:rPr>
        <w:t>项目</w:t>
      </w:r>
      <w:r>
        <w:rPr>
          <w:rFonts w:hint="eastAsia" w:ascii="仿宋_GB2312" w:eastAsia="仿宋_GB2312" w:cs="仿宋_GB2312"/>
          <w:color w:val="auto"/>
          <w:sz w:val="32"/>
          <w:szCs w:val="32"/>
          <w:highlight w:val="none"/>
        </w:rPr>
        <w:t>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（3）一般公共服务支出（类）人大事务（款）人大会议（项）32.95万元,主要是人民代表大会、常委会会议等支出，完成年初预算的58.8%，决算数与年初预算数存在差异的主要原因是</w:t>
      </w:r>
      <w:r>
        <w:rPr>
          <w:rFonts w:hint="eastAsia" w:ascii="仿宋_GB2312" w:eastAsia="仿宋_GB2312" w:cs="仿宋_GB2312"/>
          <w:color w:val="auto"/>
          <w:sz w:val="32"/>
          <w:szCs w:val="32"/>
          <w:highlight w:val="none"/>
          <w:lang w:eastAsia="zh-CN"/>
        </w:rPr>
        <w:t>大会会议时间压缩，项目支出减少</w:t>
      </w:r>
      <w:r>
        <w:rPr>
          <w:rFonts w:hint="eastAsia" w:asci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2.社会保障和就业支出38.33万元，具体包括：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（1）社会保障和就业支出（类）行政事业单位养老支出（款）行政单位离退休（项）3.51万元,主要是退休费等支出，完成年初预算的106.7%，决算数与年初预算数存在差异的主要原因是退休人员工资调增。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社会保障和就业支出（类）行政事业单位养老支出（款）机关事业单位基本养老保险缴费支出（项）28.45万元,主要是机关事业单位基本养老保险缴费等支出，完成年初预算的82.8%，决算数与年初预算数存在差异的主要原因是人员变动、基数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3）社会保障和就业支出（类）行政事业单位养老支出（款）机关事业单位职业年金缴费支出（项）6.37万元,主要是职业年金缴费等支出，完成年初预算的53.08%，决算数与年初预算数存在差异的主要原因是人员变动、基数调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（4）社会保障和就业支出（类）行政事业单位养老支出（款）其他行政事业单位养老支出（项）0.00万元,主要是本年度无此</w:t>
      </w:r>
      <w:r>
        <w:rPr>
          <w:rFonts w:hint="eastAsia" w:ascii="仿宋_GB2312" w:eastAsia="仿宋_GB2312" w:cs="仿宋_GB2312"/>
          <w:color w:val="auto"/>
          <w:sz w:val="32"/>
          <w:szCs w:val="32"/>
          <w:highlight w:val="none"/>
          <w:lang w:eastAsia="zh-CN"/>
        </w:rPr>
        <w:t>类</w:t>
      </w:r>
      <w:r>
        <w:rPr>
          <w:rFonts w:hint="eastAsia" w:ascii="仿宋_GB2312" w:eastAsia="仿宋_GB2312" w:cs="仿宋_GB2312"/>
          <w:color w:val="auto"/>
          <w:sz w:val="32"/>
          <w:szCs w:val="32"/>
          <w:highlight w:val="none"/>
        </w:rPr>
        <w:t>费用支出，完成年初预算的0%，决算数与年初预算数存在差异的主要原因是本年度未预算该项支出。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3.卫生健康支出13.80万元，具体包括：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卫生健康支出（类）行政事业单位医疗（款）行政单位医疗（项）10.22万元,主要是职工基本医疗保险缴费等支出，完成年初预算的75.0%，决算数与年初预算数存在差异的主要原因是人员变动、医疗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卫生健康支出（类）行政事业单位医疗（款）公务员医疗补助（项）2.88万元,主要是公务员医疗补助缴费等支出，完成年初预算的74.8%，决算数与年初预算数存在差异的主要原因是人员变动、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3）卫生健康支出（类）行政事业单位医疗（款）其他行政事业单位医疗支出（项）0.70万元,主要是工伤、大额医疗保险缴费等支出，完成年初预算的179%，决算数与年初预算数存在差异的主要原因是人员变动、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4.住房保障支出24.39万元，具体包括：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（1）住房保障支出（类）住房改革支出（款）住房公积金（项）24.39万元,主要是住房公积金缴费等支出，完成年初预算的87.3%，决算数与年初预算数存在差异的主要原因是人员变动、缴费基数调整。</w:t>
      </w:r>
    </w:p>
    <w:p>
      <w:pPr>
        <w:spacing w:line="540" w:lineRule="exact"/>
        <w:ind w:firstLine="660"/>
        <w:rPr>
          <w:rFonts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（三）政府性基金预算财政拨款支出情况</w:t>
      </w:r>
    </w:p>
    <w:p>
      <w:pPr>
        <w:widowControl/>
        <w:wordWrap w:val="0"/>
        <w:spacing w:line="360" w:lineRule="auto"/>
        <w:ind w:firstLine="640" w:firstLineChars="200"/>
        <w:jc w:val="both"/>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本部门2023年度无政府性基金预算财政拨款支出。</w:t>
      </w:r>
    </w:p>
    <w:p>
      <w:pPr>
        <w:spacing w:line="540" w:lineRule="exact"/>
        <w:ind w:firstLine="660"/>
        <w:rPr>
          <w:rFonts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（四）国有资本经营预算财政拨款支出情况</w:t>
      </w:r>
    </w:p>
    <w:p>
      <w:pPr>
        <w:widowControl/>
        <w:wordWrap w:val="0"/>
        <w:spacing w:line="360" w:lineRule="auto"/>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本部门2023年度无国有资本经营预算财政拨款支出。</w:t>
      </w:r>
    </w:p>
    <w:p>
      <w:pPr>
        <w:spacing w:line="540" w:lineRule="exact"/>
        <w:ind w:firstLine="660"/>
        <w:rPr>
          <w:rFonts w:ascii="黑体" w:hAnsi="黑体" w:eastAsia="黑体"/>
          <w:color w:val="auto"/>
          <w:sz w:val="32"/>
          <w:szCs w:val="32"/>
          <w:highlight w:val="none"/>
        </w:rPr>
      </w:pPr>
      <w:r>
        <w:rPr>
          <w:rFonts w:hint="eastAsia" w:ascii="黑体" w:hAnsi="宋体" w:eastAsia="黑体" w:cs="黑体"/>
          <w:color w:val="auto"/>
          <w:sz w:val="32"/>
          <w:szCs w:val="32"/>
          <w:highlight w:val="none"/>
        </w:rPr>
        <w:t>三、财政拨款“三公”经费支出决算情况说明</w:t>
      </w:r>
    </w:p>
    <w:p>
      <w:pPr>
        <w:topLinePunct/>
        <w:spacing w:line="540" w:lineRule="exact"/>
        <w:ind w:firstLine="646"/>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2023年度财政拨款安排的“三公”经费支出</w:t>
      </w:r>
      <w:r>
        <w:rPr>
          <w:rFonts w:hint="eastAsia" w:ascii="仿宋_GB2312" w:eastAsia="仿宋_GB2312" w:cs="仿宋_GB2312"/>
          <w:color w:val="auto"/>
          <w:sz w:val="32"/>
          <w:szCs w:val="32"/>
          <w:highlight w:val="none"/>
        </w:rPr>
        <w:t>0.50</w:t>
      </w:r>
      <w:r>
        <w:rPr>
          <w:rFonts w:hint="eastAsia" w:ascii="仿宋_GB2312" w:hAnsi="宋体" w:eastAsia="仿宋_GB2312"/>
          <w:color w:val="auto"/>
          <w:sz w:val="32"/>
          <w:szCs w:val="32"/>
          <w:highlight w:val="none"/>
        </w:rPr>
        <w:t>万元，完成预算的</w:t>
      </w:r>
      <w:r>
        <w:rPr>
          <w:rFonts w:hint="eastAsia" w:ascii="仿宋_GB2312" w:eastAsia="仿宋_GB2312" w:cs="仿宋_GB2312"/>
          <w:color w:val="auto"/>
          <w:sz w:val="32"/>
          <w:szCs w:val="32"/>
          <w:highlight w:val="none"/>
          <w:lang w:val="en-US" w:eastAsia="zh-CN"/>
        </w:rPr>
        <w:t>7.14</w:t>
      </w:r>
      <w:r>
        <w:rPr>
          <w:rFonts w:hint="eastAsia" w:ascii="仿宋_GB2312" w:hAnsi="宋体" w:eastAsia="仿宋_GB2312"/>
          <w:color w:val="auto"/>
          <w:sz w:val="32"/>
          <w:szCs w:val="32"/>
          <w:highlight w:val="none"/>
        </w:rPr>
        <w:t>%，决算数</w:t>
      </w:r>
      <w:r>
        <w:rPr>
          <w:rFonts w:hint="eastAsia" w:ascii="仿宋_GB2312" w:hAnsi="宋体" w:eastAsia="仿宋_GB2312"/>
          <w:color w:val="auto"/>
          <w:sz w:val="32"/>
          <w:szCs w:val="32"/>
          <w:highlight w:val="none"/>
          <w:lang w:eastAsia="zh-CN"/>
        </w:rPr>
        <w:t>小</w:t>
      </w:r>
      <w:r>
        <w:rPr>
          <w:rFonts w:hint="eastAsia" w:ascii="仿宋_GB2312" w:hAnsi="宋体" w:eastAsia="仿宋_GB2312"/>
          <w:color w:val="auto"/>
          <w:sz w:val="32"/>
          <w:szCs w:val="32"/>
          <w:highlight w:val="none"/>
        </w:rPr>
        <w:t>于预算数的主要原因是</w:t>
      </w:r>
      <w:r>
        <w:rPr>
          <w:rFonts w:hint="eastAsia" w:ascii="仿宋_GB2312" w:hAnsi="宋体" w:eastAsia="仿宋_GB2312"/>
          <w:color w:val="auto"/>
          <w:sz w:val="32"/>
          <w:szCs w:val="32"/>
          <w:highlight w:val="none"/>
          <w:lang w:eastAsia="zh-CN"/>
        </w:rPr>
        <w:t>控制公车使用</w:t>
      </w:r>
      <w:r>
        <w:rPr>
          <w:rFonts w:hint="eastAsia" w:ascii="仿宋_GB2312" w:hAnsi="宋体" w:eastAsia="仿宋_GB2312"/>
          <w:color w:val="auto"/>
          <w:sz w:val="32"/>
          <w:szCs w:val="32"/>
          <w:highlight w:val="none"/>
        </w:rPr>
        <w:t>。其中：因公出国（境）费</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万元，公务接待费</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万元，公务用车购置及运行维护费</w:t>
      </w:r>
      <w:r>
        <w:rPr>
          <w:rFonts w:hint="eastAsia" w:ascii="仿宋_GB2312" w:eastAsia="仿宋_GB2312" w:cs="仿宋_GB2312"/>
          <w:color w:val="auto"/>
          <w:sz w:val="32"/>
          <w:szCs w:val="32"/>
          <w:highlight w:val="none"/>
        </w:rPr>
        <w:t>0.50</w:t>
      </w:r>
      <w:r>
        <w:rPr>
          <w:rFonts w:hint="eastAsia" w:ascii="仿宋_GB2312" w:hAnsi="宋体" w:eastAsia="仿宋_GB2312"/>
          <w:color w:val="auto"/>
          <w:sz w:val="32"/>
          <w:szCs w:val="32"/>
          <w:highlight w:val="none"/>
        </w:rPr>
        <w:t>万元。</w:t>
      </w:r>
    </w:p>
    <w:p>
      <w:pPr>
        <w:numPr>
          <w:ilvl w:val="0"/>
          <w:numId w:val="0"/>
        </w:numPr>
        <w:topLinePunct/>
        <w:spacing w:line="540" w:lineRule="exact"/>
        <w:ind w:firstLine="640" w:firstLineChars="200"/>
        <w:rPr>
          <w:rFonts w:hint="eastAsia" w:ascii="仿宋_GB2312" w:eastAsia="仿宋_GB2312" w:cs="仿宋_GB2312"/>
          <w:color w:val="auto"/>
          <w:sz w:val="32"/>
          <w:szCs w:val="32"/>
          <w:highlight w:val="none"/>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因公出国（境）费</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万元，占“三公”经费支出的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%。完成预算的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%，决算数持平预算数的主要原因是无此项预算和实际执行。2023年参加出国（境）团组</w:t>
      </w:r>
      <w:r>
        <w:rPr>
          <w:rFonts w:hint="eastAsia" w:ascii="仿宋_GB2312" w:eastAsia="仿宋_GB2312" w:cs="仿宋_GB2312"/>
          <w:color w:val="auto"/>
          <w:sz w:val="32"/>
          <w:szCs w:val="32"/>
          <w:highlight w:val="none"/>
        </w:rPr>
        <w:t>0</w:t>
      </w:r>
      <w:r>
        <w:rPr>
          <w:rFonts w:hint="eastAsia" w:ascii="仿宋_GB2312" w:hAnsi="宋体" w:eastAsia="仿宋_GB2312"/>
          <w:color w:val="auto"/>
          <w:sz w:val="32"/>
          <w:szCs w:val="32"/>
          <w:highlight w:val="none"/>
        </w:rPr>
        <w:t>个，累计</w:t>
      </w:r>
      <w:r>
        <w:rPr>
          <w:rFonts w:hint="eastAsia" w:ascii="仿宋_GB2312" w:eastAsia="仿宋_GB2312" w:cs="仿宋_GB2312"/>
          <w:color w:val="auto"/>
          <w:sz w:val="32"/>
          <w:szCs w:val="32"/>
          <w:highlight w:val="none"/>
        </w:rPr>
        <w:t>0</w:t>
      </w:r>
      <w:r>
        <w:rPr>
          <w:rFonts w:hint="eastAsia" w:ascii="仿宋_GB2312" w:hAnsi="宋体" w:eastAsia="仿宋_GB2312"/>
          <w:color w:val="auto"/>
          <w:sz w:val="32"/>
          <w:szCs w:val="32"/>
          <w:highlight w:val="none"/>
        </w:rPr>
        <w:t>人次</w:t>
      </w:r>
      <w:r>
        <w:rPr>
          <w:rFonts w:hint="eastAsia" w:ascii="仿宋_GB2312" w:eastAsia="仿宋_GB2312" w:cs="仿宋_GB2312"/>
          <w:color w:val="auto"/>
          <w:sz w:val="32"/>
          <w:szCs w:val="32"/>
          <w:highlight w:val="none"/>
        </w:rPr>
        <w:t>。</w:t>
      </w:r>
      <w:r>
        <w:rPr>
          <w:rFonts w:hint="eastAsia" w:ascii="仿宋_GB2312" w:hAnsi="宋体" w:eastAsia="仿宋_GB2312"/>
          <w:color w:val="auto"/>
          <w:sz w:val="32"/>
          <w:szCs w:val="32"/>
          <w:highlight w:val="none"/>
        </w:rPr>
        <w:t>2023年因公出国（境）费与上年持平</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主要</w:t>
      </w:r>
      <w:r>
        <w:rPr>
          <w:rFonts w:hint="eastAsia" w:ascii="仿宋_GB2312" w:hAnsi="宋体" w:eastAsia="仿宋_GB2312"/>
          <w:color w:val="auto"/>
          <w:sz w:val="32"/>
          <w:szCs w:val="32"/>
          <w:highlight w:val="none"/>
          <w:lang w:val="en-US" w:eastAsia="zh-CN"/>
        </w:rPr>
        <w:t>原因是</w:t>
      </w:r>
      <w:r>
        <w:rPr>
          <w:rFonts w:hint="eastAsia" w:ascii="仿宋_GB2312" w:hAnsi="宋体" w:eastAsia="仿宋_GB2312"/>
          <w:color w:val="auto"/>
          <w:sz w:val="32"/>
          <w:szCs w:val="32"/>
          <w:highlight w:val="none"/>
        </w:rPr>
        <w:t>2022年和2023年均未安排此项预算也未发生实际支出。</w:t>
      </w:r>
    </w:p>
    <w:p>
      <w:pPr>
        <w:numPr>
          <w:ilvl w:val="0"/>
          <w:numId w:val="0"/>
        </w:numPr>
        <w:topLinePunct/>
        <w:spacing w:line="5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公务接待费</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万元，占“三公”经费支出的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%。完成预算的</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%，决算数持平预算数的主要原因是无此项支出。2023年国内公务接待累计</w:t>
      </w:r>
      <w:r>
        <w:rPr>
          <w:rFonts w:hint="eastAsia" w:ascii="仿宋_GB2312" w:eastAsia="仿宋_GB2312" w:cs="仿宋_GB2312"/>
          <w:color w:val="auto"/>
          <w:sz w:val="32"/>
          <w:szCs w:val="32"/>
          <w:highlight w:val="none"/>
        </w:rPr>
        <w:t>0</w:t>
      </w:r>
      <w:r>
        <w:rPr>
          <w:rFonts w:hint="eastAsia" w:ascii="仿宋_GB2312" w:hAnsi="宋体" w:eastAsia="仿宋_GB2312"/>
          <w:color w:val="auto"/>
          <w:sz w:val="32"/>
          <w:szCs w:val="32"/>
          <w:highlight w:val="none"/>
        </w:rPr>
        <w:t>批次、</w:t>
      </w:r>
      <w:r>
        <w:rPr>
          <w:rFonts w:hint="eastAsia" w:ascii="仿宋_GB2312" w:eastAsia="仿宋_GB2312" w:cs="仿宋_GB2312"/>
          <w:color w:val="auto"/>
          <w:sz w:val="32"/>
          <w:szCs w:val="32"/>
          <w:highlight w:val="none"/>
        </w:rPr>
        <w:t>0</w:t>
      </w:r>
      <w:r>
        <w:rPr>
          <w:rFonts w:hint="eastAsia" w:ascii="仿宋_GB2312" w:hAnsi="宋体" w:eastAsia="仿宋_GB2312"/>
          <w:color w:val="auto"/>
          <w:sz w:val="32"/>
          <w:szCs w:val="32"/>
          <w:highlight w:val="none"/>
        </w:rPr>
        <w:t>人、</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w:t>
      </w:r>
      <w:r>
        <w:rPr>
          <w:rFonts w:hint="eastAsia" w:ascii="仿宋_GB2312" w:eastAsia="仿宋_GB2312" w:cs="仿宋_GB2312"/>
          <w:color w:val="auto"/>
          <w:sz w:val="32"/>
          <w:szCs w:val="32"/>
          <w:highlight w:val="none"/>
        </w:rPr>
        <w:t>。</w:t>
      </w:r>
      <w:r>
        <w:rPr>
          <w:rFonts w:hint="eastAsia" w:ascii="仿宋_GB2312" w:hAnsi="宋体" w:eastAsia="仿宋_GB2312"/>
          <w:color w:val="auto"/>
          <w:sz w:val="32"/>
          <w:szCs w:val="32"/>
          <w:highlight w:val="none"/>
        </w:rPr>
        <w:t>其中外事接待累计</w:t>
      </w:r>
      <w:r>
        <w:rPr>
          <w:rFonts w:hint="eastAsia" w:ascii="仿宋_GB2312" w:eastAsia="仿宋_GB2312" w:cs="仿宋_GB2312"/>
          <w:color w:val="auto"/>
          <w:sz w:val="32"/>
          <w:szCs w:val="32"/>
          <w:highlight w:val="none"/>
        </w:rPr>
        <w:t>0</w:t>
      </w:r>
      <w:r>
        <w:rPr>
          <w:rFonts w:hint="eastAsia" w:ascii="仿宋_GB2312" w:hAnsi="宋体" w:eastAsia="仿宋_GB2312"/>
          <w:color w:val="auto"/>
          <w:sz w:val="32"/>
          <w:szCs w:val="32"/>
          <w:highlight w:val="none"/>
        </w:rPr>
        <w:t>批次、</w:t>
      </w:r>
      <w:r>
        <w:rPr>
          <w:rFonts w:hint="eastAsia" w:ascii="仿宋_GB2312" w:eastAsia="仿宋_GB2312" w:cs="仿宋_GB2312"/>
          <w:color w:val="auto"/>
          <w:sz w:val="32"/>
          <w:szCs w:val="32"/>
          <w:highlight w:val="none"/>
        </w:rPr>
        <w:t>0</w:t>
      </w:r>
      <w:r>
        <w:rPr>
          <w:rFonts w:hint="eastAsia" w:ascii="仿宋_GB2312" w:hAnsi="宋体" w:eastAsia="仿宋_GB2312"/>
          <w:color w:val="auto"/>
          <w:sz w:val="32"/>
          <w:szCs w:val="32"/>
          <w:highlight w:val="none"/>
        </w:rPr>
        <w:t>人、</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w:t>
      </w:r>
      <w:r>
        <w:rPr>
          <w:rFonts w:hint="eastAsia" w:ascii="仿宋_GB2312" w:eastAsia="仿宋_GB2312" w:cs="仿宋_GB2312"/>
          <w:color w:val="auto"/>
          <w:sz w:val="32"/>
          <w:szCs w:val="32"/>
          <w:highlight w:val="none"/>
        </w:rPr>
        <w:t>。</w:t>
      </w:r>
      <w:r>
        <w:rPr>
          <w:rFonts w:hint="eastAsia" w:ascii="仿宋_GB2312" w:hAnsi="宋体" w:eastAsia="仿宋_GB2312"/>
          <w:color w:val="auto"/>
          <w:sz w:val="32"/>
          <w:szCs w:val="32"/>
          <w:highlight w:val="none"/>
        </w:rPr>
        <w:t>2023年公务接待费与上年持平，主要是2022年和2023年均未发生此项支出。</w:t>
      </w:r>
    </w:p>
    <w:p>
      <w:pPr>
        <w:topLinePunct/>
        <w:spacing w:line="5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3.公务用车购置及</w:t>
      </w:r>
      <w:r>
        <w:rPr>
          <w:rFonts w:ascii="仿宋_GB2312" w:hAnsi="宋体" w:eastAsia="仿宋_GB2312"/>
          <w:color w:val="auto"/>
          <w:sz w:val="32"/>
          <w:szCs w:val="32"/>
          <w:highlight w:val="none"/>
        </w:rPr>
        <w:t>运行费</w:t>
      </w:r>
      <w:r>
        <w:rPr>
          <w:rFonts w:hint="eastAsia" w:ascii="仿宋_GB2312" w:eastAsia="仿宋_GB2312" w:cs="仿宋_GB2312"/>
          <w:color w:val="auto"/>
          <w:sz w:val="32"/>
          <w:szCs w:val="32"/>
          <w:highlight w:val="none"/>
        </w:rPr>
        <w:t>0.50</w:t>
      </w:r>
      <w:r>
        <w:rPr>
          <w:rFonts w:hint="eastAsia" w:ascii="仿宋_GB2312" w:hAnsi="宋体" w:eastAsia="仿宋_GB2312"/>
          <w:color w:val="auto"/>
          <w:sz w:val="32"/>
          <w:szCs w:val="32"/>
          <w:highlight w:val="none"/>
        </w:rPr>
        <w:t>万元，占“三公”经费支出的</w:t>
      </w:r>
      <w:r>
        <w:rPr>
          <w:rFonts w:hint="eastAsia" w:ascii="仿宋_GB2312" w:eastAsia="仿宋_GB2312" w:cs="仿宋_GB2312"/>
          <w:color w:val="auto"/>
          <w:sz w:val="32"/>
          <w:szCs w:val="32"/>
          <w:highlight w:val="none"/>
        </w:rPr>
        <w:t>100.00</w:t>
      </w:r>
      <w:r>
        <w:rPr>
          <w:rFonts w:hint="eastAsia" w:ascii="仿宋_GB2312" w:hAnsi="宋体" w:eastAsia="仿宋_GB2312"/>
          <w:color w:val="auto"/>
          <w:sz w:val="32"/>
          <w:szCs w:val="32"/>
          <w:highlight w:val="none"/>
        </w:rPr>
        <w:t>%。完成预算的</w:t>
      </w: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14</w:t>
      </w:r>
      <w:r>
        <w:rPr>
          <w:rFonts w:hint="eastAsia" w:ascii="仿宋_GB2312" w:hAnsi="宋体" w:eastAsia="仿宋_GB2312"/>
          <w:color w:val="auto"/>
          <w:sz w:val="32"/>
          <w:szCs w:val="32"/>
          <w:highlight w:val="none"/>
        </w:rPr>
        <w:t>%，比上年减少0.16万元，降低24.24%，主要</w:t>
      </w:r>
      <w:r>
        <w:rPr>
          <w:rFonts w:hint="eastAsia" w:ascii="仿宋_GB2312" w:hAnsi="宋体" w:eastAsia="仿宋_GB2312"/>
          <w:color w:val="auto"/>
          <w:sz w:val="32"/>
          <w:szCs w:val="32"/>
          <w:highlight w:val="none"/>
          <w:lang w:eastAsia="zh-CN"/>
        </w:rPr>
        <w:t>原因</w:t>
      </w:r>
      <w:r>
        <w:rPr>
          <w:rFonts w:hint="eastAsia" w:ascii="仿宋_GB2312" w:hAnsi="宋体" w:eastAsia="仿宋_GB2312"/>
          <w:color w:val="auto"/>
          <w:sz w:val="32"/>
          <w:szCs w:val="32"/>
          <w:highlight w:val="none"/>
        </w:rPr>
        <w:t>是</w:t>
      </w:r>
      <w:r>
        <w:rPr>
          <w:rFonts w:hint="eastAsia" w:ascii="仿宋_GB2312" w:hAnsi="宋体" w:eastAsia="仿宋_GB2312"/>
          <w:color w:val="auto"/>
          <w:sz w:val="32"/>
          <w:szCs w:val="32"/>
          <w:highlight w:val="none"/>
          <w:lang w:eastAsia="zh-CN"/>
        </w:rPr>
        <w:t>严格控制公车使用</w:t>
      </w:r>
      <w:r>
        <w:rPr>
          <w:rFonts w:hint="eastAsia" w:ascii="仿宋_GB2312" w:hAnsi="宋体" w:eastAsia="仿宋_GB2312"/>
          <w:color w:val="auto"/>
          <w:sz w:val="32"/>
          <w:szCs w:val="32"/>
          <w:highlight w:val="none"/>
        </w:rPr>
        <w:t>。</w:t>
      </w:r>
    </w:p>
    <w:p>
      <w:pPr>
        <w:topLinePunct/>
        <w:spacing w:line="540" w:lineRule="exact"/>
        <w:ind w:firstLine="645"/>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其中：公务用车购置费</w:t>
      </w:r>
      <w:r>
        <w:rPr>
          <w:rFonts w:hint="eastAsia" w:ascii="仿宋_GB2312" w:eastAsia="仿宋_GB2312" w:cs="仿宋_GB2312"/>
          <w:color w:val="auto"/>
          <w:sz w:val="32"/>
          <w:szCs w:val="32"/>
          <w:highlight w:val="none"/>
        </w:rPr>
        <w:t>0.00</w:t>
      </w:r>
      <w:r>
        <w:rPr>
          <w:rFonts w:hint="eastAsia" w:ascii="仿宋_GB2312" w:hAnsi="宋体" w:eastAsia="仿宋_GB2312"/>
          <w:color w:val="auto"/>
          <w:sz w:val="32"/>
          <w:szCs w:val="32"/>
          <w:highlight w:val="none"/>
        </w:rPr>
        <w:t>万元，当年购置公务用车</w:t>
      </w:r>
      <w:r>
        <w:rPr>
          <w:rFonts w:hint="eastAsia" w:ascii="仿宋_GB2312" w:eastAsia="仿宋_GB2312" w:cs="仿宋_GB2312"/>
          <w:color w:val="auto"/>
          <w:sz w:val="32"/>
          <w:szCs w:val="32"/>
          <w:highlight w:val="none"/>
        </w:rPr>
        <w:t>0</w:t>
      </w:r>
      <w:r>
        <w:rPr>
          <w:rFonts w:hint="eastAsia" w:ascii="仿宋_GB2312" w:hAnsi="宋体" w:eastAsia="仿宋_GB2312"/>
          <w:color w:val="auto"/>
          <w:sz w:val="32"/>
          <w:szCs w:val="32"/>
          <w:highlight w:val="none"/>
        </w:rPr>
        <w:t>辆。公务用车运行维护费</w:t>
      </w:r>
      <w:r>
        <w:rPr>
          <w:rFonts w:hint="eastAsia" w:ascii="仿宋_GB2312" w:eastAsia="仿宋_GB2312" w:cs="仿宋_GB2312"/>
          <w:color w:val="auto"/>
          <w:sz w:val="32"/>
          <w:szCs w:val="32"/>
          <w:highlight w:val="none"/>
        </w:rPr>
        <w:t>0.50</w:t>
      </w:r>
      <w:r>
        <w:rPr>
          <w:rFonts w:hint="eastAsia" w:ascii="仿宋_GB2312" w:hAnsi="宋体" w:eastAsia="仿宋_GB2312"/>
          <w:color w:val="auto"/>
          <w:sz w:val="32"/>
          <w:szCs w:val="32"/>
          <w:highlight w:val="none"/>
        </w:rPr>
        <w:t>万元，</w:t>
      </w:r>
      <w:r>
        <w:rPr>
          <w:rFonts w:hint="eastAsia" w:ascii="仿宋_GB2312" w:eastAsia="仿宋_GB2312" w:cs="仿宋_GB2312"/>
          <w:color w:val="auto"/>
          <w:sz w:val="32"/>
          <w:szCs w:val="32"/>
          <w:highlight w:val="none"/>
        </w:rPr>
        <w:t>主要用于燃油费、车辆保险、车辆保养等，</w:t>
      </w:r>
      <w:r>
        <w:rPr>
          <w:rFonts w:hint="eastAsia" w:ascii="仿宋_GB2312" w:hAnsi="宋体" w:eastAsia="仿宋_GB2312"/>
          <w:color w:val="auto"/>
          <w:sz w:val="32"/>
          <w:szCs w:val="32"/>
          <w:highlight w:val="none"/>
        </w:rPr>
        <w:t>截至年末使用</w:t>
      </w:r>
      <w:r>
        <w:rPr>
          <w:rFonts w:ascii="仿宋_GB2312" w:hAnsi="宋体" w:eastAsia="仿宋_GB2312"/>
          <w:color w:val="auto"/>
          <w:sz w:val="32"/>
          <w:szCs w:val="32"/>
          <w:highlight w:val="none"/>
        </w:rPr>
        <w:t>财政拨款开支</w:t>
      </w:r>
      <w:r>
        <w:rPr>
          <w:rFonts w:hint="eastAsia" w:ascii="仿宋_GB2312" w:hAnsi="宋体" w:eastAsia="仿宋_GB2312"/>
          <w:color w:val="auto"/>
          <w:sz w:val="32"/>
          <w:szCs w:val="32"/>
          <w:highlight w:val="none"/>
        </w:rPr>
        <w:t>运行维护费</w:t>
      </w:r>
      <w:r>
        <w:rPr>
          <w:rFonts w:ascii="仿宋_GB2312" w:hAnsi="宋体" w:eastAsia="仿宋_GB2312"/>
          <w:color w:val="auto"/>
          <w:sz w:val="32"/>
          <w:szCs w:val="32"/>
          <w:highlight w:val="none"/>
        </w:rPr>
        <w:t>的</w:t>
      </w:r>
      <w:r>
        <w:rPr>
          <w:rFonts w:hint="eastAsia" w:ascii="仿宋_GB2312" w:hAnsi="宋体" w:eastAsia="仿宋_GB2312"/>
          <w:color w:val="auto"/>
          <w:sz w:val="32"/>
          <w:szCs w:val="32"/>
          <w:highlight w:val="none"/>
        </w:rPr>
        <w:t>公务用车保有量</w:t>
      </w:r>
      <w:r>
        <w:rPr>
          <w:rFonts w:hint="eastAsia" w:ascii="仿宋_GB2312" w:eastAsia="仿宋_GB2312" w:cs="仿宋_GB2312"/>
          <w:color w:val="auto"/>
          <w:sz w:val="32"/>
          <w:szCs w:val="32"/>
          <w:highlight w:val="none"/>
        </w:rPr>
        <w:t>1</w:t>
      </w:r>
      <w:r>
        <w:rPr>
          <w:rFonts w:hint="eastAsia" w:ascii="仿宋_GB2312" w:hAnsi="宋体" w:eastAsia="仿宋_GB2312"/>
          <w:color w:val="auto"/>
          <w:sz w:val="32"/>
          <w:szCs w:val="32"/>
          <w:highlight w:val="none"/>
        </w:rPr>
        <w:t>辆。</w:t>
      </w:r>
    </w:p>
    <w:p>
      <w:pPr>
        <w:spacing w:line="540" w:lineRule="exact"/>
        <w:ind w:firstLine="645"/>
        <w:rPr>
          <w:rFonts w:ascii="黑体" w:hAnsi="黑体" w:eastAsia="黑体"/>
          <w:color w:val="auto"/>
          <w:sz w:val="32"/>
          <w:szCs w:val="32"/>
          <w:highlight w:val="none"/>
        </w:rPr>
      </w:pPr>
      <w:r>
        <w:rPr>
          <w:rFonts w:hint="eastAsia" w:ascii="黑体" w:hAnsi="宋体" w:eastAsia="黑体" w:cs="黑体"/>
          <w:color w:val="auto"/>
          <w:sz w:val="32"/>
          <w:szCs w:val="32"/>
          <w:highlight w:val="none"/>
        </w:rPr>
        <w:t>四、一般公共预算财政拨款基本支出决算情况说明</w:t>
      </w:r>
    </w:p>
    <w:p>
      <w:pPr>
        <w:spacing w:line="540" w:lineRule="exact"/>
        <w:ind w:firstLine="645"/>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2023年度一般公共预算财政拨款基本支出</w:t>
      </w:r>
      <w:r>
        <w:rPr>
          <w:rFonts w:hint="eastAsia" w:ascii="仿宋_GB2312" w:eastAsia="仿宋_GB2312" w:cs="仿宋_GB2312"/>
          <w:color w:val="auto"/>
          <w:sz w:val="32"/>
          <w:szCs w:val="32"/>
          <w:highlight w:val="none"/>
        </w:rPr>
        <w:t>303.43</w:t>
      </w:r>
      <w:r>
        <w:rPr>
          <w:rFonts w:hint="eastAsia" w:ascii="仿宋_GB2312" w:hAnsi="宋体" w:eastAsia="仿宋_GB2312"/>
          <w:color w:val="auto"/>
          <w:sz w:val="32"/>
          <w:szCs w:val="32"/>
          <w:highlight w:val="none"/>
        </w:rPr>
        <w:t>万元，其中：人员经费</w:t>
      </w:r>
      <w:r>
        <w:rPr>
          <w:rFonts w:hint="eastAsia" w:ascii="仿宋_GB2312" w:eastAsia="仿宋_GB2312" w:cs="仿宋_GB2312"/>
          <w:color w:val="auto"/>
          <w:sz w:val="32"/>
          <w:szCs w:val="32"/>
          <w:highlight w:val="none"/>
        </w:rPr>
        <w:t>273.25</w:t>
      </w:r>
      <w:r>
        <w:rPr>
          <w:rFonts w:hint="eastAsia" w:ascii="仿宋_GB2312" w:hAnsi="宋体" w:eastAsia="仿宋_GB2312"/>
          <w:color w:val="auto"/>
          <w:sz w:val="32"/>
          <w:szCs w:val="32"/>
          <w:highlight w:val="none"/>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color w:val="auto"/>
          <w:sz w:val="32"/>
          <w:szCs w:val="32"/>
          <w:highlight w:val="none"/>
          <w:lang w:val="en-US" w:eastAsia="zh-CN"/>
        </w:rPr>
        <w:t>等</w:t>
      </w:r>
      <w:r>
        <w:rPr>
          <w:rFonts w:hint="eastAsia" w:ascii="仿宋_GB2312" w:hAnsi="宋体" w:eastAsia="仿宋_GB2312"/>
          <w:color w:val="auto"/>
          <w:sz w:val="32"/>
          <w:szCs w:val="32"/>
          <w:highlight w:val="none"/>
        </w:rPr>
        <w:t>；日常公用经费</w:t>
      </w:r>
      <w:r>
        <w:rPr>
          <w:rFonts w:hint="eastAsia" w:ascii="仿宋_GB2312" w:eastAsia="仿宋_GB2312" w:cs="仿宋_GB2312"/>
          <w:color w:val="auto"/>
          <w:sz w:val="32"/>
          <w:szCs w:val="32"/>
          <w:highlight w:val="none"/>
        </w:rPr>
        <w:t>30.18</w:t>
      </w:r>
      <w:r>
        <w:rPr>
          <w:rFonts w:hint="eastAsia" w:ascii="仿宋_GB2312" w:hAnsi="宋体" w:eastAsia="仿宋_GB2312"/>
          <w:color w:val="auto"/>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color w:val="auto"/>
          <w:sz w:val="32"/>
          <w:szCs w:val="32"/>
          <w:highlight w:val="none"/>
        </w:rPr>
      </w:pPr>
      <w:r>
        <w:rPr>
          <w:rFonts w:hint="eastAsia" w:ascii="黑体" w:hAnsi="宋体" w:eastAsia="黑体" w:cs="黑体"/>
          <w:color w:val="auto"/>
          <w:sz w:val="32"/>
          <w:szCs w:val="32"/>
          <w:highlight w:val="none"/>
        </w:rPr>
        <w:t>五、其他重要事项的情况说明</w:t>
      </w:r>
    </w:p>
    <w:p>
      <w:pPr>
        <w:spacing w:line="540" w:lineRule="exact"/>
        <w:ind w:firstLine="643" w:firstLineChars="200"/>
        <w:rPr>
          <w:rFonts w:ascii="楷体_GB2312" w:hAnsi="黑体" w:eastAsia="楷体_GB2312"/>
          <w:b/>
          <w:color w:val="auto"/>
          <w:sz w:val="32"/>
          <w:szCs w:val="32"/>
          <w:highlight w:val="none"/>
        </w:rPr>
      </w:pPr>
      <w:r>
        <w:rPr>
          <w:rFonts w:hint="eastAsia" w:ascii="楷体_GB2312" w:hAnsi="黑体" w:eastAsia="楷体_GB2312"/>
          <w:b/>
          <w:color w:val="auto"/>
          <w:sz w:val="32"/>
          <w:szCs w:val="32"/>
          <w:highlight w:val="none"/>
        </w:rPr>
        <w:t>（一）机关运行经费支出情况</w:t>
      </w:r>
    </w:p>
    <w:p>
      <w:pPr>
        <w:spacing w:line="5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2023年机关运行经费支出</w:t>
      </w:r>
      <w:r>
        <w:rPr>
          <w:rFonts w:hint="eastAsia" w:ascii="仿宋_GB2312" w:eastAsia="仿宋_GB2312" w:cs="仿宋_GB2312"/>
          <w:color w:val="auto"/>
          <w:sz w:val="32"/>
          <w:szCs w:val="32"/>
          <w:highlight w:val="none"/>
        </w:rPr>
        <w:t>30.18</w:t>
      </w:r>
      <w:r>
        <w:rPr>
          <w:rFonts w:hint="eastAsia" w:ascii="仿宋_GB2312" w:hAnsi="黑体" w:eastAsia="仿宋_GB2312"/>
          <w:color w:val="auto"/>
          <w:sz w:val="32"/>
          <w:szCs w:val="32"/>
          <w:highlight w:val="none"/>
        </w:rPr>
        <w:t>万元（与部门决算中行政单位和参照公务员法管理事业单位财政拨款基本支出中公用经费之和一致），</w:t>
      </w:r>
      <w:r>
        <w:rPr>
          <w:rFonts w:hint="eastAsia" w:ascii="仿宋_GB2312" w:hAnsi="宋体" w:eastAsia="仿宋_GB2312"/>
          <w:color w:val="auto"/>
          <w:sz w:val="32"/>
          <w:szCs w:val="32"/>
          <w:highlight w:val="none"/>
        </w:rPr>
        <w:t>比上年减少0.13万元，降低0.43%</w:t>
      </w:r>
      <w:r>
        <w:rPr>
          <w:rFonts w:hint="eastAsia" w:ascii="仿宋_GB2312" w:hAnsi="黑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人员经费减少。</w:t>
      </w:r>
      <w:r>
        <w:rPr>
          <w:rFonts w:hint="eastAsia" w:ascii="仿宋_GB2312" w:hAnsi="宋体" w:eastAsia="仿宋_GB2312"/>
          <w:color w:val="auto"/>
          <w:sz w:val="32"/>
          <w:szCs w:val="32"/>
          <w:highlight w:val="none"/>
        </w:rPr>
        <w:t>主要包括办公费</w:t>
      </w:r>
      <w:r>
        <w:rPr>
          <w:rFonts w:hint="eastAsia" w:ascii="仿宋_GB2312" w:hAnsi="宋体" w:eastAsia="仿宋_GB2312"/>
          <w:color w:val="auto"/>
          <w:sz w:val="32"/>
          <w:szCs w:val="32"/>
          <w:highlight w:val="none"/>
          <w:lang w:val="en-US" w:eastAsia="zh-CN"/>
        </w:rPr>
        <w:t>4.3</w:t>
      </w:r>
      <w:r>
        <w:rPr>
          <w:rFonts w:hint="default" w:ascii="仿宋_GB2312" w:hAnsi="宋体" w:eastAsia="仿宋_GB2312"/>
          <w:color w:val="auto"/>
          <w:sz w:val="32"/>
          <w:szCs w:val="32"/>
          <w:highlight w:val="none"/>
          <w:lang w:eastAsia="zh-CN"/>
        </w:rPr>
        <w:t>0</w:t>
      </w:r>
      <w:r>
        <w:rPr>
          <w:rFonts w:hint="eastAsia" w:ascii="仿宋_GB2312" w:hAnsi="宋体" w:eastAsia="仿宋_GB2312"/>
          <w:color w:val="auto"/>
          <w:sz w:val="32"/>
          <w:szCs w:val="32"/>
          <w:highlight w:val="none"/>
          <w:lang w:val="en-US" w:eastAsia="zh-CN"/>
        </w:rPr>
        <w:t>万元</w:t>
      </w:r>
      <w:r>
        <w:rPr>
          <w:rFonts w:hint="eastAsia" w:ascii="仿宋_GB2312" w:hAnsi="宋体" w:eastAsia="仿宋_GB2312"/>
          <w:color w:val="auto"/>
          <w:sz w:val="32"/>
          <w:szCs w:val="32"/>
          <w:highlight w:val="none"/>
        </w:rPr>
        <w:t>、邮电费</w:t>
      </w:r>
      <w:r>
        <w:rPr>
          <w:rFonts w:hint="default" w:ascii="仿宋_GB2312" w:hAnsi="宋体" w:eastAsia="仿宋_GB2312"/>
          <w:color w:val="auto"/>
          <w:sz w:val="32"/>
          <w:szCs w:val="32"/>
          <w:highlight w:val="none"/>
          <w:lang w:eastAsia="zh-CN"/>
        </w:rPr>
        <w:t>0.64</w:t>
      </w:r>
      <w:r>
        <w:rPr>
          <w:rFonts w:hint="eastAsia" w:ascii="仿宋_GB2312" w:hAnsi="宋体" w:eastAsia="仿宋_GB2312"/>
          <w:color w:val="auto"/>
          <w:sz w:val="32"/>
          <w:szCs w:val="32"/>
          <w:highlight w:val="none"/>
          <w:lang w:val="en-US" w:eastAsia="zh-CN"/>
        </w:rPr>
        <w:t>万元</w:t>
      </w:r>
      <w:r>
        <w:rPr>
          <w:rFonts w:hint="eastAsia" w:ascii="仿宋_GB2312" w:hAnsi="宋体" w:eastAsia="仿宋_GB2312"/>
          <w:color w:val="auto"/>
          <w:sz w:val="32"/>
          <w:szCs w:val="32"/>
          <w:highlight w:val="none"/>
        </w:rPr>
        <w:t>、工会经费</w:t>
      </w:r>
      <w:r>
        <w:rPr>
          <w:rFonts w:hint="default" w:ascii="仿宋_GB2312" w:hAnsi="宋体" w:eastAsia="仿宋_GB2312"/>
          <w:color w:val="auto"/>
          <w:sz w:val="32"/>
          <w:szCs w:val="32"/>
          <w:highlight w:val="none"/>
          <w:lang w:eastAsia="zh-CN"/>
        </w:rPr>
        <w:t>4.78</w:t>
      </w:r>
      <w:r>
        <w:rPr>
          <w:rFonts w:hint="eastAsia" w:ascii="仿宋_GB2312" w:hAnsi="宋体" w:eastAsia="仿宋_GB2312"/>
          <w:color w:val="auto"/>
          <w:sz w:val="32"/>
          <w:szCs w:val="32"/>
          <w:highlight w:val="none"/>
          <w:lang w:val="en-US" w:eastAsia="zh-CN"/>
        </w:rPr>
        <w:t>万元</w:t>
      </w:r>
      <w:r>
        <w:rPr>
          <w:rFonts w:hint="eastAsia" w:ascii="仿宋_GB2312" w:hAnsi="宋体" w:eastAsia="仿宋_GB2312"/>
          <w:color w:val="auto"/>
          <w:sz w:val="32"/>
          <w:szCs w:val="32"/>
          <w:highlight w:val="none"/>
        </w:rPr>
        <w:t>、福利费</w:t>
      </w:r>
      <w:r>
        <w:rPr>
          <w:rFonts w:hint="default" w:ascii="仿宋_GB2312" w:hAnsi="宋体" w:eastAsia="仿宋_GB2312"/>
          <w:color w:val="auto"/>
          <w:sz w:val="32"/>
          <w:szCs w:val="32"/>
          <w:highlight w:val="none"/>
          <w:lang w:eastAsia="zh-CN"/>
        </w:rPr>
        <w:t>0.20</w:t>
      </w:r>
      <w:r>
        <w:rPr>
          <w:rFonts w:hint="eastAsia" w:ascii="仿宋_GB2312" w:hAnsi="宋体" w:eastAsia="仿宋_GB2312"/>
          <w:color w:val="auto"/>
          <w:sz w:val="32"/>
          <w:szCs w:val="32"/>
          <w:highlight w:val="none"/>
          <w:lang w:val="en-US" w:eastAsia="zh-CN"/>
        </w:rPr>
        <w:t>万元</w:t>
      </w:r>
      <w:r>
        <w:rPr>
          <w:rFonts w:hint="eastAsia" w:ascii="仿宋_GB2312" w:hAnsi="宋体" w:eastAsia="仿宋_GB2312"/>
          <w:color w:val="auto"/>
          <w:sz w:val="32"/>
          <w:szCs w:val="32"/>
          <w:highlight w:val="none"/>
        </w:rPr>
        <w:t>、公务用车运行维护费</w:t>
      </w:r>
      <w:r>
        <w:rPr>
          <w:rFonts w:hint="default" w:ascii="仿宋_GB2312" w:hAnsi="宋体" w:eastAsia="仿宋_GB2312"/>
          <w:color w:val="auto"/>
          <w:sz w:val="32"/>
          <w:szCs w:val="32"/>
          <w:highlight w:val="none"/>
          <w:lang w:eastAsia="zh-CN"/>
        </w:rPr>
        <w:t>0.50</w:t>
      </w:r>
      <w:r>
        <w:rPr>
          <w:rFonts w:hint="eastAsia" w:ascii="仿宋_GB2312" w:hAnsi="宋体" w:eastAsia="仿宋_GB2312"/>
          <w:color w:val="auto"/>
          <w:sz w:val="32"/>
          <w:szCs w:val="32"/>
          <w:highlight w:val="none"/>
          <w:lang w:val="en-US" w:eastAsia="zh-CN"/>
        </w:rPr>
        <w:t>万元</w:t>
      </w:r>
      <w:r>
        <w:rPr>
          <w:rFonts w:hint="eastAsia" w:ascii="仿宋_GB2312" w:hAnsi="宋体" w:eastAsia="仿宋_GB2312"/>
          <w:color w:val="auto"/>
          <w:sz w:val="32"/>
          <w:szCs w:val="32"/>
          <w:highlight w:val="none"/>
        </w:rPr>
        <w:t>、其他交通费用</w:t>
      </w:r>
      <w:r>
        <w:rPr>
          <w:rFonts w:hint="default" w:ascii="仿宋_GB2312" w:hAnsi="宋体" w:eastAsia="仿宋_GB2312"/>
          <w:color w:val="auto"/>
          <w:sz w:val="32"/>
          <w:szCs w:val="32"/>
          <w:highlight w:val="none"/>
          <w:lang w:eastAsia="zh-CN"/>
        </w:rPr>
        <w:t>15.88</w:t>
      </w:r>
      <w:r>
        <w:rPr>
          <w:rFonts w:hint="eastAsia" w:ascii="仿宋_GB2312" w:hAnsi="宋体" w:eastAsia="仿宋_GB2312"/>
          <w:color w:val="auto"/>
          <w:sz w:val="32"/>
          <w:szCs w:val="32"/>
          <w:highlight w:val="none"/>
          <w:lang w:val="en-US" w:eastAsia="zh-CN"/>
        </w:rPr>
        <w:t>万元</w:t>
      </w:r>
      <w:r>
        <w:rPr>
          <w:rFonts w:hint="eastAsia" w:ascii="仿宋_GB2312" w:hAnsi="宋体" w:eastAsia="仿宋_GB2312"/>
          <w:color w:val="auto"/>
          <w:sz w:val="32"/>
          <w:szCs w:val="32"/>
          <w:highlight w:val="none"/>
        </w:rPr>
        <w:t>、其他商品和服务支出</w:t>
      </w:r>
      <w:r>
        <w:rPr>
          <w:rFonts w:hint="default" w:ascii="仿宋_GB2312" w:hAnsi="宋体" w:eastAsia="仿宋_GB2312"/>
          <w:color w:val="auto"/>
          <w:sz w:val="32"/>
          <w:szCs w:val="32"/>
          <w:highlight w:val="none"/>
          <w:lang w:eastAsia="zh-CN"/>
        </w:rPr>
        <w:t>1.92</w:t>
      </w:r>
      <w:r>
        <w:rPr>
          <w:rFonts w:hint="eastAsia" w:ascii="仿宋_GB2312" w:hAnsi="宋体" w:eastAsia="仿宋_GB2312"/>
          <w:color w:val="auto"/>
          <w:sz w:val="32"/>
          <w:szCs w:val="32"/>
          <w:highlight w:val="none"/>
          <w:lang w:val="en-US" w:eastAsia="zh-CN"/>
        </w:rPr>
        <w:t>万元</w:t>
      </w:r>
      <w:r>
        <w:rPr>
          <w:rFonts w:hint="eastAsia" w:ascii="仿宋_GB2312" w:hAnsi="宋体" w:eastAsia="仿宋_GB2312"/>
          <w:color w:val="auto"/>
          <w:sz w:val="32"/>
          <w:szCs w:val="32"/>
          <w:highlight w:val="none"/>
        </w:rPr>
        <w:t>、办公设备购置</w:t>
      </w:r>
      <w:r>
        <w:rPr>
          <w:rFonts w:hint="default" w:ascii="仿宋_GB2312" w:hAnsi="宋体" w:eastAsia="仿宋_GB2312"/>
          <w:color w:val="auto"/>
          <w:sz w:val="32"/>
          <w:szCs w:val="32"/>
          <w:highlight w:val="none"/>
          <w:lang w:eastAsia="zh-CN"/>
        </w:rPr>
        <w:t>1.96</w:t>
      </w:r>
      <w:r>
        <w:rPr>
          <w:rFonts w:hint="eastAsia" w:ascii="仿宋_GB2312" w:hAnsi="宋体" w:eastAsia="仿宋_GB2312"/>
          <w:color w:val="auto"/>
          <w:sz w:val="32"/>
          <w:szCs w:val="32"/>
          <w:highlight w:val="none"/>
          <w:lang w:val="en-US" w:eastAsia="zh-CN"/>
        </w:rPr>
        <w:t>万元。</w:t>
      </w:r>
    </w:p>
    <w:p>
      <w:pPr>
        <w:spacing w:line="540" w:lineRule="exact"/>
        <w:ind w:firstLine="643" w:firstLineChars="200"/>
        <w:rPr>
          <w:rFonts w:ascii="楷体_GB2312" w:hAnsi="黑体" w:eastAsia="楷体_GB2312"/>
          <w:b/>
          <w:color w:val="auto"/>
          <w:sz w:val="32"/>
          <w:szCs w:val="32"/>
          <w:highlight w:val="none"/>
        </w:rPr>
      </w:pPr>
      <w:r>
        <w:rPr>
          <w:rFonts w:hint="eastAsia" w:ascii="楷体_GB2312" w:hAnsi="黑体" w:eastAsia="楷体_GB2312"/>
          <w:b/>
          <w:color w:val="auto"/>
          <w:sz w:val="32"/>
          <w:szCs w:val="32"/>
          <w:highlight w:val="none"/>
        </w:rPr>
        <w:t>（二）政府采购支出情况</w:t>
      </w:r>
    </w:p>
    <w:p>
      <w:pPr>
        <w:topLinePunct/>
        <w:spacing w:line="5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2023年政府采购支出总额</w:t>
      </w:r>
      <w:r>
        <w:rPr>
          <w:rFonts w:hint="eastAsia" w:ascii="仿宋_GB2312" w:eastAsia="仿宋_GB2312" w:cs="仿宋_GB2312"/>
          <w:color w:val="auto"/>
          <w:sz w:val="32"/>
          <w:szCs w:val="32"/>
          <w:highlight w:val="none"/>
        </w:rPr>
        <w:t>0.00</w:t>
      </w:r>
      <w:r>
        <w:rPr>
          <w:rFonts w:hint="eastAsia" w:ascii="仿宋_GB2312" w:hAnsi="黑体" w:eastAsia="仿宋_GB2312"/>
          <w:color w:val="auto"/>
          <w:sz w:val="32"/>
          <w:szCs w:val="32"/>
          <w:highlight w:val="none"/>
        </w:rPr>
        <w:t>万元，其中：政府采购货物支出</w:t>
      </w:r>
      <w:r>
        <w:rPr>
          <w:rFonts w:hint="eastAsia" w:ascii="仿宋_GB2312" w:eastAsia="仿宋_GB2312" w:cs="仿宋_GB2312"/>
          <w:color w:val="auto"/>
          <w:sz w:val="32"/>
          <w:szCs w:val="32"/>
          <w:highlight w:val="none"/>
        </w:rPr>
        <w:t>0.00</w:t>
      </w:r>
      <w:r>
        <w:rPr>
          <w:rFonts w:hint="eastAsia" w:ascii="仿宋_GB2312" w:hAnsi="黑体" w:eastAsia="仿宋_GB2312"/>
          <w:color w:val="auto"/>
          <w:sz w:val="32"/>
          <w:szCs w:val="32"/>
          <w:highlight w:val="none"/>
        </w:rPr>
        <w:t>万元，政府采购工程支出</w:t>
      </w:r>
      <w:r>
        <w:rPr>
          <w:rFonts w:hint="eastAsia" w:ascii="仿宋_GB2312" w:eastAsia="仿宋_GB2312" w:cs="仿宋_GB2312"/>
          <w:color w:val="auto"/>
          <w:sz w:val="32"/>
          <w:szCs w:val="32"/>
          <w:highlight w:val="none"/>
        </w:rPr>
        <w:t>0.00</w:t>
      </w:r>
      <w:r>
        <w:rPr>
          <w:rFonts w:hint="eastAsia" w:ascii="仿宋_GB2312" w:hAnsi="黑体" w:eastAsia="仿宋_GB2312"/>
          <w:color w:val="auto"/>
          <w:sz w:val="32"/>
          <w:szCs w:val="32"/>
          <w:highlight w:val="none"/>
        </w:rPr>
        <w:t>万元，政府采购服务支出</w:t>
      </w:r>
      <w:r>
        <w:rPr>
          <w:rFonts w:hint="eastAsia" w:ascii="仿宋_GB2312" w:eastAsia="仿宋_GB2312" w:cs="仿宋_GB2312"/>
          <w:color w:val="auto"/>
          <w:sz w:val="32"/>
          <w:szCs w:val="32"/>
          <w:highlight w:val="none"/>
        </w:rPr>
        <w:t>0.00</w:t>
      </w:r>
      <w:r>
        <w:rPr>
          <w:rFonts w:hint="eastAsia" w:ascii="仿宋_GB2312" w:hAnsi="黑体" w:eastAsia="仿宋_GB2312"/>
          <w:color w:val="auto"/>
          <w:sz w:val="32"/>
          <w:szCs w:val="32"/>
          <w:highlight w:val="none"/>
        </w:rPr>
        <w:t>万元。</w:t>
      </w:r>
      <w:r>
        <w:rPr>
          <w:rFonts w:hint="eastAsia" w:ascii="仿宋_GB2312" w:eastAsia="仿宋_GB2312"/>
          <w:color w:val="auto"/>
          <w:sz w:val="32"/>
          <w:szCs w:val="32"/>
          <w:highlight w:val="none"/>
        </w:rPr>
        <w:t>授予中小企业合同金额</w:t>
      </w:r>
      <w:r>
        <w:rPr>
          <w:rFonts w:hint="eastAsia" w:ascii="仿宋_GB2312" w:eastAsia="仿宋_GB2312" w:cs="仿宋_GB2312"/>
          <w:color w:val="auto"/>
          <w:sz w:val="32"/>
          <w:szCs w:val="32"/>
          <w:highlight w:val="none"/>
        </w:rPr>
        <w:t>0.00</w:t>
      </w:r>
      <w:r>
        <w:rPr>
          <w:rFonts w:hint="eastAsia" w:ascii="仿宋_GB2312" w:eastAsia="仿宋_GB2312"/>
          <w:color w:val="auto"/>
          <w:sz w:val="32"/>
          <w:szCs w:val="32"/>
          <w:highlight w:val="none"/>
        </w:rPr>
        <w:t>万元，占政府采购支出总额的</w:t>
      </w:r>
      <w:r>
        <w:rPr>
          <w:rFonts w:hint="eastAsia" w:ascii="仿宋_GB2312" w:eastAsia="仿宋_GB2312" w:cs="仿宋_GB2312"/>
          <w:color w:val="auto"/>
          <w:sz w:val="32"/>
          <w:szCs w:val="32"/>
          <w:highlight w:val="none"/>
        </w:rPr>
        <w:t>0.00</w:t>
      </w:r>
      <w:r>
        <w:rPr>
          <w:rFonts w:hint="eastAsia" w:ascii="仿宋_GB2312" w:eastAsia="仿宋_GB2312"/>
          <w:color w:val="auto"/>
          <w:sz w:val="32"/>
          <w:szCs w:val="32"/>
          <w:highlight w:val="none"/>
        </w:rPr>
        <w:t>%，其中：授予小微企业合同金额</w:t>
      </w:r>
      <w:r>
        <w:rPr>
          <w:rFonts w:hint="eastAsia" w:ascii="仿宋_GB2312" w:eastAsia="仿宋_GB2312" w:cs="仿宋_GB2312"/>
          <w:color w:val="auto"/>
          <w:sz w:val="32"/>
          <w:szCs w:val="32"/>
          <w:highlight w:val="none"/>
        </w:rPr>
        <w:t>0.00</w:t>
      </w:r>
      <w:r>
        <w:rPr>
          <w:rFonts w:hint="eastAsia" w:ascii="仿宋_GB2312" w:eastAsia="仿宋_GB2312"/>
          <w:color w:val="auto"/>
          <w:sz w:val="32"/>
          <w:szCs w:val="32"/>
          <w:highlight w:val="none"/>
        </w:rPr>
        <w:t>万元，占中小企业采购支出总额的</w:t>
      </w:r>
      <w:r>
        <w:rPr>
          <w:rFonts w:hint="eastAsia" w:ascii="仿宋_GB2312" w:eastAsia="仿宋_GB2312" w:cs="仿宋_GB2312"/>
          <w:color w:val="auto"/>
          <w:sz w:val="32"/>
          <w:szCs w:val="32"/>
          <w:highlight w:val="none"/>
        </w:rPr>
        <w:t>0.00</w:t>
      </w:r>
      <w:r>
        <w:rPr>
          <w:rFonts w:hint="eastAsia" w:ascii="仿宋_GB2312" w:eastAsia="仿宋_GB2312"/>
          <w:color w:val="auto"/>
          <w:sz w:val="32"/>
          <w:szCs w:val="32"/>
          <w:highlight w:val="none"/>
        </w:rPr>
        <w:t>%；货物采购授予中小企业合同金额占货物支出金额的</w:t>
      </w:r>
      <w:r>
        <w:rPr>
          <w:rFonts w:hint="eastAsia" w:ascii="仿宋_GB2312" w:hAnsi="宋体" w:eastAsia="仿宋_GB2312"/>
          <w:color w:val="auto"/>
          <w:sz w:val="32"/>
          <w:szCs w:val="32"/>
          <w:highlight w:val="none"/>
        </w:rPr>
        <w:t>0.00</w:t>
      </w:r>
      <w:r>
        <w:rPr>
          <w:rFonts w:hint="eastAsia" w:ascii="仿宋_GB2312" w:eastAsia="仿宋_GB2312"/>
          <w:color w:val="auto"/>
          <w:sz w:val="32"/>
          <w:szCs w:val="32"/>
          <w:highlight w:val="none"/>
        </w:rPr>
        <w:t>%；工程采购授予中小企业合同金额占工程支出金额的</w:t>
      </w:r>
      <w:r>
        <w:rPr>
          <w:rFonts w:hint="eastAsia" w:ascii="仿宋_GB2312" w:hAnsi="宋体" w:eastAsia="仿宋_GB2312"/>
          <w:color w:val="auto"/>
          <w:sz w:val="32"/>
          <w:szCs w:val="32"/>
          <w:highlight w:val="none"/>
        </w:rPr>
        <w:t>0.00</w:t>
      </w:r>
      <w:r>
        <w:rPr>
          <w:rFonts w:hint="eastAsia" w:ascii="仿宋_GB2312" w:eastAsia="仿宋_GB2312"/>
          <w:color w:val="auto"/>
          <w:sz w:val="32"/>
          <w:szCs w:val="32"/>
          <w:highlight w:val="none"/>
        </w:rPr>
        <w:t>%；服务采购授予中小企业合同金额占服务支出金额的</w:t>
      </w:r>
      <w:r>
        <w:rPr>
          <w:rFonts w:hint="eastAsia" w:ascii="仿宋_GB2312" w:hAnsi="宋体" w:eastAsia="仿宋_GB2312"/>
          <w:color w:val="auto"/>
          <w:sz w:val="32"/>
          <w:szCs w:val="32"/>
          <w:highlight w:val="none"/>
        </w:rPr>
        <w:t>0.00</w:t>
      </w:r>
      <w:r>
        <w:rPr>
          <w:rFonts w:hint="eastAsia" w:ascii="仿宋_GB2312" w:eastAsia="仿宋_GB2312"/>
          <w:color w:val="auto"/>
          <w:sz w:val="32"/>
          <w:szCs w:val="32"/>
          <w:highlight w:val="none"/>
        </w:rPr>
        <w:t>%。</w:t>
      </w:r>
    </w:p>
    <w:p>
      <w:pPr>
        <w:spacing w:line="540" w:lineRule="exact"/>
        <w:ind w:firstLine="643" w:firstLineChars="200"/>
        <w:rPr>
          <w:rFonts w:ascii="楷体_GB2312" w:hAnsi="黑体" w:eastAsia="楷体_GB2312"/>
          <w:b/>
          <w:color w:val="auto"/>
          <w:sz w:val="32"/>
          <w:szCs w:val="32"/>
          <w:highlight w:val="none"/>
        </w:rPr>
      </w:pPr>
      <w:r>
        <w:rPr>
          <w:rFonts w:hint="eastAsia" w:ascii="楷体_GB2312" w:hAnsi="黑体" w:eastAsia="楷体_GB2312"/>
          <w:b/>
          <w:color w:val="auto"/>
          <w:sz w:val="32"/>
          <w:szCs w:val="32"/>
          <w:highlight w:val="none"/>
        </w:rPr>
        <w:t>（三）国有资产占用情况</w:t>
      </w:r>
    </w:p>
    <w:p>
      <w:pPr>
        <w:topLinePunct/>
        <w:spacing w:line="5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截至2023年12月31日，共有车辆</w:t>
      </w:r>
      <w:r>
        <w:rPr>
          <w:rFonts w:hint="eastAsia" w:ascii="仿宋_GB2312" w:eastAsia="仿宋_GB2312" w:cs="仿宋_GB2312"/>
          <w:color w:val="auto"/>
          <w:sz w:val="32"/>
          <w:szCs w:val="32"/>
          <w:highlight w:val="none"/>
        </w:rPr>
        <w:t>1</w:t>
      </w:r>
      <w:r>
        <w:rPr>
          <w:rFonts w:hint="eastAsia" w:ascii="仿宋_GB2312" w:hAnsi="黑体" w:eastAsia="仿宋_GB2312"/>
          <w:color w:val="auto"/>
          <w:sz w:val="32"/>
          <w:szCs w:val="32"/>
          <w:highlight w:val="none"/>
        </w:rPr>
        <w:t>辆，其中：副省级以上领导干部用车</w:t>
      </w:r>
      <w:r>
        <w:rPr>
          <w:rFonts w:hint="eastAsia" w:ascii="仿宋_GB2312" w:eastAsia="仿宋_GB2312" w:cs="仿宋_GB2312"/>
          <w:color w:val="auto"/>
          <w:sz w:val="32"/>
          <w:szCs w:val="32"/>
          <w:highlight w:val="none"/>
        </w:rPr>
        <w:t>0</w:t>
      </w:r>
      <w:r>
        <w:rPr>
          <w:rFonts w:hint="eastAsia" w:ascii="仿宋_GB2312" w:hAnsi="黑体" w:eastAsia="仿宋_GB2312"/>
          <w:color w:val="auto"/>
          <w:sz w:val="32"/>
          <w:szCs w:val="32"/>
          <w:highlight w:val="none"/>
        </w:rPr>
        <w:t>辆，主要</w:t>
      </w:r>
      <w:r>
        <w:rPr>
          <w:rFonts w:ascii="仿宋_GB2312" w:hAnsi="黑体" w:eastAsia="仿宋_GB2312"/>
          <w:color w:val="auto"/>
          <w:sz w:val="32"/>
          <w:szCs w:val="32"/>
          <w:highlight w:val="none"/>
        </w:rPr>
        <w:t>领导干部</w:t>
      </w:r>
      <w:r>
        <w:rPr>
          <w:rFonts w:hint="eastAsia" w:ascii="仿宋_GB2312" w:hAnsi="黑体" w:eastAsia="仿宋_GB2312"/>
          <w:color w:val="auto"/>
          <w:sz w:val="32"/>
          <w:szCs w:val="32"/>
          <w:highlight w:val="none"/>
        </w:rPr>
        <w:t>用车</w:t>
      </w:r>
      <w:r>
        <w:rPr>
          <w:rFonts w:hint="eastAsia" w:ascii="仿宋_GB2312" w:eastAsia="仿宋_GB2312" w:cs="仿宋_GB2312"/>
          <w:color w:val="auto"/>
          <w:sz w:val="32"/>
          <w:szCs w:val="32"/>
          <w:highlight w:val="none"/>
        </w:rPr>
        <w:t>0</w:t>
      </w:r>
      <w:r>
        <w:rPr>
          <w:rFonts w:hint="eastAsia" w:ascii="仿宋_GB2312" w:hAnsi="黑体" w:eastAsia="仿宋_GB2312"/>
          <w:color w:val="auto"/>
          <w:sz w:val="32"/>
          <w:szCs w:val="32"/>
          <w:highlight w:val="none"/>
        </w:rPr>
        <w:t>辆，机要通信用车</w:t>
      </w:r>
      <w:r>
        <w:rPr>
          <w:rFonts w:hint="eastAsia" w:ascii="仿宋_GB2312" w:eastAsia="仿宋_GB2312" w:cs="仿宋_GB2312"/>
          <w:color w:val="auto"/>
          <w:sz w:val="32"/>
          <w:szCs w:val="32"/>
          <w:highlight w:val="none"/>
        </w:rPr>
        <w:t>1</w:t>
      </w:r>
      <w:r>
        <w:rPr>
          <w:rFonts w:hint="eastAsia" w:ascii="仿宋_GB2312" w:hAnsi="黑体" w:eastAsia="仿宋_GB2312"/>
          <w:color w:val="auto"/>
          <w:sz w:val="32"/>
          <w:szCs w:val="32"/>
          <w:highlight w:val="none"/>
        </w:rPr>
        <w:t>辆，应急</w:t>
      </w:r>
      <w:r>
        <w:rPr>
          <w:rFonts w:ascii="仿宋_GB2312" w:hAnsi="黑体" w:eastAsia="仿宋_GB2312"/>
          <w:color w:val="auto"/>
          <w:sz w:val="32"/>
          <w:szCs w:val="32"/>
          <w:highlight w:val="none"/>
        </w:rPr>
        <w:t>保障用车</w:t>
      </w:r>
      <w:r>
        <w:rPr>
          <w:rFonts w:hint="eastAsia" w:ascii="仿宋_GB2312" w:eastAsia="仿宋_GB2312" w:cs="仿宋_GB2312"/>
          <w:color w:val="auto"/>
          <w:sz w:val="32"/>
          <w:szCs w:val="32"/>
          <w:highlight w:val="none"/>
        </w:rPr>
        <w:t>0</w:t>
      </w:r>
      <w:r>
        <w:rPr>
          <w:rFonts w:ascii="仿宋_GB2312" w:hAnsi="黑体" w:eastAsia="仿宋_GB2312"/>
          <w:color w:val="auto"/>
          <w:sz w:val="32"/>
          <w:szCs w:val="32"/>
          <w:highlight w:val="none"/>
        </w:rPr>
        <w:t>辆，</w:t>
      </w:r>
      <w:r>
        <w:rPr>
          <w:rFonts w:hint="eastAsia" w:ascii="仿宋_GB2312" w:hAnsi="黑体" w:eastAsia="仿宋_GB2312"/>
          <w:color w:val="auto"/>
          <w:sz w:val="32"/>
          <w:szCs w:val="32"/>
          <w:highlight w:val="none"/>
        </w:rPr>
        <w:t>执法执勤</w:t>
      </w:r>
      <w:r>
        <w:rPr>
          <w:rFonts w:ascii="仿宋_GB2312" w:hAnsi="黑体" w:eastAsia="仿宋_GB2312"/>
          <w:color w:val="auto"/>
          <w:sz w:val="32"/>
          <w:szCs w:val="32"/>
          <w:highlight w:val="none"/>
        </w:rPr>
        <w:t>用车</w:t>
      </w:r>
      <w:r>
        <w:rPr>
          <w:rFonts w:hint="eastAsia" w:ascii="仿宋_GB2312" w:eastAsia="仿宋_GB2312" w:cs="仿宋_GB2312"/>
          <w:color w:val="auto"/>
          <w:sz w:val="32"/>
          <w:szCs w:val="32"/>
          <w:highlight w:val="none"/>
        </w:rPr>
        <w:t>0</w:t>
      </w:r>
      <w:r>
        <w:rPr>
          <w:rFonts w:hint="eastAsia" w:ascii="仿宋_GB2312" w:hAnsi="黑体" w:eastAsia="仿宋_GB2312"/>
          <w:color w:val="auto"/>
          <w:sz w:val="32"/>
          <w:szCs w:val="32"/>
          <w:highlight w:val="none"/>
        </w:rPr>
        <w:t>辆</w:t>
      </w:r>
      <w:r>
        <w:rPr>
          <w:rFonts w:ascii="仿宋_GB2312" w:hAnsi="黑体" w:eastAsia="仿宋_GB2312"/>
          <w:color w:val="auto"/>
          <w:sz w:val="32"/>
          <w:szCs w:val="32"/>
          <w:highlight w:val="none"/>
        </w:rPr>
        <w:t>，</w:t>
      </w:r>
      <w:r>
        <w:rPr>
          <w:rFonts w:hint="eastAsia" w:ascii="仿宋_GB2312" w:hAnsi="黑体" w:eastAsia="仿宋_GB2312"/>
          <w:color w:val="auto"/>
          <w:sz w:val="32"/>
          <w:szCs w:val="32"/>
          <w:highlight w:val="none"/>
        </w:rPr>
        <w:t>特种专业技术用车</w:t>
      </w:r>
      <w:r>
        <w:rPr>
          <w:rFonts w:hint="eastAsia" w:ascii="仿宋_GB2312" w:eastAsia="仿宋_GB2312" w:cs="仿宋_GB2312"/>
          <w:color w:val="auto"/>
          <w:sz w:val="32"/>
          <w:szCs w:val="32"/>
          <w:highlight w:val="none"/>
        </w:rPr>
        <w:t>0</w:t>
      </w:r>
      <w:r>
        <w:rPr>
          <w:rFonts w:hint="eastAsia" w:ascii="仿宋_GB2312" w:hAnsi="黑体" w:eastAsia="仿宋_GB2312"/>
          <w:color w:val="auto"/>
          <w:sz w:val="32"/>
          <w:szCs w:val="32"/>
          <w:highlight w:val="none"/>
        </w:rPr>
        <w:t>辆，离退休</w:t>
      </w:r>
      <w:r>
        <w:rPr>
          <w:rFonts w:ascii="仿宋_GB2312" w:hAnsi="黑体" w:eastAsia="仿宋_GB2312"/>
          <w:color w:val="auto"/>
          <w:sz w:val="32"/>
          <w:szCs w:val="32"/>
          <w:highlight w:val="none"/>
        </w:rPr>
        <w:t>干部用车</w:t>
      </w:r>
      <w:r>
        <w:rPr>
          <w:rFonts w:hint="eastAsia" w:ascii="仿宋_GB2312" w:eastAsia="仿宋_GB2312" w:cs="仿宋_GB2312"/>
          <w:color w:val="auto"/>
          <w:sz w:val="32"/>
          <w:szCs w:val="32"/>
          <w:highlight w:val="none"/>
        </w:rPr>
        <w:t>0</w:t>
      </w:r>
      <w:r>
        <w:rPr>
          <w:rFonts w:hint="eastAsia" w:ascii="仿宋_GB2312" w:hAnsi="黑体" w:eastAsia="仿宋_GB2312"/>
          <w:color w:val="auto"/>
          <w:sz w:val="32"/>
          <w:szCs w:val="32"/>
          <w:highlight w:val="none"/>
        </w:rPr>
        <w:t>辆</w:t>
      </w:r>
      <w:r>
        <w:rPr>
          <w:rFonts w:ascii="仿宋_GB2312" w:hAnsi="黑体" w:eastAsia="仿宋_GB2312"/>
          <w:color w:val="auto"/>
          <w:sz w:val="32"/>
          <w:szCs w:val="32"/>
          <w:highlight w:val="none"/>
        </w:rPr>
        <w:t>，</w:t>
      </w:r>
      <w:r>
        <w:rPr>
          <w:rFonts w:hint="eastAsia" w:ascii="仿宋_GB2312" w:hAnsi="黑体" w:eastAsia="仿宋_GB2312"/>
          <w:color w:val="auto"/>
          <w:sz w:val="32"/>
          <w:szCs w:val="32"/>
          <w:highlight w:val="none"/>
        </w:rPr>
        <w:t>其他用车</w:t>
      </w:r>
      <w:r>
        <w:rPr>
          <w:rFonts w:hint="eastAsia" w:ascii="仿宋_GB2312" w:eastAsia="仿宋_GB2312" w:cs="仿宋_GB2312"/>
          <w:color w:val="auto"/>
          <w:sz w:val="32"/>
          <w:szCs w:val="32"/>
          <w:highlight w:val="none"/>
        </w:rPr>
        <w:t>0</w:t>
      </w:r>
      <w:r>
        <w:rPr>
          <w:rFonts w:hint="eastAsia" w:ascii="仿宋_GB2312" w:hAnsi="黑体" w:eastAsia="仿宋_GB2312"/>
          <w:color w:val="auto"/>
          <w:sz w:val="32"/>
          <w:szCs w:val="32"/>
          <w:highlight w:val="none"/>
        </w:rPr>
        <w:t>辆；单价100万元（含）以上设备（不含车辆）</w:t>
      </w:r>
      <w:r>
        <w:rPr>
          <w:rFonts w:hint="eastAsia" w:ascii="仿宋_GB2312" w:eastAsia="仿宋_GB2312" w:cs="仿宋_GB2312"/>
          <w:color w:val="auto"/>
          <w:sz w:val="32"/>
          <w:szCs w:val="32"/>
          <w:highlight w:val="none"/>
        </w:rPr>
        <w:t>0</w:t>
      </w:r>
      <w:r>
        <w:rPr>
          <w:rFonts w:hint="eastAsia" w:ascii="仿宋_GB2312" w:hAnsi="黑体" w:eastAsia="仿宋_GB2312"/>
          <w:color w:val="auto"/>
          <w:sz w:val="32"/>
          <w:szCs w:val="32"/>
          <w:highlight w:val="none"/>
        </w:rPr>
        <w:t>台（套）。</w:t>
      </w:r>
    </w:p>
    <w:p>
      <w:pPr>
        <w:widowControl/>
        <w:spacing w:line="540" w:lineRule="exact"/>
        <w:ind w:firstLine="643" w:firstLineChars="200"/>
        <w:jc w:val="left"/>
        <w:rPr>
          <w:color w:val="auto"/>
          <w:highlight w:val="none"/>
        </w:rPr>
      </w:pPr>
      <w:r>
        <w:rPr>
          <w:rFonts w:ascii="楷体_GB2312" w:hAnsi="宋体" w:eastAsia="楷体_GB2312" w:cs="楷体_GB2312"/>
          <w:b/>
          <w:color w:val="auto"/>
          <w:sz w:val="32"/>
          <w:szCs w:val="32"/>
          <w:highlight w:val="none"/>
        </w:rPr>
        <w:t>（四）预算绩效情况</w:t>
      </w:r>
    </w:p>
    <w:p>
      <w:pPr>
        <w:widowControl/>
        <w:spacing w:line="520" w:lineRule="exact"/>
        <w:ind w:firstLine="640" w:firstLineChars="200"/>
        <w:jc w:val="both"/>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 xml:space="preserve">1.部门整体绩效自评情况   </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根据预算绩效管理要求，盘锦市兴隆台区人民代表大会常务委员会办公室组织开展部门（单位）整体绩效自评工作，涉及资金461.37万元，其中财政拨款资金461.37万元，自评得分</w:t>
      </w:r>
      <w:r>
        <w:rPr>
          <w:rFonts w:hint="eastAsia" w:ascii="仿宋_GB2312" w:hAnsi="宋体" w:eastAsia="仿宋_GB2312" w:cs="仿宋_GB2312"/>
          <w:color w:val="auto"/>
          <w:kern w:val="0"/>
          <w:sz w:val="32"/>
          <w:szCs w:val="32"/>
          <w:highlight w:val="none"/>
          <w:lang w:val="en-US" w:eastAsia="zh-CN"/>
        </w:rPr>
        <w:t>99.3</w:t>
      </w:r>
      <w:r>
        <w:rPr>
          <w:rFonts w:hint="eastAsia" w:ascii="仿宋_GB2312" w:hAnsi="宋体" w:eastAsia="仿宋_GB2312" w:cs="仿宋_GB2312"/>
          <w:color w:val="auto"/>
          <w:kern w:val="0"/>
          <w:sz w:val="32"/>
          <w:szCs w:val="32"/>
          <w:highlight w:val="none"/>
        </w:rPr>
        <w:t>分。</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详见附件《部门（单位）整体绩效自评表》。</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2.项目绩效自评情况</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2023年度，盘锦市兴隆台区人民代表大会常务委员会办公室对本部门（单位）7个</w:t>
      </w:r>
      <w:r>
        <w:rPr>
          <w:rFonts w:hint="eastAsia" w:ascii="仿宋_GB2312" w:hAnsi="宋体" w:eastAsia="仿宋_GB2312" w:cs="仿宋_GB2312"/>
          <w:color w:val="auto"/>
          <w:kern w:val="0"/>
          <w:sz w:val="32"/>
          <w:szCs w:val="32"/>
          <w:highlight w:val="none"/>
          <w:lang w:eastAsia="zh-CN"/>
        </w:rPr>
        <w:t>发生支出的</w:t>
      </w:r>
      <w:r>
        <w:rPr>
          <w:rFonts w:hint="eastAsia" w:ascii="仿宋_GB2312" w:hAnsi="宋体" w:eastAsia="仿宋_GB2312" w:cs="仿宋_GB2312"/>
          <w:color w:val="auto"/>
          <w:kern w:val="0"/>
          <w:sz w:val="32"/>
          <w:szCs w:val="32"/>
          <w:highlight w:val="none"/>
        </w:rPr>
        <w:t>项目开展项目绩效自评工作，涉及资金</w:t>
      </w:r>
      <w:r>
        <w:rPr>
          <w:rFonts w:hint="eastAsia" w:ascii="仿宋_GB2312" w:hAnsi="宋体" w:eastAsia="仿宋_GB2312" w:cs="仿宋_GB2312"/>
          <w:color w:val="auto"/>
          <w:kern w:val="0"/>
          <w:sz w:val="32"/>
          <w:szCs w:val="32"/>
          <w:highlight w:val="none"/>
          <w:lang w:val="en-US" w:eastAsia="zh-CN"/>
        </w:rPr>
        <w:t>103.40</w:t>
      </w:r>
      <w:r>
        <w:rPr>
          <w:rFonts w:hint="eastAsia" w:ascii="仿宋_GB2312" w:hAnsi="宋体" w:eastAsia="仿宋_GB2312" w:cs="仿宋_GB2312"/>
          <w:color w:val="auto"/>
          <w:kern w:val="0"/>
          <w:sz w:val="32"/>
          <w:szCs w:val="32"/>
          <w:highlight w:val="none"/>
        </w:rPr>
        <w:t>万元，其中财政拨款资金</w:t>
      </w:r>
      <w:r>
        <w:rPr>
          <w:rFonts w:hint="eastAsia" w:ascii="仿宋_GB2312" w:hAnsi="宋体" w:eastAsia="仿宋_GB2312" w:cs="仿宋_GB2312"/>
          <w:color w:val="auto"/>
          <w:kern w:val="0"/>
          <w:sz w:val="32"/>
          <w:szCs w:val="32"/>
          <w:highlight w:val="none"/>
          <w:lang w:val="en-US" w:eastAsia="zh-CN"/>
        </w:rPr>
        <w:t>103.40</w:t>
      </w:r>
      <w:r>
        <w:rPr>
          <w:rFonts w:hint="eastAsia" w:ascii="仿宋_GB2312" w:hAnsi="宋体" w:eastAsia="仿宋_GB2312" w:cs="仿宋_GB2312"/>
          <w:color w:val="auto"/>
          <w:kern w:val="0"/>
          <w:sz w:val="32"/>
          <w:szCs w:val="32"/>
          <w:highlight w:val="none"/>
        </w:rPr>
        <w:t>万元，自评覆盖率（开展绩效自评的项目数/年初批复绩效目标在项目数*100%）达到</w:t>
      </w:r>
      <w:r>
        <w:rPr>
          <w:rFonts w:hint="eastAsia" w:ascii="仿宋_GB2312" w:hAnsi="宋体" w:eastAsia="仿宋_GB2312" w:cs="仿宋_GB2312"/>
          <w:color w:val="auto"/>
          <w:kern w:val="0"/>
          <w:sz w:val="32"/>
          <w:szCs w:val="32"/>
          <w:highlight w:val="none"/>
          <w:lang w:val="en-US" w:eastAsia="zh-CN"/>
        </w:rPr>
        <w:t>100</w:t>
      </w:r>
      <w:r>
        <w:rPr>
          <w:rFonts w:hint="eastAsia" w:ascii="仿宋_GB2312" w:hAnsi="宋体" w:eastAsia="仿宋_GB2312" w:cs="仿宋_GB2312"/>
          <w:color w:val="auto"/>
          <w:kern w:val="0"/>
          <w:sz w:val="32"/>
          <w:szCs w:val="32"/>
          <w:highlight w:val="none"/>
        </w:rPr>
        <w:t>%，自评平均分</w:t>
      </w:r>
      <w:r>
        <w:rPr>
          <w:rFonts w:hint="eastAsia" w:ascii="仿宋_GB2312" w:hAnsi="宋体" w:eastAsia="仿宋_GB2312" w:cs="仿宋_GB2312"/>
          <w:color w:val="auto"/>
          <w:kern w:val="0"/>
          <w:sz w:val="32"/>
          <w:szCs w:val="32"/>
          <w:highlight w:val="none"/>
          <w:lang w:val="en-US" w:eastAsia="zh-CN"/>
        </w:rPr>
        <w:t xml:space="preserve"> 90</w:t>
      </w:r>
      <w:r>
        <w:rPr>
          <w:rFonts w:hint="eastAsia" w:ascii="仿宋_GB2312" w:hAnsi="宋体" w:eastAsia="仿宋_GB2312" w:cs="仿宋_GB2312"/>
          <w:color w:val="auto"/>
          <w:kern w:val="0"/>
          <w:sz w:val="32"/>
          <w:szCs w:val="32"/>
          <w:highlight w:val="none"/>
        </w:rPr>
        <w:t>（开展绩效自评的项目分数总和/开展绩效自评的项目数）分。</w:t>
      </w:r>
    </w:p>
    <w:p>
      <w:pPr>
        <w:widowControl/>
        <w:spacing w:line="520" w:lineRule="exact"/>
        <w:ind w:firstLine="640" w:firstLineChars="200"/>
        <w:jc w:val="both"/>
        <w:rPr>
          <w:rFonts w:hint="eastAsia" w:ascii="仿宋_GB2312" w:eastAsia="宋体"/>
          <w:b/>
          <w:bCs/>
          <w:color w:val="auto"/>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color w:val="auto"/>
          <w:kern w:val="0"/>
          <w:sz w:val="32"/>
          <w:szCs w:val="32"/>
          <w:highlight w:val="none"/>
        </w:rPr>
        <w:t>详见附件《预算项目（政策）绩效自评表》。</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3.部门重点评价情况</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2023年度，盘锦市兴隆台区人民代表大会常务委员会办公室未开展部门重点评价工作。</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4.财政重点评价情况</w:t>
      </w:r>
      <w:r>
        <w:rPr>
          <w:rFonts w:hint="eastAsia" w:ascii="仿宋_GB2312" w:hAnsi="宋体" w:eastAsia="仿宋_GB2312" w:cs="仿宋_GB2312"/>
          <w:color w:val="auto"/>
          <w:kern w:val="0"/>
          <w:sz w:val="32"/>
          <w:szCs w:val="32"/>
          <w:highlight w:val="none"/>
        </w:rPr>
        <w:br w:type="textWrapping"/>
      </w:r>
      <w:r>
        <w:rPr>
          <w:rFonts w:hint="eastAsia" w:ascii="仿宋_GB2312" w:hAnsi="宋体" w:eastAsia="仿宋_GB2312" w:cs="仿宋_GB2312"/>
          <w:color w:val="auto"/>
          <w:kern w:val="0"/>
          <w:sz w:val="32"/>
          <w:szCs w:val="32"/>
          <w:highlight w:val="none"/>
        </w:rPr>
        <w:t xml:space="preserve">    2023年度，兴隆台区财政局未对盘锦市兴隆台区人民代表大会常务委员会办公室的项目开展财政重点评价工作。</w:t>
      </w:r>
    </w:p>
    <w:p>
      <w:pPr>
        <w:spacing w:line="540" w:lineRule="exact"/>
        <w:jc w:val="center"/>
        <w:rPr>
          <w:rFonts w:hint="eastAsia" w:ascii="宋体" w:hAnsi="宋体"/>
          <w:b/>
          <w:color w:val="auto"/>
          <w:sz w:val="52"/>
          <w:szCs w:val="52"/>
          <w:highlight w:val="none"/>
        </w:rPr>
      </w:pPr>
      <w:r>
        <w:rPr>
          <w:rFonts w:hint="eastAsia" w:ascii="宋体" w:hAnsi="宋体"/>
          <w:b/>
          <w:color w:val="auto"/>
          <w:sz w:val="36"/>
          <w:szCs w:val="36"/>
          <w:highlight w:val="none"/>
        </w:rPr>
        <w:t>第三部分 名词解释</w:t>
      </w:r>
    </w:p>
    <w:p>
      <w:pPr>
        <w:spacing w:line="540" w:lineRule="exact"/>
        <w:jc w:val="center"/>
        <w:rPr>
          <w:rFonts w:ascii="宋体" w:hAnsi="宋体"/>
          <w:b/>
          <w:color w:val="auto"/>
          <w:sz w:val="36"/>
          <w:szCs w:val="36"/>
          <w:highlight w:val="none"/>
        </w:rPr>
      </w:pPr>
    </w:p>
    <w:p>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b w:val="0"/>
          <w:bCs/>
          <w:color w:val="auto"/>
          <w:sz w:val="32"/>
          <w:szCs w:val="32"/>
          <w:highlight w:val="none"/>
        </w:rPr>
        <w:t>1.财政拨款收入：</w:t>
      </w:r>
      <w:r>
        <w:rPr>
          <w:rFonts w:hint="eastAsia" w:ascii="仿宋_GB2312" w:eastAsia="仿宋_GB2312"/>
          <w:color w:val="auto"/>
          <w:sz w:val="32"/>
          <w:szCs w:val="32"/>
          <w:highlight w:val="none"/>
        </w:rPr>
        <w:t>指单位从同级财政部门取得的财政预算资金。</w:t>
      </w:r>
    </w:p>
    <w:p>
      <w:pP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b w:val="0"/>
          <w:bCs/>
          <w:color w:val="auto"/>
          <w:sz w:val="32"/>
          <w:szCs w:val="32"/>
          <w:highlight w:val="none"/>
        </w:rPr>
        <w:t>2.上级补助收入：</w:t>
      </w:r>
      <w:r>
        <w:rPr>
          <w:rFonts w:hint="eastAsia" w:ascii="仿宋_GB2312" w:eastAsia="仿宋_GB2312"/>
          <w:color w:val="auto"/>
          <w:sz w:val="32"/>
          <w:szCs w:val="32"/>
          <w:highlight w:val="none"/>
        </w:rPr>
        <w:t>指单位从主管部门和上级单位取得的非财政性补助收入。</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3.事业收入：指事业单位开展专业业务活动及辅助活动所取得的收入。</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5.附属单位上缴收入：指单位附属的独立核算单位按照规定上缴的收入。</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color w:val="auto"/>
          <w:sz w:val="32"/>
          <w:szCs w:val="32"/>
          <w:highlight w:val="none"/>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color w:val="auto"/>
          <w:sz w:val="32"/>
          <w:szCs w:val="32"/>
          <w:highlight w:val="none"/>
        </w:rPr>
        <w:t>10.项目支出：指在基本支出之外为完成特定行政任务和事业</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发展目标所发生的支出。</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color w:val="auto"/>
          <w:sz w:val="36"/>
          <w:szCs w:val="36"/>
          <w:highlight w:val="none"/>
        </w:rPr>
      </w:pPr>
      <w:r>
        <w:rPr>
          <w:rFonts w:hint="eastAsia" w:ascii="仿宋_GB2312" w:eastAsia="仿宋_GB2312"/>
          <w:b w:val="0"/>
          <w:bCs/>
          <w:color w:val="auto"/>
          <w:sz w:val="32"/>
          <w:szCs w:val="32"/>
          <w:highlight w:val="none"/>
        </w:rPr>
        <w:t>15.机关运行经费：</w:t>
      </w:r>
      <w:r>
        <w:rPr>
          <w:rFonts w:hint="eastAsia" w:ascii="仿宋_GB2312" w:eastAsia="仿宋_GB2312"/>
          <w:color w:val="auto"/>
          <w:sz w:val="32"/>
          <w:szCs w:val="32"/>
          <w:highlight w:val="none"/>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jc w:val="both"/>
        <w:rPr>
          <w:rFonts w:hint="eastAsia" w:ascii="仿宋_GB2312" w:hAnsi="宋体" w:eastAsia="仿宋_GB2312" w:cs="仿宋_GB2312"/>
          <w:color w:val="auto"/>
          <w:kern w:val="0"/>
          <w:sz w:val="32"/>
          <w:szCs w:val="32"/>
          <w:highlight w:val="none"/>
        </w:rPr>
      </w:pPr>
    </w:p>
    <w:p>
      <w:pPr>
        <w:rPr>
          <w:rFonts w:hint="eastAsia" w:ascii="仿宋_GB2312" w:hAnsi="宋体" w:eastAsia="仿宋_GB2312" w:cs="仿宋_GB2312"/>
          <w:color w:val="auto"/>
          <w:kern w:val="0"/>
          <w:sz w:val="32"/>
          <w:szCs w:val="32"/>
          <w:highlight w:val="none"/>
        </w:rPr>
      </w:pPr>
      <w:r>
        <w:rPr>
          <w:color w:val="auto"/>
          <w:highlight w:val="none"/>
        </w:rPr>
        <w:br w:type="page"/>
      </w:r>
    </w:p>
    <w:p>
      <w:pPr>
        <w:spacing w:line="540" w:lineRule="exact"/>
        <w:jc w:val="center"/>
        <w:rPr>
          <w:rFonts w:ascii="宋体" w:hAnsi="宋体"/>
          <w:b/>
          <w:color w:val="auto"/>
          <w:sz w:val="36"/>
          <w:szCs w:val="36"/>
          <w:highlight w:val="none"/>
        </w:rPr>
      </w:pPr>
    </w:p>
    <w:p>
      <w:pPr>
        <w:spacing w:line="540" w:lineRule="exact"/>
        <w:jc w:val="center"/>
        <w:rPr>
          <w:rFonts w:ascii="宋体" w:hAnsi="宋体"/>
          <w:b/>
          <w:color w:val="auto"/>
          <w:sz w:val="52"/>
          <w:szCs w:val="52"/>
          <w:highlight w:val="none"/>
        </w:rPr>
        <w:sectPr>
          <w:pgSz w:w="11906" w:h="16838"/>
          <w:pgMar w:top="1701" w:right="1418" w:bottom="1701" w:left="1418" w:header="851" w:footer="992" w:gutter="0"/>
          <w:cols w:space="720" w:num="1"/>
          <w:docGrid w:type="lines" w:linePitch="312" w:charSpace="0"/>
        </w:sectPr>
      </w:pPr>
      <w:r>
        <w:rPr>
          <w:rFonts w:hint="eastAsia" w:ascii="宋体" w:hAnsi="宋体"/>
          <w:b/>
          <w:color w:val="auto"/>
          <w:sz w:val="36"/>
          <w:szCs w:val="36"/>
          <w:highlight w:val="none"/>
        </w:rPr>
        <w:t>第四部分 2023年度部门决算表</w:t>
      </w:r>
    </w:p>
    <w:p>
      <w:pPr>
        <w:widowControl/>
        <w:spacing w:line="590" w:lineRule="exact"/>
        <w:jc w:val="center"/>
        <w:outlineLvl w:val="1"/>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rPr>
                <w:color w:val="auto"/>
                <w:highlight w:val="none"/>
              </w:rPr>
            </w:pPr>
            <w:r>
              <w:rPr>
                <w:rFonts w:ascii="宋体" w:hAnsi="宋体" w:eastAsia="宋体" w:cs="宋体"/>
                <w:b w:val="0"/>
                <w:i w:val="0"/>
                <w:color w:val="auto"/>
                <w:sz w:val="18"/>
                <w:highlight w:val="none"/>
              </w:rPr>
              <w:t>收入</w:t>
            </w:r>
          </w:p>
        </w:tc>
        <w:tc>
          <w:tcPr>
            <w:tcW w:w="3260" w:type="dxa"/>
            <w:gridSpan w:val="3"/>
            <w:vAlign w:val="center"/>
          </w:tcPr>
          <w:p>
            <w:pPr>
              <w:jc w:val="center"/>
              <w:rPr>
                <w:color w:val="auto"/>
                <w:highlight w:val="none"/>
              </w:rPr>
            </w:pPr>
            <w:r>
              <w:rPr>
                <w:rFonts w:ascii="宋体" w:hAnsi="宋体" w:eastAsia="宋体" w:cs="宋体"/>
                <w:b w:val="0"/>
                <w:i w:val="0"/>
                <w:color w:val="auto"/>
                <w:sz w:val="18"/>
                <w:highlight w:val="none"/>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rPr>
                <w:color w:val="auto"/>
                <w:highlight w:val="none"/>
              </w:rPr>
            </w:pPr>
            <w:r>
              <w:rPr>
                <w:rFonts w:ascii="宋体" w:hAnsi="宋体" w:eastAsia="宋体" w:cs="宋体"/>
                <w:b w:val="0"/>
                <w:i w:val="0"/>
                <w:color w:val="auto"/>
                <w:sz w:val="18"/>
                <w:highlight w:val="none"/>
              </w:rPr>
              <w:t>项目</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行次</w:t>
            </w:r>
          </w:p>
        </w:tc>
        <w:tc>
          <w:tcPr>
            <w:tcW w:w="1640" w:type="dxa"/>
            <w:vAlign w:val="center"/>
          </w:tcPr>
          <w:p>
            <w:pPr>
              <w:jc w:val="center"/>
              <w:rPr>
                <w:color w:val="auto"/>
                <w:highlight w:val="none"/>
              </w:rPr>
            </w:pPr>
            <w:r>
              <w:rPr>
                <w:rFonts w:ascii="宋体" w:hAnsi="宋体" w:eastAsia="宋体" w:cs="宋体"/>
                <w:b w:val="0"/>
                <w:i w:val="0"/>
                <w:color w:val="auto"/>
                <w:sz w:val="18"/>
                <w:highlight w:val="none"/>
              </w:rPr>
              <w:t>金额</w:t>
            </w:r>
          </w:p>
        </w:tc>
        <w:tc>
          <w:tcPr>
            <w:tcW w:w="3260" w:type="dxa"/>
            <w:vAlign w:val="center"/>
          </w:tcPr>
          <w:p>
            <w:pPr>
              <w:jc w:val="center"/>
              <w:rPr>
                <w:color w:val="auto"/>
                <w:highlight w:val="none"/>
              </w:rPr>
            </w:pPr>
            <w:r>
              <w:rPr>
                <w:rFonts w:ascii="宋体" w:hAnsi="宋体" w:eastAsia="宋体" w:cs="宋体"/>
                <w:b w:val="0"/>
                <w:i w:val="0"/>
                <w:color w:val="auto"/>
                <w:sz w:val="18"/>
                <w:highlight w:val="none"/>
              </w:rPr>
              <w:t>项目</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行次</w:t>
            </w:r>
          </w:p>
        </w:tc>
        <w:tc>
          <w:tcPr>
            <w:tcW w:w="1612" w:type="dxa"/>
            <w:vAlign w:val="center"/>
          </w:tcPr>
          <w:p>
            <w:pPr>
              <w:jc w:val="center"/>
              <w:rPr>
                <w:color w:val="auto"/>
                <w:highlight w:val="none"/>
              </w:rPr>
            </w:pPr>
            <w:r>
              <w:rPr>
                <w:rFonts w:ascii="宋体" w:hAnsi="宋体" w:eastAsia="宋体" w:cs="宋体"/>
                <w:b w:val="0"/>
                <w:i w:val="0"/>
                <w:color w:val="auto"/>
                <w:sz w:val="18"/>
                <w:highlight w:val="none"/>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rPr>
                <w:color w:val="auto"/>
                <w:highlight w:val="none"/>
              </w:rPr>
            </w:pPr>
            <w:r>
              <w:rPr>
                <w:rFonts w:ascii="宋体" w:hAnsi="宋体" w:eastAsia="宋体" w:cs="宋体"/>
                <w:b w:val="0"/>
                <w:i w:val="0"/>
                <w:color w:val="auto"/>
                <w:sz w:val="18"/>
                <w:highlight w:val="none"/>
              </w:rPr>
              <w:t>栏次</w:t>
            </w:r>
          </w:p>
        </w:tc>
        <w:tc>
          <w:tcPr>
            <w:tcW w:w="500" w:type="dxa"/>
            <w:vAlign w:val="center"/>
          </w:tcPr>
          <w:p>
            <w:pPr>
              <w:rPr>
                <w:color w:val="auto"/>
                <w:highlight w:val="none"/>
              </w:rPr>
            </w:pPr>
          </w:p>
        </w:tc>
        <w:tc>
          <w:tcPr>
            <w:tcW w:w="1640" w:type="dxa"/>
            <w:vAlign w:val="center"/>
          </w:tcPr>
          <w:p>
            <w:pPr>
              <w:jc w:val="center"/>
              <w:rPr>
                <w:color w:val="auto"/>
                <w:highlight w:val="none"/>
              </w:rPr>
            </w:pPr>
            <w:r>
              <w:rPr>
                <w:rFonts w:ascii="宋体" w:hAnsi="宋体" w:eastAsia="宋体" w:cs="宋体"/>
                <w:b w:val="0"/>
                <w:i w:val="0"/>
                <w:color w:val="auto"/>
                <w:sz w:val="18"/>
                <w:highlight w:val="none"/>
              </w:rPr>
              <w:t>1</w:t>
            </w:r>
          </w:p>
        </w:tc>
        <w:tc>
          <w:tcPr>
            <w:tcW w:w="3260" w:type="dxa"/>
            <w:vAlign w:val="center"/>
          </w:tcPr>
          <w:p>
            <w:pPr>
              <w:jc w:val="center"/>
              <w:rPr>
                <w:color w:val="auto"/>
                <w:highlight w:val="none"/>
              </w:rPr>
            </w:pPr>
            <w:r>
              <w:rPr>
                <w:rFonts w:ascii="宋体" w:hAnsi="宋体" w:eastAsia="宋体" w:cs="宋体"/>
                <w:b w:val="0"/>
                <w:i w:val="0"/>
                <w:color w:val="auto"/>
                <w:sz w:val="18"/>
                <w:highlight w:val="none"/>
              </w:rPr>
              <w:t>栏次</w:t>
            </w:r>
          </w:p>
        </w:tc>
        <w:tc>
          <w:tcPr>
            <w:tcW w:w="500" w:type="dxa"/>
            <w:vAlign w:val="center"/>
          </w:tcPr>
          <w:p>
            <w:pPr>
              <w:rPr>
                <w:color w:val="auto"/>
                <w:highlight w:val="none"/>
              </w:rPr>
            </w:pPr>
          </w:p>
        </w:tc>
        <w:tc>
          <w:tcPr>
            <w:tcW w:w="1612" w:type="dxa"/>
            <w:vAlign w:val="center"/>
          </w:tcPr>
          <w:p>
            <w:pPr>
              <w:jc w:val="center"/>
              <w:rPr>
                <w:color w:val="auto"/>
                <w:highlight w:val="none"/>
              </w:rPr>
            </w:pPr>
            <w:r>
              <w:rPr>
                <w:rFonts w:ascii="宋体" w:hAnsi="宋体" w:eastAsia="宋体" w:cs="宋体"/>
                <w:b w:val="0"/>
                <w:i w:val="0"/>
                <w:color w:val="auto"/>
                <w:sz w:val="18"/>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一、一般公共预算财政拨款收入</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1</w:t>
            </w:r>
          </w:p>
        </w:tc>
        <w:tc>
          <w:tcPr>
            <w:tcW w:w="1640" w:type="dxa"/>
            <w:vAlign w:val="center"/>
          </w:tcPr>
          <w:p>
            <w:pPr>
              <w:jc w:val="right"/>
              <w:rPr>
                <w:color w:val="auto"/>
                <w:highlight w:val="none"/>
              </w:rPr>
            </w:pPr>
            <w:r>
              <w:rPr>
                <w:rFonts w:ascii="宋体" w:hAnsi="宋体" w:eastAsia="宋体" w:cs="宋体"/>
                <w:b w:val="0"/>
                <w:i w:val="0"/>
                <w:color w:val="auto"/>
                <w:sz w:val="18"/>
                <w:highlight w:val="none"/>
              </w:rPr>
              <w:t>354.93</w:t>
            </w:r>
          </w:p>
        </w:tc>
        <w:tc>
          <w:tcPr>
            <w:tcW w:w="3260" w:type="dxa"/>
            <w:vAlign w:val="center"/>
          </w:tcPr>
          <w:p>
            <w:pPr>
              <w:jc w:val="left"/>
              <w:rPr>
                <w:color w:val="auto"/>
                <w:highlight w:val="none"/>
              </w:rPr>
            </w:pPr>
            <w:r>
              <w:rPr>
                <w:rFonts w:ascii="宋体" w:hAnsi="宋体" w:eastAsia="宋体" w:cs="宋体"/>
                <w:b w:val="0"/>
                <w:i w:val="0"/>
                <w:color w:val="auto"/>
                <w:sz w:val="18"/>
                <w:highlight w:val="none"/>
              </w:rPr>
              <w:t>一、一般公共服务支出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32</w:t>
            </w:r>
          </w:p>
        </w:tc>
        <w:tc>
          <w:tcPr>
            <w:tcW w:w="1612" w:type="dxa"/>
            <w:vAlign w:val="center"/>
          </w:tcPr>
          <w:p>
            <w:pPr>
              <w:jc w:val="right"/>
              <w:rPr>
                <w:color w:val="auto"/>
                <w:highlight w:val="none"/>
              </w:rPr>
            </w:pPr>
            <w:r>
              <w:rPr>
                <w:rFonts w:ascii="宋体" w:hAnsi="宋体" w:eastAsia="宋体" w:cs="宋体"/>
                <w:b w:val="0"/>
                <w:i w:val="0"/>
                <w:color w:val="auto"/>
                <w:sz w:val="18"/>
                <w:highlight w:val="none"/>
              </w:rPr>
              <w:t>278.41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二、政府性基金预算财政拨款收入</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2</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二、外交支出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33</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三、国有资本经营预算财政拨款收入</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三、国防支出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34</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四、上级补助收入</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四、公共安全支出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35</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五、事业收入</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五、教育支出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36</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六、经营收入</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6</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六、科学技术支出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37</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七、附属单位上缴收入</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7</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七、文化旅游体育与传媒支出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38</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八、其他收入</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8</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八、社会保障和就业支出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39</w:t>
            </w:r>
          </w:p>
        </w:tc>
        <w:tc>
          <w:tcPr>
            <w:tcW w:w="1612" w:type="dxa"/>
            <w:vAlign w:val="center"/>
          </w:tcPr>
          <w:p>
            <w:pPr>
              <w:jc w:val="right"/>
              <w:rPr>
                <w:color w:val="auto"/>
                <w:highlight w:val="none"/>
              </w:rPr>
            </w:pPr>
            <w:r>
              <w:rPr>
                <w:rFonts w:ascii="宋体" w:hAnsi="宋体" w:eastAsia="宋体" w:cs="宋体"/>
                <w:b w:val="0"/>
                <w:i w:val="0"/>
                <w:color w:val="auto"/>
                <w:sz w:val="18"/>
                <w:highlight w:val="none"/>
              </w:rPr>
              <w:t>38.33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9</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九、卫生健康支出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40</w:t>
            </w:r>
          </w:p>
        </w:tc>
        <w:tc>
          <w:tcPr>
            <w:tcW w:w="1612" w:type="dxa"/>
            <w:vAlign w:val="center"/>
          </w:tcPr>
          <w:p>
            <w:pPr>
              <w:jc w:val="right"/>
              <w:rPr>
                <w:color w:val="auto"/>
                <w:highlight w:val="none"/>
              </w:rPr>
            </w:pPr>
            <w:r>
              <w:rPr>
                <w:rFonts w:ascii="宋体" w:hAnsi="宋体" w:eastAsia="宋体" w:cs="宋体"/>
                <w:b w:val="0"/>
                <w:i w:val="0"/>
                <w:color w:val="auto"/>
                <w:sz w:val="18"/>
                <w:highlight w:val="none"/>
              </w:rPr>
              <w:t>13.80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10</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十、节能环保支出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41</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11</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十一、城乡社区支出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42</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12</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十二、农林水支出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43</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13</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十三、交通运输支出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44</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14</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十四、资源勘探工业信息等支出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45</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15</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十五、商业服务业等支出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46</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16</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十六、金融支出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47</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17</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十七、援助其他地区支出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48</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18</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十八、自然资源海洋气象等支出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49</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19</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十九、住房保障支出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50</w:t>
            </w:r>
          </w:p>
        </w:tc>
        <w:tc>
          <w:tcPr>
            <w:tcW w:w="1612" w:type="dxa"/>
            <w:vAlign w:val="center"/>
          </w:tcPr>
          <w:p>
            <w:pPr>
              <w:jc w:val="right"/>
              <w:rPr>
                <w:color w:val="auto"/>
                <w:highlight w:val="none"/>
              </w:rPr>
            </w:pPr>
            <w:r>
              <w:rPr>
                <w:rFonts w:ascii="宋体" w:hAnsi="宋体" w:eastAsia="宋体" w:cs="宋体"/>
                <w:b w:val="0"/>
                <w:i w:val="0"/>
                <w:color w:val="auto"/>
                <w:sz w:val="18"/>
                <w:highlight w:val="none"/>
              </w:rPr>
              <w:t>24.39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20</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二十、粮油物资储备支出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51</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21</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二十一、国有资本经营预算支出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52</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22</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二十二、灾害防治及应急管理支出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53</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23</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二十三、其他支出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54</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7"/>
                <w:highlight w:val="none"/>
              </w:rPr>
              <w:t>24</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二十四、债务还本支出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55</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7"/>
                <w:highlight w:val="none"/>
              </w:rPr>
              <w:t>25</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二十五、债务付息支出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56</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7"/>
                <w:highlight w:val="none"/>
              </w:rPr>
              <w:t>26</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二十六、抗疫特别国债安排的支出</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57</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rPr>
                <w:color w:val="auto"/>
                <w:highlight w:val="none"/>
              </w:rPr>
            </w:pPr>
            <w:r>
              <w:rPr>
                <w:rFonts w:ascii="宋体" w:hAnsi="宋体" w:eastAsia="宋体" w:cs="宋体"/>
                <w:b/>
                <w:i w:val="0"/>
                <w:color w:val="auto"/>
                <w:sz w:val="18"/>
                <w:highlight w:val="none"/>
              </w:rPr>
              <w:t>本年收入合计</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27</w:t>
            </w:r>
          </w:p>
        </w:tc>
        <w:tc>
          <w:tcPr>
            <w:tcW w:w="1640" w:type="dxa"/>
            <w:vAlign w:val="center"/>
          </w:tcPr>
          <w:p>
            <w:pPr>
              <w:jc w:val="right"/>
              <w:rPr>
                <w:color w:val="auto"/>
                <w:highlight w:val="none"/>
              </w:rPr>
            </w:pPr>
            <w:r>
              <w:rPr>
                <w:rFonts w:ascii="宋体" w:hAnsi="宋体" w:eastAsia="宋体" w:cs="宋体"/>
                <w:b w:val="0"/>
                <w:i w:val="0"/>
                <w:color w:val="auto"/>
                <w:sz w:val="18"/>
                <w:highlight w:val="none"/>
              </w:rPr>
              <w:t>354.93</w:t>
            </w:r>
          </w:p>
        </w:tc>
        <w:tc>
          <w:tcPr>
            <w:tcW w:w="3260" w:type="dxa"/>
            <w:vAlign w:val="center"/>
          </w:tcPr>
          <w:p>
            <w:pPr>
              <w:jc w:val="center"/>
              <w:rPr>
                <w:color w:val="auto"/>
                <w:highlight w:val="none"/>
              </w:rPr>
            </w:pPr>
            <w:r>
              <w:rPr>
                <w:rFonts w:ascii="宋体" w:hAnsi="宋体" w:eastAsia="宋体" w:cs="宋体"/>
                <w:b/>
                <w:i w:val="0"/>
                <w:color w:val="auto"/>
                <w:sz w:val="18"/>
                <w:highlight w:val="none"/>
              </w:rPr>
              <w:t>本年支出合计</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58</w:t>
            </w:r>
          </w:p>
        </w:tc>
        <w:tc>
          <w:tcPr>
            <w:tcW w:w="1612" w:type="dxa"/>
            <w:vAlign w:val="center"/>
          </w:tcPr>
          <w:p>
            <w:pPr>
              <w:jc w:val="right"/>
              <w:rPr>
                <w:color w:val="auto"/>
                <w:highlight w:val="none"/>
              </w:rPr>
            </w:pPr>
            <w:r>
              <w:rPr>
                <w:rFonts w:ascii="宋体" w:hAnsi="宋体" w:eastAsia="宋体" w:cs="宋体"/>
                <w:b w:val="0"/>
                <w:i w:val="0"/>
                <w:color w:val="auto"/>
                <w:sz w:val="18"/>
                <w:highlight w:val="none"/>
              </w:rPr>
              <w:t>354.93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使用非财政拨款结余(含专用结余）</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28</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结余分配</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59</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rPr>
                <w:color w:val="auto"/>
                <w:highlight w:val="none"/>
              </w:rPr>
            </w:pPr>
            <w:r>
              <w:rPr>
                <w:rFonts w:ascii="宋体" w:hAnsi="宋体" w:eastAsia="宋体" w:cs="宋体"/>
                <w:b w:val="0"/>
                <w:i w:val="0"/>
                <w:color w:val="auto"/>
                <w:sz w:val="18"/>
                <w:highlight w:val="none"/>
              </w:rPr>
              <w:t>年初结转和结余</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29</w:t>
            </w:r>
          </w:p>
        </w:tc>
        <w:tc>
          <w:tcPr>
            <w:tcW w:w="1640" w:type="dxa"/>
            <w:vAlign w:val="center"/>
          </w:tcPr>
          <w:p>
            <w:pPr>
              <w:rPr>
                <w:color w:val="auto"/>
                <w:highlight w:val="none"/>
              </w:rPr>
            </w:pPr>
          </w:p>
        </w:tc>
        <w:tc>
          <w:tcPr>
            <w:tcW w:w="3260" w:type="dxa"/>
            <w:vAlign w:val="center"/>
          </w:tcPr>
          <w:p>
            <w:pPr>
              <w:jc w:val="left"/>
              <w:rPr>
                <w:color w:val="auto"/>
                <w:highlight w:val="none"/>
              </w:rPr>
            </w:pPr>
            <w:r>
              <w:rPr>
                <w:rFonts w:ascii="宋体" w:hAnsi="宋体" w:eastAsia="宋体" w:cs="宋体"/>
                <w:b w:val="0"/>
                <w:i w:val="0"/>
                <w:color w:val="auto"/>
                <w:sz w:val="18"/>
                <w:highlight w:val="none"/>
              </w:rPr>
              <w:t>年末结转和结余</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60</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30</w:t>
            </w:r>
          </w:p>
        </w:tc>
        <w:tc>
          <w:tcPr>
            <w:tcW w:w="1640" w:type="dxa"/>
            <w:vAlign w:val="center"/>
          </w:tcPr>
          <w:p>
            <w:pPr>
              <w:rPr>
                <w:color w:val="auto"/>
                <w:highlight w:val="none"/>
              </w:rPr>
            </w:pPr>
          </w:p>
        </w:tc>
        <w:tc>
          <w:tcPr>
            <w:tcW w:w="3260" w:type="dxa"/>
            <w:vAlign w:val="center"/>
          </w:tcPr>
          <w:p>
            <w:pPr>
              <w:rPr>
                <w:color w:val="auto"/>
                <w:highlight w:val="none"/>
              </w:rPr>
            </w:pPr>
          </w:p>
        </w:tc>
        <w:tc>
          <w:tcPr>
            <w:tcW w:w="500" w:type="dxa"/>
            <w:vAlign w:val="center"/>
          </w:tcPr>
          <w:p>
            <w:pPr>
              <w:jc w:val="center"/>
              <w:rPr>
                <w:color w:val="auto"/>
                <w:highlight w:val="none"/>
              </w:rPr>
            </w:pPr>
            <w:r>
              <w:rPr>
                <w:rFonts w:ascii="宋体" w:hAnsi="宋体" w:eastAsia="宋体" w:cs="宋体"/>
                <w:b w:val="0"/>
                <w:i w:val="0"/>
                <w:color w:val="auto"/>
                <w:sz w:val="18"/>
                <w:highlight w:val="none"/>
              </w:rPr>
              <w:t>61</w:t>
            </w:r>
          </w:p>
        </w:tc>
        <w:tc>
          <w:tcPr>
            <w:tcW w:w="16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rPr>
                <w:color w:val="auto"/>
                <w:highlight w:val="none"/>
              </w:rPr>
            </w:pPr>
            <w:r>
              <w:rPr>
                <w:rFonts w:ascii="宋体" w:hAnsi="宋体" w:eastAsia="宋体" w:cs="宋体"/>
                <w:b/>
                <w:i w:val="0"/>
                <w:color w:val="auto"/>
                <w:sz w:val="18"/>
                <w:highlight w:val="none"/>
              </w:rPr>
              <w:t>总计</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31</w:t>
            </w:r>
          </w:p>
        </w:tc>
        <w:tc>
          <w:tcPr>
            <w:tcW w:w="1640" w:type="dxa"/>
            <w:vAlign w:val="center"/>
          </w:tcPr>
          <w:p>
            <w:pPr>
              <w:jc w:val="right"/>
              <w:rPr>
                <w:color w:val="auto"/>
                <w:highlight w:val="none"/>
              </w:rPr>
            </w:pPr>
            <w:r>
              <w:rPr>
                <w:rFonts w:ascii="宋体" w:hAnsi="宋体" w:eastAsia="宋体" w:cs="宋体"/>
                <w:b w:val="0"/>
                <w:i w:val="0"/>
                <w:color w:val="auto"/>
                <w:sz w:val="18"/>
                <w:highlight w:val="none"/>
              </w:rPr>
              <w:t>354.93</w:t>
            </w:r>
          </w:p>
        </w:tc>
        <w:tc>
          <w:tcPr>
            <w:tcW w:w="3260" w:type="dxa"/>
            <w:vAlign w:val="center"/>
          </w:tcPr>
          <w:p>
            <w:pPr>
              <w:jc w:val="center"/>
              <w:rPr>
                <w:color w:val="auto"/>
                <w:highlight w:val="none"/>
              </w:rPr>
            </w:pPr>
            <w:r>
              <w:rPr>
                <w:rFonts w:ascii="宋体" w:hAnsi="宋体" w:eastAsia="宋体" w:cs="宋体"/>
                <w:b/>
                <w:i w:val="0"/>
                <w:color w:val="auto"/>
                <w:sz w:val="18"/>
                <w:highlight w:val="none"/>
              </w:rPr>
              <w:t>总计</w:t>
            </w:r>
          </w:p>
        </w:tc>
        <w:tc>
          <w:tcPr>
            <w:tcW w:w="500" w:type="dxa"/>
            <w:vAlign w:val="center"/>
          </w:tcPr>
          <w:p>
            <w:pPr>
              <w:jc w:val="center"/>
              <w:rPr>
                <w:color w:val="auto"/>
                <w:highlight w:val="none"/>
              </w:rPr>
            </w:pPr>
            <w:r>
              <w:rPr>
                <w:rFonts w:ascii="宋体" w:hAnsi="宋体" w:eastAsia="宋体" w:cs="宋体"/>
                <w:b w:val="0"/>
                <w:i w:val="0"/>
                <w:color w:val="auto"/>
                <w:sz w:val="18"/>
                <w:highlight w:val="none"/>
              </w:rPr>
              <w:t>62</w:t>
            </w:r>
          </w:p>
        </w:tc>
        <w:tc>
          <w:tcPr>
            <w:tcW w:w="1612" w:type="dxa"/>
            <w:vAlign w:val="center"/>
          </w:tcPr>
          <w:p>
            <w:pPr>
              <w:jc w:val="right"/>
              <w:rPr>
                <w:color w:val="auto"/>
                <w:highlight w:val="none"/>
              </w:rPr>
            </w:pPr>
            <w:r>
              <w:rPr>
                <w:rFonts w:ascii="宋体" w:hAnsi="宋体" w:eastAsia="宋体" w:cs="宋体"/>
                <w:b w:val="0"/>
                <w:i w:val="0"/>
                <w:color w:val="auto"/>
                <w:sz w:val="18"/>
                <w:highlight w:val="none"/>
              </w:rPr>
              <w:t>354.93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8"/>
                <w:highlight w:val="none"/>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8"/>
                <w:highlight w:val="none"/>
              </w:rPr>
              <w:t xml:space="preserve">    如本表为空，则我部门本年度无此类资金收支余。</w:t>
            </w:r>
          </w:p>
        </w:tc>
      </w:tr>
    </w:tbl>
    <w:p>
      <w:pPr>
        <w:snapToGrid w:val="0"/>
        <w:spacing w:before="0" w:after="0" w:line="0" w:lineRule="auto"/>
        <w:rPr>
          <w:color w:val="auto"/>
          <w:highlight w:val="none"/>
        </w:rPr>
      </w:pPr>
      <w:r>
        <w:rPr>
          <w:color w:val="auto"/>
          <w:sz w:val="8"/>
          <w:highlight w:val="none"/>
        </w:rPr>
        <w:t xml:space="preserve"> </w:t>
      </w:r>
    </w:p>
    <w:p>
      <w:pPr>
        <w:spacing w:line="540" w:lineRule="exact"/>
        <w:rPr>
          <w:rFonts w:ascii="宋体" w:hAnsi="宋体"/>
          <w:b/>
          <w:color w:val="auto"/>
          <w:sz w:val="52"/>
          <w:szCs w:val="52"/>
          <w:highlight w:val="none"/>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rPr>
                <w:color w:val="auto"/>
                <w:highlight w:val="none"/>
              </w:rPr>
            </w:pPr>
            <w:r>
              <w:rPr>
                <w:rFonts w:ascii="宋体" w:hAnsi="宋体" w:eastAsia="宋体" w:cs="宋体"/>
                <w:b w:val="0"/>
                <w:i w:val="0"/>
                <w:color w:val="auto"/>
                <w:sz w:val="14"/>
                <w:highlight w:val="none"/>
              </w:rPr>
              <w:t>项目</w:t>
            </w:r>
          </w:p>
        </w:tc>
        <w:tc>
          <w:tcPr>
            <w:tcW w:w="1160" w:type="dxa"/>
            <w:vMerge w:val="restart"/>
            <w:vAlign w:val="center"/>
          </w:tcPr>
          <w:p>
            <w:pPr>
              <w:jc w:val="center"/>
              <w:rPr>
                <w:color w:val="auto"/>
                <w:highlight w:val="none"/>
              </w:rPr>
            </w:pPr>
            <w:r>
              <w:rPr>
                <w:rFonts w:ascii="宋体" w:hAnsi="宋体" w:eastAsia="宋体" w:cs="宋体"/>
                <w:b w:val="0"/>
                <w:i w:val="0"/>
                <w:color w:val="auto"/>
                <w:sz w:val="14"/>
                <w:highlight w:val="none"/>
              </w:rPr>
              <w:t>本年收入合计</w:t>
            </w:r>
          </w:p>
        </w:tc>
        <w:tc>
          <w:tcPr>
            <w:tcW w:w="1160" w:type="dxa"/>
            <w:vMerge w:val="restart"/>
            <w:vAlign w:val="center"/>
          </w:tcPr>
          <w:p>
            <w:pPr>
              <w:jc w:val="center"/>
              <w:rPr>
                <w:color w:val="auto"/>
                <w:highlight w:val="none"/>
              </w:rPr>
            </w:pPr>
            <w:r>
              <w:rPr>
                <w:rFonts w:ascii="宋体" w:hAnsi="宋体" w:eastAsia="宋体" w:cs="宋体"/>
                <w:b w:val="0"/>
                <w:i w:val="0"/>
                <w:color w:val="auto"/>
                <w:sz w:val="14"/>
                <w:highlight w:val="none"/>
              </w:rPr>
              <w:t>财政拨款收入</w:t>
            </w:r>
          </w:p>
        </w:tc>
        <w:tc>
          <w:tcPr>
            <w:tcW w:w="1160" w:type="dxa"/>
            <w:vMerge w:val="restart"/>
            <w:vAlign w:val="center"/>
          </w:tcPr>
          <w:p>
            <w:pPr>
              <w:jc w:val="center"/>
              <w:rPr>
                <w:color w:val="auto"/>
                <w:highlight w:val="none"/>
              </w:rPr>
            </w:pPr>
            <w:r>
              <w:rPr>
                <w:rFonts w:ascii="宋体" w:hAnsi="宋体" w:eastAsia="宋体" w:cs="宋体"/>
                <w:b w:val="0"/>
                <w:i w:val="0"/>
                <w:color w:val="auto"/>
                <w:sz w:val="14"/>
                <w:highlight w:val="none"/>
              </w:rPr>
              <w:t>上级补助收入</w:t>
            </w:r>
          </w:p>
        </w:tc>
        <w:tc>
          <w:tcPr>
            <w:tcW w:w="1160" w:type="dxa"/>
            <w:vMerge w:val="restart"/>
            <w:vAlign w:val="center"/>
          </w:tcPr>
          <w:p>
            <w:pPr>
              <w:jc w:val="center"/>
              <w:rPr>
                <w:color w:val="auto"/>
                <w:highlight w:val="none"/>
              </w:rPr>
            </w:pPr>
            <w:r>
              <w:rPr>
                <w:rFonts w:ascii="宋体" w:hAnsi="宋体" w:eastAsia="宋体" w:cs="宋体"/>
                <w:b w:val="0"/>
                <w:i w:val="0"/>
                <w:color w:val="auto"/>
                <w:sz w:val="14"/>
                <w:highlight w:val="none"/>
              </w:rPr>
              <w:t>事业收入</w:t>
            </w:r>
          </w:p>
        </w:tc>
        <w:tc>
          <w:tcPr>
            <w:tcW w:w="1160" w:type="dxa"/>
            <w:vMerge w:val="restart"/>
            <w:vAlign w:val="center"/>
          </w:tcPr>
          <w:p>
            <w:pPr>
              <w:jc w:val="center"/>
              <w:rPr>
                <w:color w:val="auto"/>
                <w:highlight w:val="none"/>
              </w:rPr>
            </w:pPr>
            <w:r>
              <w:rPr>
                <w:rFonts w:ascii="宋体" w:hAnsi="宋体" w:eastAsia="宋体" w:cs="宋体"/>
                <w:b w:val="0"/>
                <w:i w:val="0"/>
                <w:color w:val="auto"/>
                <w:sz w:val="14"/>
                <w:highlight w:val="none"/>
              </w:rPr>
              <w:t>经营收入</w:t>
            </w:r>
          </w:p>
        </w:tc>
        <w:tc>
          <w:tcPr>
            <w:tcW w:w="1160" w:type="dxa"/>
            <w:vMerge w:val="restart"/>
            <w:vAlign w:val="center"/>
          </w:tcPr>
          <w:p>
            <w:pPr>
              <w:jc w:val="center"/>
              <w:rPr>
                <w:color w:val="auto"/>
                <w:highlight w:val="none"/>
              </w:rPr>
            </w:pPr>
            <w:r>
              <w:rPr>
                <w:rFonts w:ascii="宋体" w:hAnsi="宋体" w:eastAsia="宋体" w:cs="宋体"/>
                <w:b w:val="0"/>
                <w:i w:val="0"/>
                <w:color w:val="auto"/>
                <w:sz w:val="14"/>
                <w:highlight w:val="none"/>
              </w:rPr>
              <w:t>附属单位上缴收入</w:t>
            </w:r>
          </w:p>
        </w:tc>
        <w:tc>
          <w:tcPr>
            <w:tcW w:w="1092" w:type="dxa"/>
            <w:vMerge w:val="restart"/>
            <w:vAlign w:val="center"/>
          </w:tcPr>
          <w:p>
            <w:pPr>
              <w:jc w:val="center"/>
              <w:rPr>
                <w:color w:val="auto"/>
                <w:highlight w:val="none"/>
              </w:rPr>
            </w:pPr>
            <w:r>
              <w:rPr>
                <w:rFonts w:ascii="宋体" w:hAnsi="宋体" w:eastAsia="宋体" w:cs="宋体"/>
                <w:b w:val="0"/>
                <w:i w:val="0"/>
                <w:color w:val="auto"/>
                <w:sz w:val="14"/>
                <w:highlight w:val="none"/>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rPr>
                <w:color w:val="auto"/>
                <w:highlight w:val="none"/>
              </w:rPr>
            </w:pPr>
            <w:r>
              <w:rPr>
                <w:rFonts w:ascii="宋体" w:hAnsi="宋体" w:eastAsia="宋体" w:cs="宋体"/>
                <w:b w:val="0"/>
                <w:i w:val="0"/>
                <w:color w:val="auto"/>
                <w:sz w:val="14"/>
                <w:highlight w:val="none"/>
              </w:rPr>
              <w:t>功能分类科目编码</w:t>
            </w:r>
          </w:p>
        </w:tc>
        <w:tc>
          <w:tcPr>
            <w:tcW w:w="2060" w:type="dxa"/>
            <w:vMerge w:val="restart"/>
            <w:vAlign w:val="center"/>
          </w:tcPr>
          <w:p>
            <w:pPr>
              <w:jc w:val="center"/>
              <w:rPr>
                <w:color w:val="auto"/>
                <w:highlight w:val="none"/>
              </w:rPr>
            </w:pPr>
            <w:r>
              <w:rPr>
                <w:rFonts w:ascii="宋体" w:hAnsi="宋体" w:eastAsia="宋体" w:cs="宋体"/>
                <w:b w:val="0"/>
                <w:i w:val="0"/>
                <w:color w:val="auto"/>
                <w:sz w:val="14"/>
                <w:highlight w:val="none"/>
              </w:rPr>
              <w:t>科目名称</w:t>
            </w: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09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pPr>
              <w:rPr>
                <w:color w:val="auto"/>
                <w:highlight w:val="none"/>
              </w:rPr>
            </w:pPr>
          </w:p>
        </w:tc>
        <w:tc>
          <w:tcPr>
            <w:tcW w:w="20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09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pPr>
              <w:rPr>
                <w:color w:val="auto"/>
                <w:highlight w:val="none"/>
              </w:rPr>
            </w:pPr>
          </w:p>
        </w:tc>
        <w:tc>
          <w:tcPr>
            <w:tcW w:w="20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09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rPr>
                <w:color w:val="auto"/>
                <w:highlight w:val="none"/>
              </w:rPr>
            </w:pPr>
            <w:r>
              <w:rPr>
                <w:rFonts w:ascii="宋体" w:hAnsi="宋体" w:eastAsia="宋体" w:cs="宋体"/>
                <w:b w:val="0"/>
                <w:i w:val="0"/>
                <w:color w:val="auto"/>
                <w:sz w:val="14"/>
                <w:highlight w:val="none"/>
              </w:rPr>
              <w:t>栏次</w:t>
            </w:r>
          </w:p>
        </w:tc>
        <w:tc>
          <w:tcPr>
            <w:tcW w:w="1160" w:type="dxa"/>
            <w:vAlign w:val="center"/>
          </w:tcPr>
          <w:p>
            <w:pPr>
              <w:jc w:val="center"/>
              <w:rPr>
                <w:color w:val="auto"/>
                <w:highlight w:val="none"/>
              </w:rPr>
            </w:pPr>
            <w:r>
              <w:rPr>
                <w:rFonts w:ascii="宋体" w:hAnsi="宋体" w:eastAsia="宋体" w:cs="宋体"/>
                <w:b w:val="0"/>
                <w:i w:val="0"/>
                <w:color w:val="auto"/>
                <w:sz w:val="14"/>
                <w:highlight w:val="none"/>
              </w:rPr>
              <w:t>1</w:t>
            </w:r>
          </w:p>
        </w:tc>
        <w:tc>
          <w:tcPr>
            <w:tcW w:w="1160" w:type="dxa"/>
            <w:vAlign w:val="center"/>
          </w:tcPr>
          <w:p>
            <w:pPr>
              <w:jc w:val="center"/>
              <w:rPr>
                <w:color w:val="auto"/>
                <w:highlight w:val="none"/>
              </w:rPr>
            </w:pPr>
            <w:r>
              <w:rPr>
                <w:rFonts w:ascii="宋体" w:hAnsi="宋体" w:eastAsia="宋体" w:cs="宋体"/>
                <w:b w:val="0"/>
                <w:i w:val="0"/>
                <w:color w:val="auto"/>
                <w:sz w:val="14"/>
                <w:highlight w:val="none"/>
              </w:rPr>
              <w:t>2</w:t>
            </w:r>
          </w:p>
        </w:tc>
        <w:tc>
          <w:tcPr>
            <w:tcW w:w="1160" w:type="dxa"/>
            <w:vAlign w:val="center"/>
          </w:tcPr>
          <w:p>
            <w:pPr>
              <w:jc w:val="center"/>
              <w:rPr>
                <w:color w:val="auto"/>
                <w:highlight w:val="none"/>
              </w:rPr>
            </w:pPr>
            <w:r>
              <w:rPr>
                <w:rFonts w:ascii="宋体" w:hAnsi="宋体" w:eastAsia="宋体" w:cs="宋体"/>
                <w:b w:val="0"/>
                <w:i w:val="0"/>
                <w:color w:val="auto"/>
                <w:sz w:val="14"/>
                <w:highlight w:val="none"/>
              </w:rPr>
              <w:t>3</w:t>
            </w:r>
          </w:p>
        </w:tc>
        <w:tc>
          <w:tcPr>
            <w:tcW w:w="1160" w:type="dxa"/>
            <w:vAlign w:val="center"/>
          </w:tcPr>
          <w:p>
            <w:pPr>
              <w:jc w:val="center"/>
              <w:rPr>
                <w:color w:val="auto"/>
                <w:highlight w:val="none"/>
              </w:rPr>
            </w:pPr>
            <w:r>
              <w:rPr>
                <w:rFonts w:ascii="宋体" w:hAnsi="宋体" w:eastAsia="宋体" w:cs="宋体"/>
                <w:b w:val="0"/>
                <w:i w:val="0"/>
                <w:color w:val="auto"/>
                <w:sz w:val="14"/>
                <w:highlight w:val="none"/>
              </w:rPr>
              <w:t>4</w:t>
            </w:r>
          </w:p>
        </w:tc>
        <w:tc>
          <w:tcPr>
            <w:tcW w:w="1160" w:type="dxa"/>
            <w:vAlign w:val="center"/>
          </w:tcPr>
          <w:p>
            <w:pPr>
              <w:jc w:val="center"/>
              <w:rPr>
                <w:color w:val="auto"/>
                <w:highlight w:val="none"/>
              </w:rPr>
            </w:pPr>
            <w:r>
              <w:rPr>
                <w:rFonts w:ascii="宋体" w:hAnsi="宋体" w:eastAsia="宋体" w:cs="宋体"/>
                <w:b w:val="0"/>
                <w:i w:val="0"/>
                <w:color w:val="auto"/>
                <w:sz w:val="14"/>
                <w:highlight w:val="none"/>
              </w:rPr>
              <w:t>5</w:t>
            </w:r>
          </w:p>
        </w:tc>
        <w:tc>
          <w:tcPr>
            <w:tcW w:w="1160" w:type="dxa"/>
            <w:vAlign w:val="center"/>
          </w:tcPr>
          <w:p>
            <w:pPr>
              <w:jc w:val="center"/>
              <w:rPr>
                <w:color w:val="auto"/>
                <w:highlight w:val="none"/>
              </w:rPr>
            </w:pPr>
            <w:r>
              <w:rPr>
                <w:rFonts w:ascii="宋体" w:hAnsi="宋体" w:eastAsia="宋体" w:cs="宋体"/>
                <w:b w:val="0"/>
                <w:i w:val="0"/>
                <w:color w:val="auto"/>
                <w:sz w:val="14"/>
                <w:highlight w:val="none"/>
              </w:rPr>
              <w:t>6</w:t>
            </w:r>
          </w:p>
        </w:tc>
        <w:tc>
          <w:tcPr>
            <w:tcW w:w="1092" w:type="dxa"/>
            <w:vAlign w:val="center"/>
          </w:tcPr>
          <w:p>
            <w:pPr>
              <w:jc w:val="center"/>
              <w:rPr>
                <w:color w:val="auto"/>
                <w:highlight w:val="none"/>
              </w:rPr>
            </w:pPr>
            <w:r>
              <w:rPr>
                <w:rFonts w:ascii="宋体" w:hAnsi="宋体" w:eastAsia="宋体" w:cs="宋体"/>
                <w:b w:val="0"/>
                <w:i w:val="0"/>
                <w:color w:val="auto"/>
                <w:sz w:val="14"/>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rPr>
                <w:color w:val="auto"/>
                <w:highlight w:val="none"/>
              </w:rPr>
            </w:pPr>
            <w:r>
              <w:rPr>
                <w:rFonts w:ascii="宋体" w:hAnsi="宋体" w:eastAsia="宋体" w:cs="宋体"/>
                <w:b w:val="0"/>
                <w:i w:val="0"/>
                <w:color w:val="auto"/>
                <w:sz w:val="14"/>
                <w:highlight w:val="none"/>
              </w:rPr>
              <w:t>合计</w:t>
            </w:r>
          </w:p>
        </w:tc>
        <w:tc>
          <w:tcPr>
            <w:tcW w:w="1160" w:type="dxa"/>
            <w:vAlign w:val="center"/>
          </w:tcPr>
          <w:p>
            <w:pPr>
              <w:jc w:val="right"/>
              <w:rPr>
                <w:color w:val="auto"/>
                <w:highlight w:val="none"/>
              </w:rPr>
            </w:pPr>
            <w:r>
              <w:rPr>
                <w:rFonts w:ascii="宋体" w:hAnsi="宋体" w:eastAsia="宋体" w:cs="宋体"/>
                <w:b/>
                <w:i w:val="0"/>
                <w:color w:val="auto"/>
                <w:sz w:val="14"/>
                <w:highlight w:val="none"/>
              </w:rPr>
              <w:t>354.93</w:t>
            </w:r>
          </w:p>
        </w:tc>
        <w:tc>
          <w:tcPr>
            <w:tcW w:w="1160" w:type="dxa"/>
            <w:vAlign w:val="center"/>
          </w:tcPr>
          <w:p>
            <w:pPr>
              <w:jc w:val="right"/>
              <w:rPr>
                <w:color w:val="auto"/>
                <w:highlight w:val="none"/>
              </w:rPr>
            </w:pPr>
            <w:r>
              <w:rPr>
                <w:rFonts w:ascii="宋体" w:hAnsi="宋体" w:eastAsia="宋体" w:cs="宋体"/>
                <w:b/>
                <w:i w:val="0"/>
                <w:color w:val="auto"/>
                <w:sz w:val="14"/>
                <w:highlight w:val="none"/>
              </w:rPr>
              <w:t>354.93</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201</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一般公共服务支出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278.41</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278.41</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20101</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人大事务</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278.41</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278.41</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2010101</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行政运行</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226.90</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226.90</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2010102</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一般行政管理事务</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18.56</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18.56</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2010104</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人大会议</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32.95</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32.95</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208</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社会保障和就业支出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38.33</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38.33</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20805</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行政事业单位养老支出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38.33</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38.33</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2080501</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行政单位离退休</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3.51</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3.51</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2080505</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机关事业单位基本养老保险缴费支出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28.45</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28.45</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2080506</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机关事业单位职业年金缴费支出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6.37</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6.37</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210</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卫生健康支出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13.80</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13.80</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21011</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行政事业单位医疗</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13.80</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13.80</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2101101</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行政单位医疗</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10.22</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10.22</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2101103</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公务员医疗补助</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2.88</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2.88</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2101199</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其他行政事业单位医疗支出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0.70</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0.70</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221</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住房保障支出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22102</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住房改革支出</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rPr>
                <w:color w:val="auto"/>
                <w:highlight w:val="none"/>
              </w:rPr>
            </w:pPr>
            <w:r>
              <w:rPr>
                <w:rFonts w:ascii="宋体" w:hAnsi="宋体" w:eastAsia="宋体" w:cs="宋体"/>
                <w:b w:val="0"/>
                <w:i w:val="0"/>
                <w:color w:val="auto"/>
                <w:sz w:val="14"/>
                <w:highlight w:val="none"/>
              </w:rPr>
              <w:t>2210201</w:t>
            </w:r>
          </w:p>
        </w:tc>
        <w:tc>
          <w:tcPr>
            <w:tcW w:w="2060" w:type="dxa"/>
            <w:vAlign w:val="center"/>
          </w:tcPr>
          <w:p>
            <w:pPr>
              <w:jc w:val="left"/>
              <w:rPr>
                <w:color w:val="auto"/>
                <w:highlight w:val="none"/>
              </w:rPr>
            </w:pPr>
            <w:r>
              <w:rPr>
                <w:rFonts w:ascii="宋体" w:hAnsi="宋体" w:eastAsia="宋体" w:cs="宋体"/>
                <w:b w:val="0"/>
                <w:i w:val="0"/>
                <w:color w:val="auto"/>
                <w:sz w:val="14"/>
                <w:highlight w:val="none"/>
              </w:rPr>
              <w:t>住房公积金</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116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160" w:type="dxa"/>
            <w:vAlign w:val="center"/>
          </w:tcPr>
          <w:p>
            <w:pPr>
              <w:rPr>
                <w:color w:val="auto"/>
                <w:highlight w:val="none"/>
              </w:rPr>
            </w:pPr>
          </w:p>
        </w:tc>
        <w:tc>
          <w:tcPr>
            <w:tcW w:w="1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4"/>
                <w:highlight w:val="none"/>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4"/>
                <w:highlight w:val="none"/>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4"/>
                <w:highlight w:val="none"/>
              </w:rPr>
              <w:t xml:space="preserve">    如本表为空，则我部门本年度无此类资金收支余。</w:t>
            </w:r>
          </w:p>
        </w:tc>
      </w:tr>
    </w:tbl>
    <w:p>
      <w:pPr>
        <w:snapToGrid w:val="0"/>
        <w:spacing w:before="0" w:after="0" w:line="0" w:lineRule="auto"/>
        <w:rPr>
          <w:color w:val="auto"/>
          <w:highlight w:val="none"/>
        </w:rPr>
        <w:sectPr>
          <w:pgSz w:w="11906" w:h="16838"/>
          <w:pgMar w:top="567" w:right="567" w:bottom="567" w:left="567" w:header="851" w:footer="992" w:gutter="0"/>
          <w:cols w:space="720" w:num="1"/>
          <w:docGrid w:type="lines" w:linePitch="312" w:charSpace="0"/>
        </w:sectPr>
      </w:pPr>
      <w:r>
        <w:rPr>
          <w:color w:val="auto"/>
          <w:sz w:val="8"/>
          <w:highlight w:val="none"/>
        </w:rPr>
        <w:t xml:space="preserve"> </w:t>
      </w:r>
    </w:p>
    <w:p>
      <w:pPr>
        <w:spacing w:line="540" w:lineRule="exact"/>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rPr>
                <w:color w:val="auto"/>
                <w:highlight w:val="none"/>
              </w:rPr>
            </w:pPr>
            <w:r>
              <w:rPr>
                <w:rFonts w:ascii="宋体" w:hAnsi="宋体" w:eastAsia="宋体" w:cs="宋体"/>
                <w:b w:val="0"/>
                <w:i w:val="0"/>
                <w:color w:val="auto"/>
                <w:sz w:val="16"/>
                <w:highlight w:val="none"/>
              </w:rPr>
              <w:t>项目</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本年支出合计</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基本支出</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项目支出</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上缴上级支出</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经营支出</w:t>
            </w:r>
          </w:p>
        </w:tc>
        <w:tc>
          <w:tcPr>
            <w:tcW w:w="1112" w:type="dxa"/>
            <w:vMerge w:val="restart"/>
            <w:vAlign w:val="center"/>
          </w:tcPr>
          <w:p>
            <w:pPr>
              <w:jc w:val="center"/>
              <w:rPr>
                <w:color w:val="auto"/>
                <w:highlight w:val="none"/>
              </w:rPr>
            </w:pPr>
            <w:r>
              <w:rPr>
                <w:rFonts w:ascii="宋体" w:hAnsi="宋体" w:eastAsia="宋体" w:cs="宋体"/>
                <w:b w:val="0"/>
                <w:i w:val="0"/>
                <w:color w:val="auto"/>
                <w:sz w:val="16"/>
                <w:highlight w:val="none"/>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rPr>
                <w:color w:val="auto"/>
                <w:highlight w:val="none"/>
              </w:rPr>
            </w:pPr>
            <w:r>
              <w:rPr>
                <w:rFonts w:ascii="宋体" w:hAnsi="宋体" w:eastAsia="宋体" w:cs="宋体"/>
                <w:b w:val="0"/>
                <w:i w:val="0"/>
                <w:color w:val="auto"/>
                <w:sz w:val="16"/>
                <w:highlight w:val="none"/>
              </w:rPr>
              <w:t>功能分类科目编码</w:t>
            </w:r>
          </w:p>
        </w:tc>
        <w:tc>
          <w:tcPr>
            <w:tcW w:w="3340" w:type="dxa"/>
            <w:vMerge w:val="restart"/>
            <w:vAlign w:val="center"/>
          </w:tcPr>
          <w:p>
            <w:pPr>
              <w:jc w:val="center"/>
              <w:rPr>
                <w:color w:val="auto"/>
                <w:highlight w:val="none"/>
              </w:rPr>
            </w:pPr>
            <w:r>
              <w:rPr>
                <w:rFonts w:ascii="宋体" w:hAnsi="宋体" w:eastAsia="宋体" w:cs="宋体"/>
                <w:b w:val="0"/>
                <w:i w:val="0"/>
                <w:color w:val="auto"/>
                <w:sz w:val="16"/>
                <w:highlight w:val="none"/>
              </w:rPr>
              <w:t>科目名称</w:t>
            </w: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1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pPr>
              <w:rPr>
                <w:color w:val="auto"/>
                <w:highlight w:val="none"/>
              </w:rPr>
            </w:pPr>
          </w:p>
        </w:tc>
        <w:tc>
          <w:tcPr>
            <w:tcW w:w="334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1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pPr>
              <w:rPr>
                <w:color w:val="auto"/>
                <w:highlight w:val="none"/>
              </w:rPr>
            </w:pPr>
          </w:p>
        </w:tc>
        <w:tc>
          <w:tcPr>
            <w:tcW w:w="334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1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rPr>
                <w:color w:val="auto"/>
                <w:highlight w:val="none"/>
              </w:rPr>
            </w:pPr>
            <w:r>
              <w:rPr>
                <w:rFonts w:ascii="宋体" w:hAnsi="宋体" w:eastAsia="宋体" w:cs="宋体"/>
                <w:b w:val="0"/>
                <w:i w:val="0"/>
                <w:color w:val="auto"/>
                <w:sz w:val="16"/>
                <w:highlight w:val="none"/>
              </w:rPr>
              <w:t>栏次</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1</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2</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3</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4</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5</w:t>
            </w:r>
          </w:p>
        </w:tc>
        <w:tc>
          <w:tcPr>
            <w:tcW w:w="1112" w:type="dxa"/>
            <w:vAlign w:val="center"/>
          </w:tcPr>
          <w:p>
            <w:pPr>
              <w:jc w:val="center"/>
              <w:rPr>
                <w:color w:val="auto"/>
                <w:highlight w:val="none"/>
              </w:rPr>
            </w:pPr>
            <w:r>
              <w:rPr>
                <w:rFonts w:ascii="宋体" w:hAnsi="宋体" w:eastAsia="宋体" w:cs="宋体"/>
                <w:b w:val="0"/>
                <w:i w:val="0"/>
                <w:color w:val="auto"/>
                <w:sz w:val="16"/>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rPr>
                <w:color w:val="auto"/>
                <w:highlight w:val="none"/>
              </w:rPr>
            </w:pPr>
            <w:r>
              <w:rPr>
                <w:rFonts w:ascii="宋体" w:hAnsi="宋体" w:eastAsia="宋体" w:cs="宋体"/>
                <w:b w:val="0"/>
                <w:i w:val="0"/>
                <w:color w:val="auto"/>
                <w:sz w:val="16"/>
                <w:highlight w:val="none"/>
              </w:rPr>
              <w:t>合计</w:t>
            </w:r>
          </w:p>
        </w:tc>
        <w:tc>
          <w:tcPr>
            <w:tcW w:w="1120" w:type="dxa"/>
            <w:vAlign w:val="center"/>
          </w:tcPr>
          <w:p>
            <w:pPr>
              <w:jc w:val="right"/>
              <w:rPr>
                <w:color w:val="auto"/>
                <w:highlight w:val="none"/>
              </w:rPr>
            </w:pPr>
            <w:r>
              <w:rPr>
                <w:rFonts w:ascii="宋体" w:hAnsi="宋体" w:eastAsia="宋体" w:cs="宋体"/>
                <w:b/>
                <w:i w:val="0"/>
                <w:color w:val="auto"/>
                <w:sz w:val="16"/>
                <w:highlight w:val="none"/>
              </w:rPr>
              <w:t>354.93</w:t>
            </w:r>
          </w:p>
        </w:tc>
        <w:tc>
          <w:tcPr>
            <w:tcW w:w="1120" w:type="dxa"/>
            <w:vAlign w:val="center"/>
          </w:tcPr>
          <w:p>
            <w:pPr>
              <w:jc w:val="right"/>
              <w:rPr>
                <w:color w:val="auto"/>
                <w:highlight w:val="none"/>
              </w:rPr>
            </w:pPr>
            <w:r>
              <w:rPr>
                <w:rFonts w:ascii="宋体" w:hAnsi="宋体" w:eastAsia="宋体" w:cs="宋体"/>
                <w:b/>
                <w:i w:val="0"/>
                <w:color w:val="auto"/>
                <w:sz w:val="16"/>
                <w:highlight w:val="none"/>
              </w:rPr>
              <w:t>303.43</w:t>
            </w:r>
          </w:p>
        </w:tc>
        <w:tc>
          <w:tcPr>
            <w:tcW w:w="1120" w:type="dxa"/>
            <w:vAlign w:val="center"/>
          </w:tcPr>
          <w:p>
            <w:pPr>
              <w:jc w:val="right"/>
              <w:rPr>
                <w:color w:val="auto"/>
                <w:highlight w:val="none"/>
              </w:rPr>
            </w:pPr>
            <w:r>
              <w:rPr>
                <w:rFonts w:ascii="宋体" w:hAnsi="宋体" w:eastAsia="宋体" w:cs="宋体"/>
                <w:b/>
                <w:i w:val="0"/>
                <w:color w:val="auto"/>
                <w:sz w:val="16"/>
                <w:highlight w:val="none"/>
              </w:rPr>
              <w:t>51.50</w:t>
            </w: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201</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一般公共服务支出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278.41</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226.90</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51.51</w:t>
            </w: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20101</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人大事务</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278.41</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226.90</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51.51</w:t>
            </w: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2010101</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行政运行</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226.90</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226.90</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2010102</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一般行政管理事务</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18.56</w:t>
            </w:r>
          </w:p>
        </w:tc>
        <w:tc>
          <w:tcPr>
            <w:tcW w:w="1120" w:type="dxa"/>
            <w:vAlign w:val="center"/>
          </w:tcPr>
          <w:p>
            <w:pPr>
              <w:rPr>
                <w:color w:val="auto"/>
                <w:highlight w:val="none"/>
              </w:rPr>
            </w:pPr>
          </w:p>
        </w:tc>
        <w:tc>
          <w:tcPr>
            <w:tcW w:w="1120" w:type="dxa"/>
            <w:vAlign w:val="center"/>
          </w:tcPr>
          <w:p>
            <w:pPr>
              <w:jc w:val="right"/>
              <w:rPr>
                <w:color w:val="auto"/>
                <w:highlight w:val="none"/>
              </w:rPr>
            </w:pPr>
            <w:r>
              <w:rPr>
                <w:rFonts w:ascii="宋体" w:hAnsi="宋体" w:eastAsia="宋体" w:cs="宋体"/>
                <w:b w:val="0"/>
                <w:i w:val="0"/>
                <w:color w:val="auto"/>
                <w:sz w:val="16"/>
                <w:highlight w:val="none"/>
              </w:rPr>
              <w:t>18.56</w:t>
            </w: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2010104</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人大会议</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32.95</w:t>
            </w:r>
          </w:p>
        </w:tc>
        <w:tc>
          <w:tcPr>
            <w:tcW w:w="1120" w:type="dxa"/>
            <w:vAlign w:val="center"/>
          </w:tcPr>
          <w:p>
            <w:pPr>
              <w:rPr>
                <w:color w:val="auto"/>
                <w:highlight w:val="none"/>
              </w:rPr>
            </w:pPr>
          </w:p>
        </w:tc>
        <w:tc>
          <w:tcPr>
            <w:tcW w:w="1120" w:type="dxa"/>
            <w:vAlign w:val="center"/>
          </w:tcPr>
          <w:p>
            <w:pPr>
              <w:jc w:val="right"/>
              <w:rPr>
                <w:color w:val="auto"/>
                <w:highlight w:val="none"/>
              </w:rPr>
            </w:pPr>
            <w:r>
              <w:rPr>
                <w:rFonts w:ascii="宋体" w:hAnsi="宋体" w:eastAsia="宋体" w:cs="宋体"/>
                <w:b w:val="0"/>
                <w:i w:val="0"/>
                <w:color w:val="auto"/>
                <w:sz w:val="16"/>
                <w:highlight w:val="none"/>
              </w:rPr>
              <w:t>32.95</w:t>
            </w: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208</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社会保障和就业支出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38.33</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38.33</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20805</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行政事业单位养老支出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38.33</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38.33</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2080501</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行政单位离退休</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3.51</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3.51</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2080505</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机关事业单位基本养老保险缴费支出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28.45</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28.45</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2080506</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机关事业单位职业年金缴费支出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6.37</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6.37</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210</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卫生健康支出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13.80</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13.80</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21011</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行政事业单位医疗</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13.80</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13.80</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2101101</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行政单位医疗</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10.22</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10.22</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2101103</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公务员医疗补助</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2.88</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2.88</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2101199</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其他行政事业单位医疗支出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0.70</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0.70</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221</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住房保障支出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24.39</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24.39</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22102</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住房改革支出</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24.39</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24.39</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rPr>
                <w:color w:val="auto"/>
                <w:highlight w:val="none"/>
              </w:rPr>
            </w:pPr>
            <w:r>
              <w:rPr>
                <w:rFonts w:ascii="宋体" w:hAnsi="宋体" w:eastAsia="宋体" w:cs="宋体"/>
                <w:b w:val="0"/>
                <w:i w:val="0"/>
                <w:color w:val="auto"/>
                <w:sz w:val="16"/>
                <w:highlight w:val="none"/>
              </w:rPr>
              <w:t>2210201</w:t>
            </w:r>
          </w:p>
        </w:tc>
        <w:tc>
          <w:tcPr>
            <w:tcW w:w="3340" w:type="dxa"/>
            <w:vAlign w:val="center"/>
          </w:tcPr>
          <w:p>
            <w:pPr>
              <w:jc w:val="left"/>
              <w:rPr>
                <w:color w:val="auto"/>
                <w:highlight w:val="none"/>
              </w:rPr>
            </w:pPr>
            <w:r>
              <w:rPr>
                <w:rFonts w:ascii="宋体" w:hAnsi="宋体" w:eastAsia="宋体" w:cs="宋体"/>
                <w:b w:val="0"/>
                <w:i w:val="0"/>
                <w:color w:val="auto"/>
                <w:sz w:val="16"/>
                <w:highlight w:val="none"/>
              </w:rPr>
              <w:t>住房公积金</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24.39</w:t>
            </w:r>
          </w:p>
        </w:tc>
        <w:tc>
          <w:tcPr>
            <w:tcW w:w="1120" w:type="dxa"/>
            <w:vAlign w:val="center"/>
          </w:tcPr>
          <w:p>
            <w:pPr>
              <w:jc w:val="right"/>
              <w:rPr>
                <w:color w:val="auto"/>
                <w:highlight w:val="none"/>
              </w:rPr>
            </w:pPr>
            <w:r>
              <w:rPr>
                <w:rFonts w:ascii="宋体" w:hAnsi="宋体" w:eastAsia="宋体" w:cs="宋体"/>
                <w:b w:val="0"/>
                <w:i w:val="0"/>
                <w:color w:val="auto"/>
                <w:sz w:val="16"/>
                <w:highlight w:val="none"/>
              </w:rPr>
              <w:t>24.39</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6"/>
                <w:highlight w:val="none"/>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6"/>
                <w:highlight w:val="none"/>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6"/>
                <w:highlight w:val="none"/>
              </w:rPr>
              <w:t xml:space="preserve">    如本表为空，则我部门本年度无此类资金收支余。</w:t>
            </w:r>
          </w:p>
        </w:tc>
      </w:tr>
    </w:tbl>
    <w:p>
      <w:pPr>
        <w:snapToGrid w:val="0"/>
        <w:spacing w:before="0" w:after="0" w:line="0" w:lineRule="auto"/>
        <w:rPr>
          <w:color w:val="auto"/>
          <w:highlight w:val="none"/>
        </w:rPr>
      </w:pPr>
      <w:r>
        <w:rPr>
          <w:color w:val="auto"/>
          <w:sz w:val="8"/>
          <w:highlight w:val="none"/>
        </w:rPr>
        <w:t xml:space="preserve"> </w:t>
      </w:r>
    </w:p>
    <w:p>
      <w:pPr>
        <w:spacing w:line="540" w:lineRule="exact"/>
        <w:jc w:val="left"/>
        <w:rPr>
          <w:rFonts w:ascii="黑体" w:hAnsi="宋体" w:eastAsia="黑体" w:cs="黑体"/>
          <w:color w:val="auto"/>
          <w:sz w:val="32"/>
          <w:szCs w:val="32"/>
          <w:highlight w:val="none"/>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rPr>
                <w:color w:val="auto"/>
                <w:highlight w:val="none"/>
              </w:rPr>
            </w:pPr>
            <w:r>
              <w:rPr>
                <w:rFonts w:ascii="宋体" w:hAnsi="宋体" w:eastAsia="宋体" w:cs="宋体"/>
                <w:b w:val="0"/>
                <w:i w:val="0"/>
                <w:color w:val="auto"/>
                <w:sz w:val="14"/>
                <w:highlight w:val="none"/>
              </w:rPr>
              <w:t>收     入</w:t>
            </w:r>
          </w:p>
        </w:tc>
        <w:tc>
          <w:tcPr>
            <w:tcW w:w="2380" w:type="dxa"/>
            <w:gridSpan w:val="6"/>
            <w:vAlign w:val="center"/>
          </w:tcPr>
          <w:p>
            <w:pPr>
              <w:jc w:val="center"/>
              <w:rPr>
                <w:color w:val="auto"/>
                <w:highlight w:val="none"/>
              </w:rPr>
            </w:pPr>
            <w:r>
              <w:rPr>
                <w:rFonts w:ascii="宋体" w:hAnsi="宋体" w:eastAsia="宋体" w:cs="宋体"/>
                <w:b w:val="0"/>
                <w:i w:val="0"/>
                <w:color w:val="auto"/>
                <w:sz w:val="14"/>
                <w:highlight w:val="none"/>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rPr>
                <w:color w:val="auto"/>
                <w:highlight w:val="none"/>
              </w:rPr>
            </w:pPr>
            <w:r>
              <w:rPr>
                <w:rFonts w:ascii="宋体" w:hAnsi="宋体" w:eastAsia="宋体" w:cs="宋体"/>
                <w:b w:val="0"/>
                <w:i w:val="0"/>
                <w:color w:val="auto"/>
                <w:sz w:val="14"/>
                <w:highlight w:val="none"/>
              </w:rPr>
              <w:t>项目</w:t>
            </w:r>
          </w:p>
        </w:tc>
        <w:tc>
          <w:tcPr>
            <w:tcW w:w="380" w:type="dxa"/>
            <w:vMerge w:val="restart"/>
            <w:vAlign w:val="center"/>
          </w:tcPr>
          <w:p>
            <w:pPr>
              <w:jc w:val="center"/>
              <w:rPr>
                <w:color w:val="auto"/>
                <w:highlight w:val="none"/>
              </w:rPr>
            </w:pPr>
            <w:r>
              <w:rPr>
                <w:rFonts w:ascii="宋体" w:hAnsi="宋体" w:eastAsia="宋体" w:cs="宋体"/>
                <w:b w:val="0"/>
                <w:i w:val="0"/>
                <w:color w:val="auto"/>
                <w:sz w:val="14"/>
                <w:highlight w:val="none"/>
              </w:rPr>
              <w:t>行次</w:t>
            </w:r>
          </w:p>
        </w:tc>
        <w:tc>
          <w:tcPr>
            <w:tcW w:w="1100" w:type="dxa"/>
            <w:vMerge w:val="restart"/>
            <w:vAlign w:val="center"/>
          </w:tcPr>
          <w:p>
            <w:pPr>
              <w:jc w:val="center"/>
              <w:rPr>
                <w:color w:val="auto"/>
                <w:highlight w:val="none"/>
              </w:rPr>
            </w:pPr>
            <w:r>
              <w:rPr>
                <w:rFonts w:ascii="宋体" w:hAnsi="宋体" w:eastAsia="宋体" w:cs="宋体"/>
                <w:b w:val="0"/>
                <w:i w:val="0"/>
                <w:color w:val="auto"/>
                <w:sz w:val="14"/>
                <w:highlight w:val="none"/>
              </w:rPr>
              <w:t>金额</w:t>
            </w:r>
          </w:p>
        </w:tc>
        <w:tc>
          <w:tcPr>
            <w:tcW w:w="2380" w:type="dxa"/>
            <w:vMerge w:val="restart"/>
            <w:vAlign w:val="center"/>
          </w:tcPr>
          <w:p>
            <w:pPr>
              <w:jc w:val="center"/>
              <w:rPr>
                <w:color w:val="auto"/>
                <w:highlight w:val="none"/>
              </w:rPr>
            </w:pPr>
            <w:r>
              <w:rPr>
                <w:rFonts w:ascii="宋体" w:hAnsi="宋体" w:eastAsia="宋体" w:cs="宋体"/>
                <w:b w:val="0"/>
                <w:i w:val="0"/>
                <w:color w:val="auto"/>
                <w:sz w:val="14"/>
                <w:highlight w:val="none"/>
              </w:rPr>
              <w:t>项目</w:t>
            </w:r>
          </w:p>
        </w:tc>
        <w:tc>
          <w:tcPr>
            <w:tcW w:w="380" w:type="dxa"/>
            <w:vMerge w:val="restart"/>
            <w:vAlign w:val="center"/>
          </w:tcPr>
          <w:p>
            <w:pPr>
              <w:jc w:val="center"/>
              <w:rPr>
                <w:color w:val="auto"/>
                <w:highlight w:val="none"/>
              </w:rPr>
            </w:pPr>
            <w:r>
              <w:rPr>
                <w:rFonts w:ascii="宋体" w:hAnsi="宋体" w:eastAsia="宋体" w:cs="宋体"/>
                <w:b w:val="0"/>
                <w:i w:val="0"/>
                <w:color w:val="auto"/>
                <w:sz w:val="14"/>
                <w:highlight w:val="none"/>
              </w:rPr>
              <w:t>行次</w:t>
            </w:r>
          </w:p>
        </w:tc>
        <w:tc>
          <w:tcPr>
            <w:tcW w:w="1100" w:type="dxa"/>
            <w:vMerge w:val="restart"/>
            <w:vAlign w:val="center"/>
          </w:tcPr>
          <w:p>
            <w:pPr>
              <w:jc w:val="center"/>
              <w:rPr>
                <w:color w:val="auto"/>
                <w:highlight w:val="none"/>
              </w:rPr>
            </w:pPr>
            <w:r>
              <w:rPr>
                <w:rFonts w:ascii="宋体" w:hAnsi="宋体" w:eastAsia="宋体" w:cs="宋体"/>
                <w:b w:val="0"/>
                <w:i w:val="0"/>
                <w:color w:val="auto"/>
                <w:sz w:val="14"/>
                <w:highlight w:val="none"/>
              </w:rPr>
              <w:t>合计</w:t>
            </w:r>
          </w:p>
        </w:tc>
        <w:tc>
          <w:tcPr>
            <w:tcW w:w="1100" w:type="dxa"/>
            <w:vMerge w:val="restart"/>
            <w:vAlign w:val="center"/>
          </w:tcPr>
          <w:p>
            <w:pPr>
              <w:jc w:val="center"/>
              <w:rPr>
                <w:color w:val="auto"/>
                <w:highlight w:val="none"/>
              </w:rPr>
            </w:pPr>
            <w:r>
              <w:rPr>
                <w:rFonts w:ascii="宋体" w:hAnsi="宋体" w:eastAsia="宋体" w:cs="宋体"/>
                <w:b w:val="0"/>
                <w:i w:val="0"/>
                <w:color w:val="auto"/>
                <w:sz w:val="14"/>
                <w:highlight w:val="none"/>
              </w:rPr>
              <w:t>一般公共预算财政拨款</w:t>
            </w:r>
          </w:p>
        </w:tc>
        <w:tc>
          <w:tcPr>
            <w:tcW w:w="1100" w:type="dxa"/>
            <w:vMerge w:val="restart"/>
            <w:vAlign w:val="center"/>
          </w:tcPr>
          <w:p>
            <w:pPr>
              <w:jc w:val="center"/>
              <w:rPr>
                <w:color w:val="auto"/>
                <w:highlight w:val="none"/>
              </w:rPr>
            </w:pPr>
            <w:r>
              <w:rPr>
                <w:rFonts w:ascii="宋体" w:hAnsi="宋体" w:eastAsia="宋体" w:cs="宋体"/>
                <w:b w:val="0"/>
                <w:i w:val="0"/>
                <w:color w:val="auto"/>
                <w:sz w:val="14"/>
                <w:highlight w:val="none"/>
              </w:rPr>
              <w:t>政府性基金预算财政拨款</w:t>
            </w:r>
          </w:p>
        </w:tc>
        <w:tc>
          <w:tcPr>
            <w:tcW w:w="1112" w:type="dxa"/>
            <w:vMerge w:val="restart"/>
            <w:vAlign w:val="center"/>
          </w:tcPr>
          <w:p>
            <w:pPr>
              <w:jc w:val="center"/>
              <w:rPr>
                <w:color w:val="auto"/>
                <w:highlight w:val="none"/>
              </w:rPr>
            </w:pPr>
            <w:r>
              <w:rPr>
                <w:rFonts w:ascii="宋体" w:hAnsi="宋体" w:eastAsia="宋体" w:cs="宋体"/>
                <w:b w:val="0"/>
                <w:i w:val="0"/>
                <w:color w:val="auto"/>
                <w:sz w:val="14"/>
                <w:highlight w:val="none"/>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pPr>
              <w:rPr>
                <w:color w:val="auto"/>
                <w:highlight w:val="none"/>
              </w:rPr>
            </w:pPr>
          </w:p>
        </w:tc>
        <w:tc>
          <w:tcPr>
            <w:tcW w:w="380" w:type="dxa"/>
            <w:vMerge w:val="continue"/>
            <w:vAlign w:val="center"/>
          </w:tcPr>
          <w:p>
            <w:pPr>
              <w:rPr>
                <w:color w:val="auto"/>
                <w:highlight w:val="none"/>
              </w:rPr>
            </w:pPr>
          </w:p>
        </w:tc>
        <w:tc>
          <w:tcPr>
            <w:tcW w:w="1100" w:type="dxa"/>
            <w:vMerge w:val="continue"/>
            <w:vAlign w:val="center"/>
          </w:tcPr>
          <w:p>
            <w:pPr>
              <w:rPr>
                <w:color w:val="auto"/>
                <w:highlight w:val="none"/>
              </w:rPr>
            </w:pPr>
          </w:p>
        </w:tc>
        <w:tc>
          <w:tcPr>
            <w:tcW w:w="2380" w:type="dxa"/>
            <w:vMerge w:val="continue"/>
            <w:vAlign w:val="center"/>
          </w:tcPr>
          <w:p>
            <w:pPr>
              <w:rPr>
                <w:color w:val="auto"/>
                <w:highlight w:val="none"/>
              </w:rPr>
            </w:pPr>
          </w:p>
        </w:tc>
        <w:tc>
          <w:tcPr>
            <w:tcW w:w="380" w:type="dxa"/>
            <w:vMerge w:val="continue"/>
            <w:vAlign w:val="center"/>
          </w:tcPr>
          <w:p>
            <w:pPr>
              <w:rPr>
                <w:color w:val="auto"/>
                <w:highlight w:val="none"/>
              </w:rPr>
            </w:pPr>
          </w:p>
        </w:tc>
        <w:tc>
          <w:tcPr>
            <w:tcW w:w="1100" w:type="dxa"/>
            <w:vMerge w:val="continue"/>
            <w:vAlign w:val="center"/>
          </w:tcPr>
          <w:p>
            <w:pPr>
              <w:rPr>
                <w:color w:val="auto"/>
                <w:highlight w:val="none"/>
              </w:rPr>
            </w:pPr>
          </w:p>
        </w:tc>
        <w:tc>
          <w:tcPr>
            <w:tcW w:w="1100" w:type="dxa"/>
            <w:vMerge w:val="continue"/>
            <w:vAlign w:val="center"/>
          </w:tcPr>
          <w:p>
            <w:pPr>
              <w:rPr>
                <w:color w:val="auto"/>
                <w:highlight w:val="none"/>
              </w:rPr>
            </w:pPr>
          </w:p>
        </w:tc>
        <w:tc>
          <w:tcPr>
            <w:tcW w:w="1100" w:type="dxa"/>
            <w:vMerge w:val="continue"/>
            <w:vAlign w:val="center"/>
          </w:tcPr>
          <w:p>
            <w:pPr>
              <w:rPr>
                <w:color w:val="auto"/>
                <w:highlight w:val="none"/>
              </w:rPr>
            </w:pPr>
          </w:p>
        </w:tc>
        <w:tc>
          <w:tcPr>
            <w:tcW w:w="111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rPr>
                <w:color w:val="auto"/>
                <w:highlight w:val="none"/>
              </w:rPr>
            </w:pPr>
            <w:r>
              <w:rPr>
                <w:rFonts w:ascii="宋体" w:hAnsi="宋体" w:eastAsia="宋体" w:cs="宋体"/>
                <w:b w:val="0"/>
                <w:i w:val="0"/>
                <w:color w:val="auto"/>
                <w:sz w:val="14"/>
                <w:highlight w:val="none"/>
              </w:rPr>
              <w:t>栏次</w:t>
            </w:r>
          </w:p>
        </w:tc>
        <w:tc>
          <w:tcPr>
            <w:tcW w:w="380" w:type="dxa"/>
            <w:vAlign w:val="center"/>
          </w:tcPr>
          <w:p>
            <w:pPr>
              <w:rPr>
                <w:color w:val="auto"/>
                <w:highlight w:val="none"/>
              </w:rPr>
            </w:pPr>
          </w:p>
        </w:tc>
        <w:tc>
          <w:tcPr>
            <w:tcW w:w="1100" w:type="dxa"/>
            <w:vAlign w:val="center"/>
          </w:tcPr>
          <w:p>
            <w:pPr>
              <w:jc w:val="center"/>
              <w:rPr>
                <w:color w:val="auto"/>
                <w:highlight w:val="none"/>
              </w:rPr>
            </w:pPr>
            <w:r>
              <w:rPr>
                <w:rFonts w:ascii="宋体" w:hAnsi="宋体" w:eastAsia="宋体" w:cs="宋体"/>
                <w:b w:val="0"/>
                <w:i w:val="0"/>
                <w:color w:val="auto"/>
                <w:sz w:val="14"/>
                <w:highlight w:val="none"/>
              </w:rPr>
              <w:t>1</w:t>
            </w:r>
          </w:p>
        </w:tc>
        <w:tc>
          <w:tcPr>
            <w:tcW w:w="2380" w:type="dxa"/>
            <w:vAlign w:val="center"/>
          </w:tcPr>
          <w:p>
            <w:pPr>
              <w:jc w:val="center"/>
              <w:rPr>
                <w:color w:val="auto"/>
                <w:highlight w:val="none"/>
              </w:rPr>
            </w:pPr>
            <w:r>
              <w:rPr>
                <w:rFonts w:ascii="宋体" w:hAnsi="宋体" w:eastAsia="宋体" w:cs="宋体"/>
                <w:b w:val="0"/>
                <w:i w:val="0"/>
                <w:color w:val="auto"/>
                <w:sz w:val="14"/>
                <w:highlight w:val="none"/>
              </w:rPr>
              <w:t>栏次</w:t>
            </w:r>
          </w:p>
        </w:tc>
        <w:tc>
          <w:tcPr>
            <w:tcW w:w="380" w:type="dxa"/>
            <w:vAlign w:val="center"/>
          </w:tcPr>
          <w:p>
            <w:pPr>
              <w:rPr>
                <w:color w:val="auto"/>
                <w:highlight w:val="none"/>
              </w:rPr>
            </w:pPr>
          </w:p>
        </w:tc>
        <w:tc>
          <w:tcPr>
            <w:tcW w:w="1100" w:type="dxa"/>
            <w:vAlign w:val="center"/>
          </w:tcPr>
          <w:p>
            <w:pPr>
              <w:jc w:val="center"/>
              <w:rPr>
                <w:color w:val="auto"/>
                <w:highlight w:val="none"/>
              </w:rPr>
            </w:pPr>
            <w:r>
              <w:rPr>
                <w:rFonts w:ascii="宋体" w:hAnsi="宋体" w:eastAsia="宋体" w:cs="宋体"/>
                <w:b w:val="0"/>
                <w:i w:val="0"/>
                <w:color w:val="auto"/>
                <w:sz w:val="14"/>
                <w:highlight w:val="none"/>
              </w:rPr>
              <w:t>2</w:t>
            </w:r>
          </w:p>
        </w:tc>
        <w:tc>
          <w:tcPr>
            <w:tcW w:w="1100" w:type="dxa"/>
            <w:vAlign w:val="center"/>
          </w:tcPr>
          <w:p>
            <w:pPr>
              <w:jc w:val="center"/>
              <w:rPr>
                <w:color w:val="auto"/>
                <w:highlight w:val="none"/>
              </w:rPr>
            </w:pPr>
            <w:r>
              <w:rPr>
                <w:rFonts w:ascii="宋体" w:hAnsi="宋体" w:eastAsia="宋体" w:cs="宋体"/>
                <w:b w:val="0"/>
                <w:i w:val="0"/>
                <w:color w:val="auto"/>
                <w:sz w:val="14"/>
                <w:highlight w:val="none"/>
              </w:rPr>
              <w:t>3</w:t>
            </w:r>
          </w:p>
        </w:tc>
        <w:tc>
          <w:tcPr>
            <w:tcW w:w="1100" w:type="dxa"/>
            <w:vAlign w:val="center"/>
          </w:tcPr>
          <w:p>
            <w:pPr>
              <w:jc w:val="center"/>
              <w:rPr>
                <w:color w:val="auto"/>
                <w:highlight w:val="none"/>
              </w:rPr>
            </w:pPr>
            <w:r>
              <w:rPr>
                <w:rFonts w:ascii="宋体" w:hAnsi="宋体" w:eastAsia="宋体" w:cs="宋体"/>
                <w:b w:val="0"/>
                <w:i w:val="0"/>
                <w:color w:val="auto"/>
                <w:sz w:val="14"/>
                <w:highlight w:val="none"/>
              </w:rPr>
              <w:t>4</w:t>
            </w:r>
          </w:p>
        </w:tc>
        <w:tc>
          <w:tcPr>
            <w:tcW w:w="1112" w:type="dxa"/>
            <w:vAlign w:val="center"/>
          </w:tcPr>
          <w:p>
            <w:pPr>
              <w:jc w:val="center"/>
              <w:rPr>
                <w:color w:val="auto"/>
                <w:highlight w:val="none"/>
              </w:rPr>
            </w:pPr>
            <w:r>
              <w:rPr>
                <w:rFonts w:ascii="宋体" w:hAnsi="宋体" w:eastAsia="宋体" w:cs="宋体"/>
                <w:b w:val="0"/>
                <w:i w:val="0"/>
                <w:color w:val="auto"/>
                <w:sz w:val="14"/>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rPr>
                <w:color w:val="auto"/>
                <w:highlight w:val="none"/>
              </w:rPr>
            </w:pPr>
            <w:r>
              <w:rPr>
                <w:rFonts w:ascii="宋体" w:hAnsi="宋体" w:eastAsia="宋体" w:cs="宋体"/>
                <w:b w:val="0"/>
                <w:i w:val="0"/>
                <w:color w:val="auto"/>
                <w:sz w:val="14"/>
                <w:highlight w:val="none"/>
              </w:rPr>
              <w:t>一、一般公共预算财政拨款</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1</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354.93</w:t>
            </w:r>
          </w:p>
        </w:tc>
        <w:tc>
          <w:tcPr>
            <w:tcW w:w="2380" w:type="dxa"/>
            <w:vAlign w:val="center"/>
          </w:tcPr>
          <w:p>
            <w:pPr>
              <w:jc w:val="left"/>
              <w:rPr>
                <w:color w:val="auto"/>
                <w:highlight w:val="none"/>
              </w:rPr>
            </w:pPr>
            <w:r>
              <w:rPr>
                <w:rFonts w:ascii="宋体" w:hAnsi="宋体" w:eastAsia="宋体" w:cs="宋体"/>
                <w:b w:val="0"/>
                <w:i w:val="0"/>
                <w:color w:val="auto"/>
                <w:sz w:val="14"/>
                <w:highlight w:val="none"/>
              </w:rPr>
              <w:t>一、一般公共服务支出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33</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278.41</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278.41</w:t>
            </w: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rPr>
                <w:color w:val="auto"/>
                <w:highlight w:val="none"/>
              </w:rPr>
            </w:pPr>
            <w:r>
              <w:rPr>
                <w:rFonts w:ascii="宋体" w:hAnsi="宋体" w:eastAsia="宋体" w:cs="宋体"/>
                <w:b w:val="0"/>
                <w:i w:val="0"/>
                <w:color w:val="auto"/>
                <w:sz w:val="14"/>
                <w:highlight w:val="none"/>
              </w:rPr>
              <w:t>二、政府性基金预算财政拨款</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2</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二、外交支出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34</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rPr>
                <w:color w:val="auto"/>
                <w:highlight w:val="none"/>
              </w:rPr>
            </w:pPr>
            <w:r>
              <w:rPr>
                <w:rFonts w:ascii="宋体" w:hAnsi="宋体" w:eastAsia="宋体" w:cs="宋体"/>
                <w:b w:val="0"/>
                <w:i w:val="0"/>
                <w:color w:val="auto"/>
                <w:sz w:val="14"/>
                <w:highlight w:val="none"/>
              </w:rPr>
              <w:t>三、国有资本经营财政拨款</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三、国防支出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35</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4</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四、公共安全支出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36</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5</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五、教育支出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37</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6</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六、科学技术支出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38</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7</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七、文化旅游体育与传媒支出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39</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8</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八、社会保障和就业支出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40</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38.33</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38.33</w:t>
            </w: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9</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九、卫生健康支出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41</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13.80</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13.80</w:t>
            </w: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10</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十、节能环保支出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42</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11</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十一、城乡社区支出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43</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12</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十二、农林水支出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44</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13</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十三、交通运输支出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45</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14</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十四、资源勘探工业信息等支出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46</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15</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十五、商业服务业等支出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47</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16</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十六、金融支出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48</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17</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十七、援助其他地区支出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49</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18</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十八、自然资源海洋气象等支出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50</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19</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十九、住房保障支出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51</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20</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二十、粮油物资储备支出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52</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21</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二十一、国有资本经营预算支出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53</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22</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二十二、灾害防治及应急管理支出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54</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23</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二十三、其他支出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55</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24</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二十四、债务还本支出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56</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25</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二十五、债务付息支出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57</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26</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二十六、抗疫特别国债安排的支出</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58</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rPr>
                <w:color w:val="auto"/>
                <w:highlight w:val="none"/>
              </w:rPr>
            </w:pPr>
            <w:r>
              <w:rPr>
                <w:rFonts w:ascii="宋体" w:hAnsi="宋体" w:eastAsia="宋体" w:cs="宋体"/>
                <w:b w:val="0"/>
                <w:i w:val="0"/>
                <w:color w:val="auto"/>
                <w:sz w:val="14"/>
                <w:highlight w:val="none"/>
              </w:rPr>
              <w:t>本年收入合计</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27</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354.93</w:t>
            </w:r>
          </w:p>
        </w:tc>
        <w:tc>
          <w:tcPr>
            <w:tcW w:w="2380" w:type="dxa"/>
            <w:vAlign w:val="center"/>
          </w:tcPr>
          <w:p>
            <w:pPr>
              <w:jc w:val="center"/>
              <w:rPr>
                <w:color w:val="auto"/>
                <w:highlight w:val="none"/>
              </w:rPr>
            </w:pPr>
            <w:r>
              <w:rPr>
                <w:rFonts w:ascii="宋体" w:hAnsi="宋体" w:eastAsia="宋体" w:cs="宋体"/>
                <w:b w:val="0"/>
                <w:i w:val="0"/>
                <w:color w:val="auto"/>
                <w:sz w:val="14"/>
                <w:highlight w:val="none"/>
              </w:rPr>
              <w:t>本年支出合计</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59</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354.93</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354.93</w:t>
            </w: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rPr>
                <w:color w:val="auto"/>
                <w:highlight w:val="none"/>
              </w:rPr>
            </w:pPr>
            <w:r>
              <w:rPr>
                <w:rFonts w:ascii="宋体" w:hAnsi="宋体" w:eastAsia="宋体" w:cs="宋体"/>
                <w:b w:val="0"/>
                <w:i w:val="0"/>
                <w:color w:val="auto"/>
                <w:sz w:val="14"/>
                <w:highlight w:val="none"/>
              </w:rPr>
              <w:t>年初财政拨款结转和结余</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28</w:t>
            </w:r>
          </w:p>
        </w:tc>
        <w:tc>
          <w:tcPr>
            <w:tcW w:w="1100" w:type="dxa"/>
            <w:vAlign w:val="center"/>
          </w:tcPr>
          <w:p>
            <w:pPr>
              <w:rPr>
                <w:color w:val="auto"/>
                <w:highlight w:val="none"/>
              </w:rPr>
            </w:pPr>
          </w:p>
        </w:tc>
        <w:tc>
          <w:tcPr>
            <w:tcW w:w="2380" w:type="dxa"/>
            <w:vAlign w:val="center"/>
          </w:tcPr>
          <w:p>
            <w:pPr>
              <w:jc w:val="left"/>
              <w:rPr>
                <w:color w:val="auto"/>
                <w:highlight w:val="none"/>
              </w:rPr>
            </w:pPr>
            <w:r>
              <w:rPr>
                <w:rFonts w:ascii="宋体" w:hAnsi="宋体" w:eastAsia="宋体" w:cs="宋体"/>
                <w:b w:val="0"/>
                <w:i w:val="0"/>
                <w:color w:val="auto"/>
                <w:sz w:val="14"/>
                <w:highlight w:val="none"/>
              </w:rPr>
              <w:t>年末财政拨款结转和结余</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60</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rPr>
                <w:color w:val="auto"/>
                <w:highlight w:val="none"/>
              </w:rPr>
            </w:pPr>
            <w:r>
              <w:rPr>
                <w:rFonts w:ascii="宋体" w:hAnsi="宋体" w:eastAsia="宋体" w:cs="宋体"/>
                <w:b w:val="0"/>
                <w:i w:val="0"/>
                <w:color w:val="auto"/>
                <w:sz w:val="14"/>
                <w:highlight w:val="none"/>
              </w:rPr>
              <w:t xml:space="preserve">  一般公共预算财政拨款</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29</w:t>
            </w:r>
          </w:p>
        </w:tc>
        <w:tc>
          <w:tcPr>
            <w:tcW w:w="1100" w:type="dxa"/>
            <w:vAlign w:val="center"/>
          </w:tcPr>
          <w:p>
            <w:pPr>
              <w:rPr>
                <w:color w:val="auto"/>
                <w:highlight w:val="none"/>
              </w:rPr>
            </w:pPr>
          </w:p>
        </w:tc>
        <w:tc>
          <w:tcPr>
            <w:tcW w:w="238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61</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rPr>
                <w:color w:val="auto"/>
                <w:highlight w:val="none"/>
              </w:rPr>
            </w:pPr>
            <w:r>
              <w:rPr>
                <w:rFonts w:ascii="宋体" w:hAnsi="宋体" w:eastAsia="宋体" w:cs="宋体"/>
                <w:b w:val="0"/>
                <w:i w:val="0"/>
                <w:color w:val="auto"/>
                <w:sz w:val="14"/>
                <w:highlight w:val="none"/>
              </w:rPr>
              <w:t xml:space="preserve">  政府性基金预算财政拨款</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30</w:t>
            </w:r>
          </w:p>
        </w:tc>
        <w:tc>
          <w:tcPr>
            <w:tcW w:w="1100" w:type="dxa"/>
            <w:vAlign w:val="center"/>
          </w:tcPr>
          <w:p>
            <w:pPr>
              <w:rPr>
                <w:color w:val="auto"/>
                <w:highlight w:val="none"/>
              </w:rPr>
            </w:pPr>
          </w:p>
        </w:tc>
        <w:tc>
          <w:tcPr>
            <w:tcW w:w="238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62</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rPr>
                <w:color w:val="auto"/>
                <w:highlight w:val="none"/>
              </w:rPr>
            </w:pPr>
            <w:r>
              <w:rPr>
                <w:rFonts w:ascii="宋体" w:hAnsi="宋体" w:eastAsia="宋体" w:cs="宋体"/>
                <w:b w:val="0"/>
                <w:i w:val="0"/>
                <w:color w:val="auto"/>
                <w:sz w:val="14"/>
                <w:highlight w:val="none"/>
              </w:rPr>
              <w:t xml:space="preserve">  国有资本经营预算财政拨款</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31</w:t>
            </w:r>
          </w:p>
        </w:tc>
        <w:tc>
          <w:tcPr>
            <w:tcW w:w="1100" w:type="dxa"/>
            <w:vAlign w:val="center"/>
          </w:tcPr>
          <w:p>
            <w:pPr>
              <w:rPr>
                <w:color w:val="auto"/>
                <w:highlight w:val="none"/>
              </w:rPr>
            </w:pPr>
          </w:p>
        </w:tc>
        <w:tc>
          <w:tcPr>
            <w:tcW w:w="2380" w:type="dxa"/>
            <w:vAlign w:val="center"/>
          </w:tcPr>
          <w:p>
            <w:pPr>
              <w:rPr>
                <w:color w:val="auto"/>
                <w:highlight w:val="none"/>
              </w:rPr>
            </w:pPr>
          </w:p>
        </w:tc>
        <w:tc>
          <w:tcPr>
            <w:tcW w:w="380" w:type="dxa"/>
            <w:vAlign w:val="center"/>
          </w:tcPr>
          <w:p>
            <w:pPr>
              <w:jc w:val="center"/>
              <w:rPr>
                <w:color w:val="auto"/>
                <w:highlight w:val="none"/>
              </w:rPr>
            </w:pPr>
            <w:r>
              <w:rPr>
                <w:rFonts w:ascii="宋体" w:hAnsi="宋体" w:eastAsia="宋体" w:cs="宋体"/>
                <w:b w:val="0"/>
                <w:i w:val="0"/>
                <w:color w:val="auto"/>
                <w:sz w:val="14"/>
                <w:highlight w:val="none"/>
              </w:rPr>
              <w:t>63</w:t>
            </w:r>
          </w:p>
        </w:tc>
        <w:tc>
          <w:tcPr>
            <w:tcW w:w="1100" w:type="dxa"/>
            <w:vAlign w:val="center"/>
          </w:tcPr>
          <w:p>
            <w:pPr>
              <w:rPr>
                <w:color w:val="auto"/>
                <w:highlight w:val="none"/>
              </w:rPr>
            </w:pPr>
          </w:p>
        </w:tc>
        <w:tc>
          <w:tcPr>
            <w:tcW w:w="1100" w:type="dxa"/>
            <w:vAlign w:val="center"/>
          </w:tcPr>
          <w:p>
            <w:pPr>
              <w:rPr>
                <w:color w:val="auto"/>
                <w:highlight w:val="none"/>
              </w:rPr>
            </w:pP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rPr>
                <w:color w:val="auto"/>
                <w:highlight w:val="none"/>
              </w:rPr>
            </w:pPr>
            <w:r>
              <w:rPr>
                <w:rFonts w:ascii="宋体" w:hAnsi="宋体" w:eastAsia="宋体" w:cs="宋体"/>
                <w:b w:val="0"/>
                <w:i w:val="0"/>
                <w:color w:val="auto"/>
                <w:sz w:val="14"/>
                <w:highlight w:val="none"/>
              </w:rPr>
              <w:t>总计</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32</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354.93</w:t>
            </w:r>
          </w:p>
        </w:tc>
        <w:tc>
          <w:tcPr>
            <w:tcW w:w="2380" w:type="dxa"/>
            <w:vAlign w:val="center"/>
          </w:tcPr>
          <w:p>
            <w:pPr>
              <w:jc w:val="center"/>
              <w:rPr>
                <w:color w:val="auto"/>
                <w:highlight w:val="none"/>
              </w:rPr>
            </w:pPr>
            <w:r>
              <w:rPr>
                <w:rFonts w:ascii="宋体" w:hAnsi="宋体" w:eastAsia="宋体" w:cs="宋体"/>
                <w:b w:val="0"/>
                <w:i w:val="0"/>
                <w:color w:val="auto"/>
                <w:sz w:val="14"/>
                <w:highlight w:val="none"/>
              </w:rPr>
              <w:t>总计</w:t>
            </w:r>
          </w:p>
        </w:tc>
        <w:tc>
          <w:tcPr>
            <w:tcW w:w="380" w:type="dxa"/>
            <w:vAlign w:val="center"/>
          </w:tcPr>
          <w:p>
            <w:pPr>
              <w:jc w:val="center"/>
              <w:rPr>
                <w:color w:val="auto"/>
                <w:highlight w:val="none"/>
              </w:rPr>
            </w:pPr>
            <w:r>
              <w:rPr>
                <w:rFonts w:ascii="宋体" w:hAnsi="宋体" w:eastAsia="宋体" w:cs="宋体"/>
                <w:b w:val="0"/>
                <w:i w:val="0"/>
                <w:color w:val="auto"/>
                <w:sz w:val="14"/>
                <w:highlight w:val="none"/>
              </w:rPr>
              <w:t>64</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354.93</w:t>
            </w:r>
          </w:p>
        </w:tc>
        <w:tc>
          <w:tcPr>
            <w:tcW w:w="1100" w:type="dxa"/>
            <w:vAlign w:val="center"/>
          </w:tcPr>
          <w:p>
            <w:pPr>
              <w:jc w:val="right"/>
              <w:rPr>
                <w:color w:val="auto"/>
                <w:highlight w:val="none"/>
              </w:rPr>
            </w:pPr>
            <w:r>
              <w:rPr>
                <w:rFonts w:ascii="宋体" w:hAnsi="宋体" w:eastAsia="宋体" w:cs="宋体"/>
                <w:b w:val="0"/>
                <w:i w:val="0"/>
                <w:color w:val="auto"/>
                <w:sz w:val="14"/>
                <w:highlight w:val="none"/>
              </w:rPr>
              <w:t>354.93</w:t>
            </w:r>
          </w:p>
        </w:tc>
        <w:tc>
          <w:tcPr>
            <w:tcW w:w="110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4"/>
                <w:highlight w:val="none"/>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4"/>
                <w:highlight w:val="none"/>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4"/>
                <w:highlight w:val="none"/>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rPr>
                <w:color w:val="auto"/>
                <w:highlight w:val="none"/>
              </w:rPr>
            </w:pPr>
          </w:p>
        </w:tc>
      </w:tr>
    </w:tbl>
    <w:p>
      <w:pPr>
        <w:snapToGrid w:val="0"/>
        <w:spacing w:before="0" w:after="0" w:line="0" w:lineRule="auto"/>
        <w:rPr>
          <w:color w:val="auto"/>
          <w:highlight w:val="none"/>
        </w:rPr>
        <w:sectPr>
          <w:pgSz w:w="11906" w:h="16838"/>
          <w:pgMar w:top="567" w:right="567" w:bottom="0" w:left="567" w:header="851" w:footer="992" w:gutter="0"/>
          <w:cols w:space="720" w:num="1"/>
          <w:docGrid w:type="lines" w:linePitch="312" w:charSpace="0"/>
        </w:sectPr>
      </w:pPr>
      <w:r>
        <w:rPr>
          <w:color w:val="auto"/>
          <w:sz w:val="8"/>
          <w:highlight w:val="none"/>
        </w:rPr>
        <w:t xml:space="preserve"> </w:t>
      </w:r>
    </w:p>
    <w:p>
      <w:pPr>
        <w:widowControl/>
        <w:spacing w:line="590" w:lineRule="exact"/>
        <w:jc w:val="center"/>
        <w:outlineLvl w:val="1"/>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rPr>
                <w:color w:val="auto"/>
                <w:highlight w:val="none"/>
              </w:rPr>
            </w:pPr>
            <w:r>
              <w:rPr>
                <w:rFonts w:ascii="宋体" w:hAnsi="宋体" w:eastAsia="宋体" w:cs="宋体"/>
                <w:b w:val="0"/>
                <w:i w:val="0"/>
                <w:color w:val="auto"/>
                <w:sz w:val="20"/>
                <w:highlight w:val="none"/>
              </w:rPr>
              <w:t>项目</w:t>
            </w:r>
          </w:p>
        </w:tc>
        <w:tc>
          <w:tcPr>
            <w:tcW w:w="1980" w:type="dxa"/>
            <w:gridSpan w:val="3"/>
            <w:vAlign w:val="center"/>
          </w:tcPr>
          <w:p>
            <w:pPr>
              <w:jc w:val="center"/>
              <w:rPr>
                <w:color w:val="auto"/>
                <w:highlight w:val="none"/>
              </w:rPr>
            </w:pPr>
            <w:r>
              <w:rPr>
                <w:rFonts w:ascii="宋体" w:hAnsi="宋体" w:eastAsia="宋体" w:cs="宋体"/>
                <w:b w:val="0"/>
                <w:i w:val="0"/>
                <w:color w:val="auto"/>
                <w:sz w:val="20"/>
                <w:highlight w:val="none"/>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320" w:type="dxa"/>
            <w:vMerge w:val="restart"/>
            <w:vAlign w:val="center"/>
          </w:tcPr>
          <w:p>
            <w:pPr>
              <w:jc w:val="center"/>
              <w:rPr>
                <w:color w:val="auto"/>
                <w:highlight w:val="none"/>
              </w:rPr>
            </w:pPr>
            <w:r>
              <w:rPr>
                <w:rFonts w:ascii="宋体" w:hAnsi="宋体" w:eastAsia="宋体" w:cs="宋体"/>
                <w:b w:val="0"/>
                <w:i w:val="0"/>
                <w:color w:val="auto"/>
                <w:sz w:val="20"/>
                <w:highlight w:val="none"/>
              </w:rPr>
              <w:t>功能分类科目编码</w:t>
            </w:r>
          </w:p>
        </w:tc>
        <w:tc>
          <w:tcPr>
            <w:tcW w:w="3900" w:type="dxa"/>
            <w:vMerge w:val="restart"/>
            <w:vAlign w:val="center"/>
          </w:tcPr>
          <w:p>
            <w:pPr>
              <w:jc w:val="center"/>
              <w:rPr>
                <w:color w:val="auto"/>
                <w:highlight w:val="none"/>
              </w:rPr>
            </w:pPr>
            <w:r>
              <w:rPr>
                <w:rFonts w:ascii="宋体" w:hAnsi="宋体" w:eastAsia="宋体" w:cs="宋体"/>
                <w:b w:val="0"/>
                <w:i w:val="0"/>
                <w:color w:val="auto"/>
                <w:sz w:val="20"/>
                <w:highlight w:val="none"/>
              </w:rPr>
              <w:t>科目名称</w:t>
            </w:r>
          </w:p>
        </w:tc>
        <w:tc>
          <w:tcPr>
            <w:tcW w:w="1980" w:type="dxa"/>
            <w:vMerge w:val="restart"/>
            <w:vAlign w:val="center"/>
          </w:tcPr>
          <w:p>
            <w:pPr>
              <w:jc w:val="center"/>
              <w:rPr>
                <w:color w:val="auto"/>
                <w:highlight w:val="none"/>
              </w:rPr>
            </w:pPr>
            <w:r>
              <w:rPr>
                <w:rFonts w:ascii="宋体" w:hAnsi="宋体" w:eastAsia="宋体" w:cs="宋体"/>
                <w:b w:val="0"/>
                <w:i w:val="0"/>
                <w:color w:val="auto"/>
                <w:sz w:val="20"/>
                <w:highlight w:val="none"/>
              </w:rPr>
              <w:t>小计</w:t>
            </w:r>
          </w:p>
        </w:tc>
        <w:tc>
          <w:tcPr>
            <w:tcW w:w="1980" w:type="dxa"/>
            <w:vMerge w:val="restart"/>
            <w:vAlign w:val="center"/>
          </w:tcPr>
          <w:p>
            <w:pPr>
              <w:jc w:val="center"/>
              <w:rPr>
                <w:color w:val="auto"/>
                <w:highlight w:val="none"/>
              </w:rPr>
            </w:pPr>
            <w:r>
              <w:rPr>
                <w:rFonts w:ascii="宋体" w:hAnsi="宋体" w:eastAsia="宋体" w:cs="宋体"/>
                <w:b w:val="0"/>
                <w:i w:val="0"/>
                <w:color w:val="auto"/>
                <w:sz w:val="20"/>
                <w:highlight w:val="none"/>
              </w:rPr>
              <w:t>基本支出</w:t>
            </w:r>
          </w:p>
        </w:tc>
        <w:tc>
          <w:tcPr>
            <w:tcW w:w="1952" w:type="dxa"/>
            <w:vMerge w:val="restart"/>
            <w:vAlign w:val="center"/>
          </w:tcPr>
          <w:p>
            <w:pPr>
              <w:jc w:val="center"/>
              <w:rPr>
                <w:color w:val="auto"/>
                <w:highlight w:val="none"/>
              </w:rPr>
            </w:pPr>
            <w:r>
              <w:rPr>
                <w:rFonts w:ascii="宋体" w:hAnsi="宋体" w:eastAsia="宋体" w:cs="宋体"/>
                <w:b w:val="0"/>
                <w:i w:val="0"/>
                <w:color w:val="auto"/>
                <w:sz w:val="20"/>
                <w:highlight w:val="none"/>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pPr>
              <w:rPr>
                <w:color w:val="auto"/>
                <w:highlight w:val="none"/>
              </w:rPr>
            </w:pPr>
          </w:p>
        </w:tc>
        <w:tc>
          <w:tcPr>
            <w:tcW w:w="3900" w:type="dxa"/>
            <w:vMerge w:val="continue"/>
            <w:vAlign w:val="center"/>
          </w:tcPr>
          <w:p>
            <w:pPr>
              <w:rPr>
                <w:color w:val="auto"/>
                <w:highlight w:val="none"/>
              </w:rPr>
            </w:pPr>
          </w:p>
        </w:tc>
        <w:tc>
          <w:tcPr>
            <w:tcW w:w="1980" w:type="dxa"/>
            <w:vMerge w:val="continue"/>
            <w:vAlign w:val="center"/>
          </w:tcPr>
          <w:p>
            <w:pPr>
              <w:rPr>
                <w:color w:val="auto"/>
                <w:highlight w:val="none"/>
              </w:rPr>
            </w:pPr>
          </w:p>
        </w:tc>
        <w:tc>
          <w:tcPr>
            <w:tcW w:w="1980" w:type="dxa"/>
            <w:vMerge w:val="continue"/>
            <w:vAlign w:val="center"/>
          </w:tcPr>
          <w:p>
            <w:pPr>
              <w:rPr>
                <w:color w:val="auto"/>
                <w:highlight w:val="none"/>
              </w:rPr>
            </w:pPr>
          </w:p>
        </w:tc>
        <w:tc>
          <w:tcPr>
            <w:tcW w:w="195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pPr>
              <w:rPr>
                <w:color w:val="auto"/>
                <w:highlight w:val="none"/>
              </w:rPr>
            </w:pPr>
          </w:p>
        </w:tc>
        <w:tc>
          <w:tcPr>
            <w:tcW w:w="3900" w:type="dxa"/>
            <w:vMerge w:val="continue"/>
            <w:vAlign w:val="center"/>
          </w:tcPr>
          <w:p>
            <w:pPr>
              <w:rPr>
                <w:color w:val="auto"/>
                <w:highlight w:val="none"/>
              </w:rPr>
            </w:pPr>
          </w:p>
        </w:tc>
        <w:tc>
          <w:tcPr>
            <w:tcW w:w="1980" w:type="dxa"/>
            <w:vMerge w:val="continue"/>
            <w:vAlign w:val="center"/>
          </w:tcPr>
          <w:p>
            <w:pPr>
              <w:rPr>
                <w:color w:val="auto"/>
                <w:highlight w:val="none"/>
              </w:rPr>
            </w:pPr>
          </w:p>
        </w:tc>
        <w:tc>
          <w:tcPr>
            <w:tcW w:w="1980" w:type="dxa"/>
            <w:vMerge w:val="continue"/>
            <w:vAlign w:val="center"/>
          </w:tcPr>
          <w:p>
            <w:pPr>
              <w:rPr>
                <w:color w:val="auto"/>
                <w:highlight w:val="none"/>
              </w:rPr>
            </w:pPr>
          </w:p>
        </w:tc>
        <w:tc>
          <w:tcPr>
            <w:tcW w:w="195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rPr>
                <w:color w:val="auto"/>
                <w:highlight w:val="none"/>
              </w:rPr>
            </w:pPr>
            <w:r>
              <w:rPr>
                <w:rFonts w:ascii="宋体" w:hAnsi="宋体" w:eastAsia="宋体" w:cs="宋体"/>
                <w:b w:val="0"/>
                <w:i w:val="0"/>
                <w:color w:val="auto"/>
                <w:sz w:val="20"/>
                <w:highlight w:val="none"/>
              </w:rPr>
              <w:t>栏次</w:t>
            </w:r>
          </w:p>
        </w:tc>
        <w:tc>
          <w:tcPr>
            <w:tcW w:w="1980" w:type="dxa"/>
            <w:vAlign w:val="center"/>
          </w:tcPr>
          <w:p>
            <w:pPr>
              <w:jc w:val="center"/>
              <w:rPr>
                <w:color w:val="auto"/>
                <w:highlight w:val="none"/>
              </w:rPr>
            </w:pPr>
            <w:r>
              <w:rPr>
                <w:rFonts w:ascii="宋体" w:hAnsi="宋体" w:eastAsia="宋体" w:cs="宋体"/>
                <w:b w:val="0"/>
                <w:i w:val="0"/>
                <w:color w:val="auto"/>
                <w:sz w:val="20"/>
                <w:highlight w:val="none"/>
              </w:rPr>
              <w:t>1</w:t>
            </w:r>
          </w:p>
        </w:tc>
        <w:tc>
          <w:tcPr>
            <w:tcW w:w="1980" w:type="dxa"/>
            <w:vAlign w:val="center"/>
          </w:tcPr>
          <w:p>
            <w:pPr>
              <w:jc w:val="center"/>
              <w:rPr>
                <w:color w:val="auto"/>
                <w:highlight w:val="none"/>
              </w:rPr>
            </w:pPr>
            <w:r>
              <w:rPr>
                <w:rFonts w:ascii="宋体" w:hAnsi="宋体" w:eastAsia="宋体" w:cs="宋体"/>
                <w:b w:val="0"/>
                <w:i w:val="0"/>
                <w:color w:val="auto"/>
                <w:sz w:val="20"/>
                <w:highlight w:val="none"/>
              </w:rPr>
              <w:t>2</w:t>
            </w:r>
          </w:p>
        </w:tc>
        <w:tc>
          <w:tcPr>
            <w:tcW w:w="1952" w:type="dxa"/>
            <w:vAlign w:val="center"/>
          </w:tcPr>
          <w:p>
            <w:pPr>
              <w:jc w:val="center"/>
              <w:rPr>
                <w:color w:val="auto"/>
                <w:highlight w:val="none"/>
              </w:rPr>
            </w:pPr>
            <w:r>
              <w:rPr>
                <w:rFonts w:ascii="宋体" w:hAnsi="宋体" w:eastAsia="宋体" w:cs="宋体"/>
                <w:b w:val="0"/>
                <w:i w:val="0"/>
                <w:color w:val="auto"/>
                <w:sz w:val="20"/>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rPr>
                <w:color w:val="auto"/>
                <w:highlight w:val="none"/>
              </w:rPr>
            </w:pPr>
            <w:r>
              <w:rPr>
                <w:rFonts w:ascii="宋体" w:hAnsi="宋体" w:eastAsia="宋体" w:cs="宋体"/>
                <w:b w:val="0"/>
                <w:i w:val="0"/>
                <w:color w:val="auto"/>
                <w:sz w:val="20"/>
                <w:highlight w:val="none"/>
              </w:rPr>
              <w:t>合计</w:t>
            </w:r>
          </w:p>
        </w:tc>
        <w:tc>
          <w:tcPr>
            <w:tcW w:w="1980" w:type="dxa"/>
            <w:vAlign w:val="center"/>
          </w:tcPr>
          <w:p>
            <w:pPr>
              <w:jc w:val="right"/>
              <w:rPr>
                <w:color w:val="auto"/>
                <w:highlight w:val="none"/>
              </w:rPr>
            </w:pPr>
            <w:r>
              <w:rPr>
                <w:rFonts w:ascii="宋体" w:hAnsi="宋体" w:eastAsia="宋体" w:cs="宋体"/>
                <w:b/>
                <w:i w:val="0"/>
                <w:color w:val="auto"/>
                <w:sz w:val="20"/>
                <w:highlight w:val="none"/>
              </w:rPr>
              <w:t>354.93</w:t>
            </w:r>
          </w:p>
        </w:tc>
        <w:tc>
          <w:tcPr>
            <w:tcW w:w="1980" w:type="dxa"/>
            <w:vAlign w:val="center"/>
          </w:tcPr>
          <w:p>
            <w:pPr>
              <w:jc w:val="right"/>
              <w:rPr>
                <w:color w:val="auto"/>
                <w:highlight w:val="none"/>
              </w:rPr>
            </w:pPr>
            <w:r>
              <w:rPr>
                <w:rFonts w:ascii="宋体" w:hAnsi="宋体" w:eastAsia="宋体" w:cs="宋体"/>
                <w:b/>
                <w:i w:val="0"/>
                <w:color w:val="auto"/>
                <w:sz w:val="20"/>
                <w:highlight w:val="none"/>
              </w:rPr>
              <w:t>303.43</w:t>
            </w:r>
          </w:p>
        </w:tc>
        <w:tc>
          <w:tcPr>
            <w:tcW w:w="1952" w:type="dxa"/>
            <w:vAlign w:val="center"/>
          </w:tcPr>
          <w:p>
            <w:pPr>
              <w:jc w:val="right"/>
              <w:rPr>
                <w:color w:val="auto"/>
                <w:highlight w:val="none"/>
              </w:rPr>
            </w:pPr>
            <w:r>
              <w:rPr>
                <w:rFonts w:ascii="宋体" w:hAnsi="宋体" w:eastAsia="宋体" w:cs="宋体"/>
                <w:b/>
                <w:i w:val="0"/>
                <w:color w:val="auto"/>
                <w:sz w:val="20"/>
                <w:highlight w:val="none"/>
              </w:rPr>
              <w:t>51.50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201</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一般公共服务支出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278.41</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226.90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51.51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20101</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人大事务</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278.41</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226.90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51.51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2010101</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行政运行</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226.90</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226.90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2010102</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一般行政管理事务</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18.56</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18.56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2010104</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人大会议</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32.95</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32.95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208</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社会保障和就业支出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38.33</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38.33</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20805</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行政事业单位养老支出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38.33</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38.33</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2080501</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行政单位离退休</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3.51</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3.51</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2080505</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机关事业单位基本养老保险缴费支出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28.45</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28.45</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2080506</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机关事业单位职业年金缴费支出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6.37</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6.37</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2080599</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其他行政事业单位养老支出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210</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卫生健康支出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13.80</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13.80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21011</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行政事业单位医疗</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13.80</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13.80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2101101</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行政单位医疗</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10.22</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10.22</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2101103</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公务员医疗补助</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2.88</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2.88</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2101199</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其他行政事业单位医疗支出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0.70</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0.70</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221</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住房保障支出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24.39</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24.39</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22102</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住房改革支出</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24.39</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24.39</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rPr>
                <w:color w:val="auto"/>
                <w:highlight w:val="none"/>
              </w:rPr>
            </w:pPr>
            <w:r>
              <w:rPr>
                <w:rFonts w:ascii="宋体" w:hAnsi="宋体" w:eastAsia="宋体" w:cs="宋体"/>
                <w:b w:val="0"/>
                <w:i w:val="0"/>
                <w:color w:val="auto"/>
                <w:sz w:val="20"/>
                <w:highlight w:val="none"/>
              </w:rPr>
              <w:t>2210201</w:t>
            </w:r>
          </w:p>
        </w:tc>
        <w:tc>
          <w:tcPr>
            <w:tcW w:w="3900" w:type="dxa"/>
            <w:vAlign w:val="center"/>
          </w:tcPr>
          <w:p>
            <w:pPr>
              <w:jc w:val="left"/>
              <w:rPr>
                <w:color w:val="auto"/>
                <w:highlight w:val="none"/>
              </w:rPr>
            </w:pPr>
            <w:r>
              <w:rPr>
                <w:rFonts w:ascii="宋体" w:hAnsi="宋体" w:eastAsia="宋体" w:cs="宋体"/>
                <w:b w:val="0"/>
                <w:i w:val="0"/>
                <w:color w:val="auto"/>
                <w:sz w:val="20"/>
                <w:highlight w:val="none"/>
              </w:rPr>
              <w:t>住房公积金</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24.39</w:t>
            </w:r>
          </w:p>
        </w:tc>
        <w:tc>
          <w:tcPr>
            <w:tcW w:w="1980" w:type="dxa"/>
            <w:vAlign w:val="center"/>
          </w:tcPr>
          <w:p>
            <w:pPr>
              <w:jc w:val="right"/>
              <w:rPr>
                <w:color w:val="auto"/>
                <w:highlight w:val="none"/>
              </w:rPr>
            </w:pPr>
            <w:r>
              <w:rPr>
                <w:rFonts w:ascii="宋体" w:hAnsi="宋体" w:eastAsia="宋体" w:cs="宋体"/>
                <w:b w:val="0"/>
                <w:i w:val="0"/>
                <w:color w:val="auto"/>
                <w:sz w:val="20"/>
                <w:highlight w:val="none"/>
              </w:rPr>
              <w:t>24.39</w:t>
            </w:r>
          </w:p>
        </w:tc>
        <w:tc>
          <w:tcPr>
            <w:tcW w:w="1952"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0"/>
                <w:highlight w:val="none"/>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0"/>
                <w:highlight w:val="none"/>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0"/>
                <w:highlight w:val="none"/>
              </w:rPr>
              <w:t xml:space="preserve">    如本表为空，则我部门本年度无此类资金收支余。</w:t>
            </w:r>
          </w:p>
        </w:tc>
      </w:tr>
    </w:tbl>
    <w:p>
      <w:pPr>
        <w:snapToGrid w:val="0"/>
        <w:spacing w:before="0" w:after="0" w:line="0" w:lineRule="auto"/>
        <w:rPr>
          <w:color w:val="auto"/>
          <w:highlight w:val="none"/>
        </w:rPr>
        <w:sectPr>
          <w:pgSz w:w="11906" w:h="16838"/>
          <w:pgMar w:top="567" w:right="567" w:bottom="567" w:left="567" w:header="851" w:footer="992" w:gutter="0"/>
          <w:cols w:space="720" w:num="1"/>
          <w:docGrid w:type="lines" w:linePitch="312" w:charSpace="0"/>
        </w:sectPr>
      </w:pPr>
      <w:r>
        <w:rPr>
          <w:color w:val="auto"/>
          <w:sz w:val="8"/>
          <w:highlight w:val="none"/>
        </w:rPr>
        <w:t xml:space="preserve"> </w:t>
      </w:r>
    </w:p>
    <w:p>
      <w:pPr>
        <w:spacing w:line="540" w:lineRule="exact"/>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一般公共预算财政拨款基本支出决算表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rPr>
                <w:color w:val="auto"/>
                <w:highlight w:val="none"/>
              </w:rPr>
            </w:pPr>
            <w:r>
              <w:rPr>
                <w:rFonts w:ascii="宋体" w:hAnsi="宋体" w:eastAsia="宋体" w:cs="宋体"/>
                <w:b w:val="0"/>
                <w:i w:val="0"/>
                <w:color w:val="auto"/>
                <w:sz w:val="14"/>
                <w:highlight w:val="none"/>
              </w:rPr>
              <w:t>人员经费</w:t>
            </w:r>
          </w:p>
        </w:tc>
        <w:tc>
          <w:tcPr>
            <w:tcW w:w="540" w:type="dxa"/>
            <w:gridSpan w:val="6"/>
            <w:vAlign w:val="center"/>
          </w:tcPr>
          <w:p>
            <w:pPr>
              <w:jc w:val="center"/>
              <w:rPr>
                <w:color w:val="auto"/>
                <w:highlight w:val="none"/>
              </w:rPr>
            </w:pPr>
            <w:r>
              <w:rPr>
                <w:rFonts w:ascii="宋体" w:hAnsi="宋体" w:eastAsia="宋体" w:cs="宋体"/>
                <w:b w:val="0"/>
                <w:i w:val="0"/>
                <w:color w:val="auto"/>
                <w:sz w:val="14"/>
                <w:highlight w:val="none"/>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rPr>
                <w:color w:val="auto"/>
                <w:highlight w:val="none"/>
              </w:rPr>
            </w:pPr>
            <w:r>
              <w:rPr>
                <w:rFonts w:ascii="宋体" w:hAnsi="宋体" w:eastAsia="宋体" w:cs="宋体"/>
                <w:b w:val="0"/>
                <w:i w:val="0"/>
                <w:color w:val="auto"/>
                <w:sz w:val="14"/>
                <w:highlight w:val="none"/>
              </w:rPr>
              <w:t>科目编码</w:t>
            </w:r>
          </w:p>
        </w:tc>
        <w:tc>
          <w:tcPr>
            <w:tcW w:w="1980" w:type="dxa"/>
            <w:vMerge w:val="restart"/>
            <w:vAlign w:val="center"/>
          </w:tcPr>
          <w:p>
            <w:pPr>
              <w:jc w:val="center"/>
              <w:rPr>
                <w:color w:val="auto"/>
                <w:highlight w:val="none"/>
              </w:rPr>
            </w:pPr>
            <w:r>
              <w:rPr>
                <w:rFonts w:ascii="宋体" w:hAnsi="宋体" w:eastAsia="宋体" w:cs="宋体"/>
                <w:b w:val="0"/>
                <w:i w:val="0"/>
                <w:color w:val="auto"/>
                <w:sz w:val="14"/>
                <w:highlight w:val="none"/>
              </w:rPr>
              <w:t>科目名称</w:t>
            </w:r>
          </w:p>
        </w:tc>
        <w:tc>
          <w:tcPr>
            <w:tcW w:w="1020" w:type="dxa"/>
            <w:vMerge w:val="restart"/>
            <w:vAlign w:val="center"/>
          </w:tcPr>
          <w:p>
            <w:pPr>
              <w:jc w:val="center"/>
              <w:rPr>
                <w:color w:val="auto"/>
                <w:highlight w:val="none"/>
              </w:rPr>
            </w:pPr>
            <w:r>
              <w:rPr>
                <w:rFonts w:ascii="宋体" w:hAnsi="宋体" w:eastAsia="宋体" w:cs="宋体"/>
                <w:b w:val="0"/>
                <w:i w:val="0"/>
                <w:color w:val="auto"/>
                <w:sz w:val="14"/>
                <w:highlight w:val="none"/>
              </w:rPr>
              <w:t>决算数</w:t>
            </w:r>
          </w:p>
        </w:tc>
        <w:tc>
          <w:tcPr>
            <w:tcW w:w="540" w:type="dxa"/>
            <w:vMerge w:val="restart"/>
            <w:vAlign w:val="center"/>
          </w:tcPr>
          <w:p>
            <w:pPr>
              <w:jc w:val="center"/>
              <w:rPr>
                <w:color w:val="auto"/>
                <w:highlight w:val="none"/>
              </w:rPr>
            </w:pPr>
            <w:r>
              <w:rPr>
                <w:rFonts w:ascii="宋体" w:hAnsi="宋体" w:eastAsia="宋体" w:cs="宋体"/>
                <w:b w:val="0"/>
                <w:i w:val="0"/>
                <w:color w:val="auto"/>
                <w:sz w:val="14"/>
                <w:highlight w:val="none"/>
              </w:rPr>
              <w:t>科目编码</w:t>
            </w:r>
          </w:p>
        </w:tc>
        <w:tc>
          <w:tcPr>
            <w:tcW w:w="1560" w:type="dxa"/>
            <w:vMerge w:val="restart"/>
            <w:vAlign w:val="center"/>
          </w:tcPr>
          <w:p>
            <w:pPr>
              <w:jc w:val="center"/>
              <w:rPr>
                <w:color w:val="auto"/>
                <w:highlight w:val="none"/>
              </w:rPr>
            </w:pPr>
            <w:r>
              <w:rPr>
                <w:rFonts w:ascii="宋体" w:hAnsi="宋体" w:eastAsia="宋体" w:cs="宋体"/>
                <w:b w:val="0"/>
                <w:i w:val="0"/>
                <w:color w:val="auto"/>
                <w:sz w:val="14"/>
                <w:highlight w:val="none"/>
              </w:rPr>
              <w:t>科目名称</w:t>
            </w:r>
          </w:p>
        </w:tc>
        <w:tc>
          <w:tcPr>
            <w:tcW w:w="1020" w:type="dxa"/>
            <w:vMerge w:val="restart"/>
            <w:vAlign w:val="center"/>
          </w:tcPr>
          <w:p>
            <w:pPr>
              <w:jc w:val="center"/>
              <w:rPr>
                <w:color w:val="auto"/>
                <w:highlight w:val="none"/>
              </w:rPr>
            </w:pPr>
            <w:r>
              <w:rPr>
                <w:rFonts w:ascii="宋体" w:hAnsi="宋体" w:eastAsia="宋体" w:cs="宋体"/>
                <w:b w:val="0"/>
                <w:i w:val="0"/>
                <w:color w:val="auto"/>
                <w:sz w:val="14"/>
                <w:highlight w:val="none"/>
              </w:rPr>
              <w:t>决算数</w:t>
            </w:r>
          </w:p>
        </w:tc>
        <w:tc>
          <w:tcPr>
            <w:tcW w:w="540" w:type="dxa"/>
            <w:vMerge w:val="restart"/>
            <w:vAlign w:val="center"/>
          </w:tcPr>
          <w:p>
            <w:pPr>
              <w:jc w:val="center"/>
              <w:rPr>
                <w:color w:val="auto"/>
                <w:highlight w:val="none"/>
              </w:rPr>
            </w:pPr>
            <w:r>
              <w:rPr>
                <w:rFonts w:ascii="宋体" w:hAnsi="宋体" w:eastAsia="宋体" w:cs="宋体"/>
                <w:b w:val="0"/>
                <w:i w:val="0"/>
                <w:color w:val="auto"/>
                <w:sz w:val="14"/>
                <w:highlight w:val="none"/>
              </w:rPr>
              <w:t>科目编码</w:t>
            </w:r>
          </w:p>
        </w:tc>
        <w:tc>
          <w:tcPr>
            <w:tcW w:w="2540" w:type="dxa"/>
            <w:vMerge w:val="restart"/>
            <w:vAlign w:val="center"/>
          </w:tcPr>
          <w:p>
            <w:pPr>
              <w:jc w:val="center"/>
              <w:rPr>
                <w:color w:val="auto"/>
                <w:highlight w:val="none"/>
              </w:rPr>
            </w:pPr>
            <w:r>
              <w:rPr>
                <w:rFonts w:ascii="宋体" w:hAnsi="宋体" w:eastAsia="宋体" w:cs="宋体"/>
                <w:b w:val="0"/>
                <w:i w:val="0"/>
                <w:color w:val="auto"/>
                <w:sz w:val="14"/>
                <w:highlight w:val="none"/>
              </w:rPr>
              <w:t>科目名称</w:t>
            </w:r>
          </w:p>
        </w:tc>
        <w:tc>
          <w:tcPr>
            <w:tcW w:w="1032" w:type="dxa"/>
            <w:vMerge w:val="restart"/>
            <w:vAlign w:val="center"/>
          </w:tcPr>
          <w:p>
            <w:pPr>
              <w:jc w:val="center"/>
              <w:rPr>
                <w:color w:val="auto"/>
                <w:highlight w:val="none"/>
              </w:rPr>
            </w:pPr>
            <w:r>
              <w:rPr>
                <w:rFonts w:ascii="宋体" w:hAnsi="宋体" w:eastAsia="宋体" w:cs="宋体"/>
                <w:b w:val="0"/>
                <w:i w:val="0"/>
                <w:color w:val="auto"/>
                <w:sz w:val="14"/>
                <w:highlight w:val="none"/>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pPr>
              <w:rPr>
                <w:color w:val="auto"/>
                <w:highlight w:val="none"/>
              </w:rPr>
            </w:pPr>
          </w:p>
        </w:tc>
        <w:tc>
          <w:tcPr>
            <w:tcW w:w="1980" w:type="dxa"/>
            <w:vMerge w:val="continue"/>
            <w:vAlign w:val="center"/>
          </w:tcPr>
          <w:p>
            <w:pPr>
              <w:rPr>
                <w:color w:val="auto"/>
                <w:highlight w:val="none"/>
              </w:rPr>
            </w:pPr>
          </w:p>
        </w:tc>
        <w:tc>
          <w:tcPr>
            <w:tcW w:w="1020" w:type="dxa"/>
            <w:vMerge w:val="continue"/>
            <w:vAlign w:val="center"/>
          </w:tcPr>
          <w:p>
            <w:pPr>
              <w:rPr>
                <w:color w:val="auto"/>
                <w:highlight w:val="none"/>
              </w:rPr>
            </w:pPr>
          </w:p>
        </w:tc>
        <w:tc>
          <w:tcPr>
            <w:tcW w:w="54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020" w:type="dxa"/>
            <w:vMerge w:val="continue"/>
            <w:vAlign w:val="center"/>
          </w:tcPr>
          <w:p>
            <w:pPr>
              <w:rPr>
                <w:color w:val="auto"/>
                <w:highlight w:val="none"/>
              </w:rPr>
            </w:pPr>
          </w:p>
        </w:tc>
        <w:tc>
          <w:tcPr>
            <w:tcW w:w="540" w:type="dxa"/>
            <w:vMerge w:val="continue"/>
            <w:vAlign w:val="center"/>
          </w:tcPr>
          <w:p>
            <w:pPr>
              <w:rPr>
                <w:color w:val="auto"/>
                <w:highlight w:val="none"/>
              </w:rPr>
            </w:pPr>
          </w:p>
        </w:tc>
        <w:tc>
          <w:tcPr>
            <w:tcW w:w="2540" w:type="dxa"/>
            <w:vMerge w:val="continue"/>
            <w:vAlign w:val="center"/>
          </w:tcPr>
          <w:p>
            <w:pPr>
              <w:rPr>
                <w:color w:val="auto"/>
                <w:highlight w:val="none"/>
              </w:rPr>
            </w:pPr>
          </w:p>
        </w:tc>
        <w:tc>
          <w:tcPr>
            <w:tcW w:w="103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rPr>
                <w:color w:val="auto"/>
                <w:highlight w:val="none"/>
              </w:rPr>
            </w:pPr>
            <w:r>
              <w:rPr>
                <w:rFonts w:ascii="宋体" w:hAnsi="宋体" w:eastAsia="宋体" w:cs="宋体"/>
                <w:b w:val="0"/>
                <w:i w:val="0"/>
                <w:color w:val="auto"/>
                <w:sz w:val="14"/>
                <w:highlight w:val="none"/>
              </w:rPr>
              <w:t>301</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工资福利支出</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269.67</w:t>
            </w:r>
          </w:p>
        </w:tc>
        <w:tc>
          <w:tcPr>
            <w:tcW w:w="540" w:type="dxa"/>
            <w:vAlign w:val="center"/>
          </w:tcPr>
          <w:p>
            <w:pPr>
              <w:jc w:val="left"/>
              <w:rPr>
                <w:color w:val="auto"/>
                <w:highlight w:val="none"/>
              </w:rPr>
            </w:pPr>
            <w:r>
              <w:rPr>
                <w:rFonts w:ascii="宋体" w:hAnsi="宋体" w:eastAsia="宋体" w:cs="宋体"/>
                <w:b w:val="0"/>
                <w:i w:val="0"/>
                <w:color w:val="auto"/>
                <w:sz w:val="14"/>
                <w:highlight w:val="none"/>
              </w:rPr>
              <w:t>302</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商品和服务支出</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28.22</w:t>
            </w:r>
          </w:p>
        </w:tc>
        <w:tc>
          <w:tcPr>
            <w:tcW w:w="540" w:type="dxa"/>
            <w:vAlign w:val="center"/>
          </w:tcPr>
          <w:p>
            <w:pPr>
              <w:jc w:val="left"/>
              <w:rPr>
                <w:color w:val="auto"/>
                <w:highlight w:val="none"/>
              </w:rPr>
            </w:pPr>
            <w:r>
              <w:rPr>
                <w:rFonts w:ascii="宋体" w:hAnsi="宋体" w:eastAsia="宋体" w:cs="宋体"/>
                <w:b w:val="0"/>
                <w:i w:val="0"/>
                <w:color w:val="auto"/>
                <w:sz w:val="14"/>
                <w:highlight w:val="none"/>
              </w:rPr>
              <w:t>307</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债务利息及费用支出</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30101</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基本工资</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93.12</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30201</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办公费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4.30</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30701</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国内债务付息</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30102</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津贴补贴</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59.00</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30202</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印刷费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30702</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国外债务付息</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30103</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奖金</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44.54</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30203</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咨询费</w:t>
            </w:r>
          </w:p>
        </w:tc>
        <w:tc>
          <w:tcPr>
            <w:tcW w:w="1020" w:type="dxa"/>
            <w:vAlign w:val="center"/>
          </w:tcPr>
          <w:p>
            <w:pPr>
              <w:rPr>
                <w:color w:val="auto"/>
                <w:highlight w:val="none"/>
              </w:rPr>
            </w:pPr>
          </w:p>
        </w:tc>
        <w:tc>
          <w:tcPr>
            <w:tcW w:w="540" w:type="dxa"/>
            <w:vAlign w:val="center"/>
          </w:tcPr>
          <w:p>
            <w:pPr>
              <w:jc w:val="left"/>
              <w:rPr>
                <w:color w:val="auto"/>
                <w:highlight w:val="none"/>
              </w:rPr>
            </w:pPr>
            <w:r>
              <w:rPr>
                <w:rFonts w:ascii="宋体" w:hAnsi="宋体" w:eastAsia="宋体" w:cs="宋体"/>
                <w:b w:val="0"/>
                <w:i w:val="0"/>
                <w:color w:val="auto"/>
                <w:sz w:val="14"/>
                <w:highlight w:val="none"/>
              </w:rPr>
              <w:t>310</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资本性支出</w:t>
            </w:r>
          </w:p>
        </w:tc>
        <w:tc>
          <w:tcPr>
            <w:tcW w:w="1032" w:type="dxa"/>
            <w:vAlign w:val="center"/>
          </w:tcPr>
          <w:p>
            <w:pPr>
              <w:jc w:val="right"/>
              <w:rPr>
                <w:color w:val="auto"/>
                <w:highlight w:val="none"/>
              </w:rPr>
            </w:pPr>
            <w:r>
              <w:rPr>
                <w:rFonts w:ascii="宋体" w:hAnsi="宋体" w:eastAsia="宋体" w:cs="宋体"/>
                <w:b w:val="0"/>
                <w:i w:val="0"/>
                <w:color w:val="auto"/>
                <w:sz w:val="14"/>
                <w:highlight w:val="none"/>
              </w:rPr>
              <w:t>1.96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30106</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伙食补助费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30204</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手续费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31001</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房屋建筑物购建</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30107</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绩效工资</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30205</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水费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31002</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办公设备购置</w:t>
            </w:r>
          </w:p>
        </w:tc>
        <w:tc>
          <w:tcPr>
            <w:tcW w:w="1032" w:type="dxa"/>
            <w:vAlign w:val="center"/>
          </w:tcPr>
          <w:p>
            <w:pPr>
              <w:jc w:val="right"/>
              <w:rPr>
                <w:color w:val="auto"/>
                <w:highlight w:val="none"/>
              </w:rPr>
            </w:pPr>
            <w:r>
              <w:rPr>
                <w:rFonts w:ascii="宋体" w:hAnsi="宋体" w:eastAsia="宋体" w:cs="宋体"/>
                <w:b w:val="0"/>
                <w:i w:val="0"/>
                <w:color w:val="auto"/>
                <w:sz w:val="14"/>
                <w:highlight w:val="none"/>
              </w:rPr>
              <w:t>1.96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30108</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机关事业单位基本养老保险缴费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28.45</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30206</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电费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31003</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专用设备购置</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30109</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职业年金缴费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6.37</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30207</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邮电费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0.64</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31005</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基础设施建设</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30110</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职工基本医疗保险缴费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10.22</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30208</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取暖费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31006</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大型修缮</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30111</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公务员医疗补助缴费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2.88</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30209</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物业管理费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31007</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信息网络及软件购置更新</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30112</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其他社会保障缴费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0.70</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30211</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差旅费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31008</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物资储备</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30113</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住房公积金</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24.39</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30212</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因公出国（境）费用</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31009</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土地补偿</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30114</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医疗费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30213</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维修（护）费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31010</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安置补助</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30199</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其他工资福利支出</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30214</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租赁费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31011</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地上附着物和青苗补偿</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rPr>
                <w:color w:val="auto"/>
                <w:highlight w:val="none"/>
              </w:rPr>
            </w:pPr>
            <w:r>
              <w:rPr>
                <w:rFonts w:ascii="宋体" w:hAnsi="宋体" w:eastAsia="宋体" w:cs="宋体"/>
                <w:b w:val="0"/>
                <w:i w:val="0"/>
                <w:color w:val="auto"/>
                <w:sz w:val="14"/>
                <w:highlight w:val="none"/>
              </w:rPr>
              <w:t>303</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对个人和家庭的补助</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3.58</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30215</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会议费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31012</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拆迁补偿</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30301</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离休费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30216</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培训费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31013</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公务用车购置</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30302</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退休费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3.51</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30217</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公务接待费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31019</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其他交通工具购置</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30303</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退职（役）费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30218</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专用材料费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31021</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文物和陈列品购置</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30304</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抚恤金</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30224</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被装购置费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31022</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无形资产购置</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30305</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生活补助</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30225</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专用燃料费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31099</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其他资本性支出</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30306</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救济费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30226</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劳务费</w:t>
            </w:r>
          </w:p>
        </w:tc>
        <w:tc>
          <w:tcPr>
            <w:tcW w:w="1020" w:type="dxa"/>
            <w:vAlign w:val="center"/>
          </w:tcPr>
          <w:p>
            <w:pPr>
              <w:rPr>
                <w:color w:val="auto"/>
                <w:highlight w:val="none"/>
              </w:rPr>
            </w:pPr>
          </w:p>
        </w:tc>
        <w:tc>
          <w:tcPr>
            <w:tcW w:w="540" w:type="dxa"/>
            <w:vAlign w:val="center"/>
          </w:tcPr>
          <w:p>
            <w:pPr>
              <w:jc w:val="left"/>
              <w:rPr>
                <w:color w:val="auto"/>
                <w:highlight w:val="none"/>
              </w:rPr>
            </w:pPr>
            <w:r>
              <w:rPr>
                <w:rFonts w:ascii="宋体" w:hAnsi="宋体" w:eastAsia="宋体" w:cs="宋体"/>
                <w:b w:val="0"/>
                <w:i w:val="0"/>
                <w:color w:val="auto"/>
                <w:sz w:val="14"/>
                <w:highlight w:val="none"/>
              </w:rPr>
              <w:t>312</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对企业补助</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30307</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医疗费补助</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30227</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委托业务费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31201</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资本金注入</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30308</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助学金</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30228</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工会经费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4.78</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31203</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政府投资基金股权投资</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30309</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奖励金</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30229</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福利费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0.20</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31204</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费用补贴</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30310</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个人农业生产补贴</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30231</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公务用车运行维护费</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0.50</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31205</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利息补贴</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30311</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代缴社会保险费</w:t>
            </w: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30239</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其他交通费用</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15.88</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31299</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其他对企业补助</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rPr>
                <w:color w:val="auto"/>
                <w:highlight w:val="none"/>
              </w:rPr>
            </w:pPr>
            <w:r>
              <w:rPr>
                <w:rFonts w:ascii="宋体" w:hAnsi="宋体" w:eastAsia="宋体" w:cs="宋体"/>
                <w:b w:val="0"/>
                <w:i w:val="0"/>
                <w:color w:val="auto"/>
                <w:sz w:val="14"/>
                <w:highlight w:val="none"/>
              </w:rPr>
              <w:t>30399</w:t>
            </w:r>
          </w:p>
        </w:tc>
        <w:tc>
          <w:tcPr>
            <w:tcW w:w="1980" w:type="dxa"/>
            <w:vAlign w:val="center"/>
          </w:tcPr>
          <w:p>
            <w:pPr>
              <w:jc w:val="left"/>
              <w:rPr>
                <w:color w:val="auto"/>
                <w:highlight w:val="none"/>
              </w:rPr>
            </w:pPr>
            <w:r>
              <w:rPr>
                <w:rFonts w:ascii="宋体" w:hAnsi="宋体" w:eastAsia="宋体" w:cs="宋体"/>
                <w:b w:val="0"/>
                <w:i w:val="0"/>
                <w:color w:val="auto"/>
                <w:sz w:val="14"/>
                <w:highlight w:val="none"/>
              </w:rPr>
              <w:t xml:space="preserve">  其他对个人和家庭的补助</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0.07</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30240</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税金及附加费用</w:t>
            </w:r>
          </w:p>
        </w:tc>
        <w:tc>
          <w:tcPr>
            <w:tcW w:w="1020" w:type="dxa"/>
            <w:vAlign w:val="center"/>
          </w:tcPr>
          <w:p>
            <w:pPr>
              <w:rPr>
                <w:color w:val="auto"/>
                <w:highlight w:val="none"/>
              </w:rPr>
            </w:pPr>
          </w:p>
        </w:tc>
        <w:tc>
          <w:tcPr>
            <w:tcW w:w="540" w:type="dxa"/>
            <w:vAlign w:val="center"/>
          </w:tcPr>
          <w:p>
            <w:pPr>
              <w:jc w:val="left"/>
              <w:rPr>
                <w:color w:val="auto"/>
                <w:highlight w:val="none"/>
              </w:rPr>
            </w:pPr>
            <w:r>
              <w:rPr>
                <w:rFonts w:ascii="宋体" w:hAnsi="宋体" w:eastAsia="宋体" w:cs="宋体"/>
                <w:b w:val="0"/>
                <w:i w:val="0"/>
                <w:color w:val="auto"/>
                <w:sz w:val="14"/>
                <w:highlight w:val="none"/>
              </w:rPr>
              <w:t>399</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其他支出</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rPr>
                <w:color w:val="auto"/>
                <w:highlight w:val="none"/>
              </w:rPr>
            </w:pPr>
          </w:p>
        </w:tc>
        <w:tc>
          <w:tcPr>
            <w:tcW w:w="198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30299</w:t>
            </w:r>
          </w:p>
        </w:tc>
        <w:tc>
          <w:tcPr>
            <w:tcW w:w="1560" w:type="dxa"/>
            <w:vAlign w:val="center"/>
          </w:tcPr>
          <w:p>
            <w:pPr>
              <w:jc w:val="left"/>
              <w:rPr>
                <w:color w:val="auto"/>
                <w:highlight w:val="none"/>
              </w:rPr>
            </w:pPr>
            <w:r>
              <w:rPr>
                <w:rFonts w:ascii="宋体" w:hAnsi="宋体" w:eastAsia="宋体" w:cs="宋体"/>
                <w:b w:val="0"/>
                <w:i w:val="0"/>
                <w:color w:val="auto"/>
                <w:sz w:val="14"/>
                <w:highlight w:val="none"/>
              </w:rPr>
              <w:t xml:space="preserve">  其他商品和服务支出</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1.92</w:t>
            </w:r>
          </w:p>
        </w:tc>
        <w:tc>
          <w:tcPr>
            <w:tcW w:w="540" w:type="dxa"/>
            <w:vAlign w:val="center"/>
          </w:tcPr>
          <w:p>
            <w:pPr>
              <w:jc w:val="center"/>
              <w:rPr>
                <w:color w:val="auto"/>
                <w:highlight w:val="none"/>
              </w:rPr>
            </w:pPr>
            <w:r>
              <w:rPr>
                <w:rFonts w:ascii="宋体" w:hAnsi="宋体" w:eastAsia="宋体" w:cs="宋体"/>
                <w:b w:val="0"/>
                <w:i w:val="0"/>
                <w:color w:val="auto"/>
                <w:sz w:val="14"/>
                <w:highlight w:val="none"/>
              </w:rPr>
              <w:t>39907</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国家赔偿费用支出</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rPr>
                <w:color w:val="auto"/>
                <w:highlight w:val="none"/>
              </w:rPr>
            </w:pPr>
          </w:p>
        </w:tc>
        <w:tc>
          <w:tcPr>
            <w:tcW w:w="198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rPr>
                <w:color w:val="auto"/>
                <w:highlight w:val="none"/>
              </w:rPr>
            </w:pPr>
          </w:p>
        </w:tc>
        <w:tc>
          <w:tcPr>
            <w:tcW w:w="156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39908</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对民间非营利组织和群众性自治组织补贴</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rPr>
                <w:color w:val="auto"/>
                <w:highlight w:val="none"/>
              </w:rPr>
            </w:pPr>
          </w:p>
        </w:tc>
        <w:tc>
          <w:tcPr>
            <w:tcW w:w="198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rPr>
                <w:color w:val="auto"/>
                <w:highlight w:val="none"/>
              </w:rPr>
            </w:pPr>
          </w:p>
        </w:tc>
        <w:tc>
          <w:tcPr>
            <w:tcW w:w="156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39909</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经常性赠与</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rPr>
                <w:color w:val="auto"/>
                <w:highlight w:val="none"/>
              </w:rPr>
            </w:pPr>
          </w:p>
        </w:tc>
        <w:tc>
          <w:tcPr>
            <w:tcW w:w="198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rPr>
                <w:color w:val="auto"/>
                <w:highlight w:val="none"/>
              </w:rPr>
            </w:pPr>
          </w:p>
        </w:tc>
        <w:tc>
          <w:tcPr>
            <w:tcW w:w="156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39910</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资本性赠与</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rPr>
                <w:color w:val="auto"/>
                <w:highlight w:val="none"/>
              </w:rPr>
            </w:pPr>
          </w:p>
        </w:tc>
        <w:tc>
          <w:tcPr>
            <w:tcW w:w="198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rPr>
                <w:color w:val="auto"/>
                <w:highlight w:val="none"/>
              </w:rPr>
            </w:pPr>
          </w:p>
        </w:tc>
        <w:tc>
          <w:tcPr>
            <w:tcW w:w="1560" w:type="dxa"/>
            <w:vAlign w:val="center"/>
          </w:tcPr>
          <w:p>
            <w:pPr>
              <w:rPr>
                <w:color w:val="auto"/>
                <w:highlight w:val="none"/>
              </w:rPr>
            </w:pPr>
          </w:p>
        </w:tc>
        <w:tc>
          <w:tcPr>
            <w:tcW w:w="1020" w:type="dxa"/>
            <w:vAlign w:val="center"/>
          </w:tcPr>
          <w:p>
            <w:pPr>
              <w:rPr>
                <w:color w:val="auto"/>
                <w:highlight w:val="none"/>
              </w:rPr>
            </w:pPr>
          </w:p>
        </w:tc>
        <w:tc>
          <w:tcPr>
            <w:tcW w:w="540" w:type="dxa"/>
            <w:vAlign w:val="center"/>
          </w:tcPr>
          <w:p>
            <w:pPr>
              <w:jc w:val="center"/>
              <w:rPr>
                <w:color w:val="auto"/>
                <w:highlight w:val="none"/>
              </w:rPr>
            </w:pPr>
            <w:r>
              <w:rPr>
                <w:rFonts w:ascii="宋体" w:hAnsi="宋体" w:eastAsia="宋体" w:cs="宋体"/>
                <w:b w:val="0"/>
                <w:i w:val="0"/>
                <w:color w:val="auto"/>
                <w:sz w:val="14"/>
                <w:highlight w:val="none"/>
              </w:rPr>
              <w:t>39999</w:t>
            </w:r>
          </w:p>
        </w:tc>
        <w:tc>
          <w:tcPr>
            <w:tcW w:w="2540" w:type="dxa"/>
            <w:vAlign w:val="center"/>
          </w:tcPr>
          <w:p>
            <w:pPr>
              <w:jc w:val="left"/>
              <w:rPr>
                <w:color w:val="auto"/>
                <w:highlight w:val="none"/>
              </w:rPr>
            </w:pPr>
            <w:r>
              <w:rPr>
                <w:rFonts w:ascii="宋体" w:hAnsi="宋体" w:eastAsia="宋体" w:cs="宋体"/>
                <w:b w:val="0"/>
                <w:i w:val="0"/>
                <w:color w:val="auto"/>
                <w:sz w:val="14"/>
                <w:highlight w:val="none"/>
              </w:rPr>
              <w:t xml:space="preserve">  其他支出</w:t>
            </w:r>
          </w:p>
        </w:tc>
        <w:tc>
          <w:tcPr>
            <w:tcW w:w="103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rPr>
                <w:color w:val="auto"/>
                <w:highlight w:val="none"/>
              </w:rPr>
            </w:pPr>
            <w:r>
              <w:rPr>
                <w:rFonts w:ascii="宋体" w:hAnsi="宋体" w:eastAsia="宋体" w:cs="宋体"/>
                <w:b w:val="0"/>
                <w:i w:val="0"/>
                <w:color w:val="auto"/>
                <w:sz w:val="14"/>
                <w:highlight w:val="none"/>
              </w:rPr>
              <w:t>人员经费合计</w:t>
            </w:r>
          </w:p>
        </w:tc>
        <w:tc>
          <w:tcPr>
            <w:tcW w:w="1020" w:type="dxa"/>
            <w:vAlign w:val="center"/>
          </w:tcPr>
          <w:p>
            <w:pPr>
              <w:jc w:val="right"/>
              <w:rPr>
                <w:color w:val="auto"/>
                <w:highlight w:val="none"/>
              </w:rPr>
            </w:pPr>
            <w:r>
              <w:rPr>
                <w:rFonts w:ascii="宋体" w:hAnsi="宋体" w:eastAsia="宋体" w:cs="宋体"/>
                <w:b w:val="0"/>
                <w:i w:val="0"/>
                <w:color w:val="auto"/>
                <w:sz w:val="14"/>
                <w:highlight w:val="none"/>
              </w:rPr>
              <w:t>273.25</w:t>
            </w:r>
          </w:p>
        </w:tc>
        <w:tc>
          <w:tcPr>
            <w:tcW w:w="540" w:type="dxa"/>
            <w:gridSpan w:val="5"/>
            <w:vAlign w:val="center"/>
          </w:tcPr>
          <w:p>
            <w:pPr>
              <w:jc w:val="center"/>
              <w:rPr>
                <w:color w:val="auto"/>
                <w:highlight w:val="none"/>
              </w:rPr>
            </w:pPr>
            <w:r>
              <w:rPr>
                <w:rFonts w:ascii="宋体" w:hAnsi="宋体" w:eastAsia="宋体" w:cs="宋体"/>
                <w:b w:val="0"/>
                <w:i w:val="0"/>
                <w:color w:val="auto"/>
                <w:sz w:val="14"/>
                <w:highlight w:val="none"/>
              </w:rPr>
              <w:t>公用经费合计</w:t>
            </w:r>
          </w:p>
        </w:tc>
        <w:tc>
          <w:tcPr>
            <w:tcW w:w="1032" w:type="dxa"/>
            <w:vAlign w:val="center"/>
          </w:tcPr>
          <w:p>
            <w:pPr>
              <w:jc w:val="right"/>
              <w:rPr>
                <w:color w:val="auto"/>
                <w:highlight w:val="none"/>
              </w:rPr>
            </w:pPr>
            <w:r>
              <w:rPr>
                <w:rFonts w:ascii="宋体" w:hAnsi="宋体" w:eastAsia="宋体" w:cs="宋体"/>
                <w:b w:val="0"/>
                <w:i w:val="0"/>
                <w:color w:val="auto"/>
                <w:sz w:val="14"/>
                <w:highlight w:val="none"/>
              </w:rPr>
              <w:t>30.18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2"/>
                <w:highlight w:val="none"/>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2"/>
                <w:highlight w:val="none"/>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2"/>
                <w:highlight w:val="none"/>
              </w:rPr>
              <w:t xml:space="preserve">    如本表为空，则我部门本年度无此类资金收支余。</w:t>
            </w:r>
          </w:p>
        </w:tc>
      </w:tr>
    </w:tbl>
    <w:p>
      <w:pPr>
        <w:snapToGrid w:val="0"/>
        <w:spacing w:before="0" w:after="0" w:line="0" w:lineRule="auto"/>
        <w:rPr>
          <w:color w:val="auto"/>
          <w:highlight w:val="none"/>
        </w:rPr>
        <w:sectPr>
          <w:pgSz w:w="11906" w:h="16838"/>
          <w:pgMar w:top="567" w:right="567" w:bottom="567" w:left="567" w:header="851" w:footer="992" w:gutter="0"/>
          <w:cols w:space="720" w:num="1"/>
          <w:docGrid w:type="lines" w:linePitch="312" w:charSpace="0"/>
        </w:sectPr>
      </w:pPr>
      <w:r>
        <w:rPr>
          <w:color w:val="auto"/>
          <w:sz w:val="8"/>
          <w:highlight w:val="none"/>
        </w:rPr>
        <w:t xml:space="preserve"> </w:t>
      </w:r>
    </w:p>
    <w:p>
      <w:pPr>
        <w:spacing w:line="540" w:lineRule="exact"/>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rPr>
                <w:color w:val="auto"/>
                <w:highlight w:val="none"/>
              </w:rPr>
            </w:pPr>
            <w:r>
              <w:rPr>
                <w:rFonts w:ascii="宋体" w:hAnsi="宋体" w:eastAsia="宋体" w:cs="宋体"/>
                <w:b w:val="0"/>
                <w:i w:val="0"/>
                <w:color w:val="auto"/>
                <w:sz w:val="23"/>
                <w:highlight w:val="none"/>
              </w:rPr>
              <w:t>项    目</w:t>
            </w:r>
          </w:p>
        </w:tc>
        <w:tc>
          <w:tcPr>
            <w:tcW w:w="3100" w:type="dxa"/>
            <w:vAlign w:val="center"/>
          </w:tcPr>
          <w:p>
            <w:pPr>
              <w:jc w:val="center"/>
              <w:rPr>
                <w:color w:val="auto"/>
                <w:highlight w:val="none"/>
              </w:rPr>
            </w:pPr>
            <w:r>
              <w:rPr>
                <w:rFonts w:ascii="宋体" w:hAnsi="宋体" w:eastAsia="宋体" w:cs="宋体"/>
                <w:b w:val="0"/>
                <w:i w:val="0"/>
                <w:color w:val="auto"/>
                <w:sz w:val="23"/>
                <w:highlight w:val="none"/>
              </w:rPr>
              <w:t>预算数</w:t>
            </w:r>
          </w:p>
        </w:tc>
        <w:tc>
          <w:tcPr>
            <w:tcW w:w="3092" w:type="dxa"/>
            <w:vAlign w:val="center"/>
          </w:tcPr>
          <w:p>
            <w:pPr>
              <w:jc w:val="center"/>
              <w:rPr>
                <w:color w:val="auto"/>
                <w:highlight w:val="none"/>
              </w:rPr>
            </w:pPr>
            <w:r>
              <w:rPr>
                <w:rFonts w:ascii="宋体" w:hAnsi="宋体" w:eastAsia="宋体" w:cs="宋体"/>
                <w:b w:val="0"/>
                <w:i w:val="0"/>
                <w:color w:val="auto"/>
                <w:sz w:val="23"/>
                <w:highlight w:val="none"/>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rPr>
                <w:color w:val="auto"/>
                <w:highlight w:val="none"/>
              </w:rPr>
            </w:pPr>
            <w:r>
              <w:rPr>
                <w:rFonts w:ascii="宋体" w:hAnsi="宋体" w:eastAsia="宋体" w:cs="宋体"/>
                <w:b w:val="0"/>
                <w:i w:val="0"/>
                <w:color w:val="auto"/>
                <w:sz w:val="23"/>
                <w:highlight w:val="none"/>
              </w:rPr>
              <w:t>合    计</w:t>
            </w:r>
          </w:p>
        </w:tc>
        <w:tc>
          <w:tcPr>
            <w:tcW w:w="3100" w:type="dxa"/>
            <w:vAlign w:val="center"/>
          </w:tcPr>
          <w:p>
            <w:pPr>
              <w:jc w:val="right"/>
              <w:rPr>
                <w:rFonts w:hint="default" w:eastAsia="宋体"/>
                <w:color w:val="auto"/>
                <w:highlight w:val="none"/>
                <w:lang w:val="en-US" w:eastAsia="zh-CN"/>
              </w:rPr>
            </w:pPr>
            <w:r>
              <w:rPr>
                <w:rFonts w:hint="eastAsia"/>
                <w:color w:val="auto"/>
                <w:highlight w:val="none"/>
                <w:lang w:val="en-US" w:eastAsia="zh-CN"/>
              </w:rPr>
              <w:t>7.00</w:t>
            </w:r>
          </w:p>
        </w:tc>
        <w:tc>
          <w:tcPr>
            <w:tcW w:w="3092" w:type="dxa"/>
            <w:vAlign w:val="center"/>
          </w:tcPr>
          <w:p>
            <w:pPr>
              <w:jc w:val="right"/>
              <w:rPr>
                <w:color w:val="auto"/>
                <w:highlight w:val="none"/>
              </w:rPr>
            </w:pPr>
            <w:r>
              <w:rPr>
                <w:rFonts w:ascii="宋体" w:hAnsi="宋体" w:eastAsia="宋体" w:cs="宋体"/>
                <w:b w:val="0"/>
                <w:i w:val="0"/>
                <w:color w:val="auto"/>
                <w:sz w:val="23"/>
                <w:highlight w:val="none"/>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rPr>
                <w:color w:val="auto"/>
                <w:highlight w:val="none"/>
              </w:rPr>
            </w:pPr>
            <w:r>
              <w:rPr>
                <w:rFonts w:ascii="宋体" w:hAnsi="宋体" w:eastAsia="宋体" w:cs="宋体"/>
                <w:b w:val="0"/>
                <w:i w:val="0"/>
                <w:color w:val="auto"/>
                <w:sz w:val="23"/>
                <w:highlight w:val="none"/>
              </w:rPr>
              <w:t>1、因公出国（境）费</w:t>
            </w:r>
          </w:p>
        </w:tc>
        <w:tc>
          <w:tcPr>
            <w:tcW w:w="3100" w:type="dxa"/>
            <w:vAlign w:val="center"/>
          </w:tcPr>
          <w:p>
            <w:pPr>
              <w:jc w:val="right"/>
              <w:rPr>
                <w:color w:val="auto"/>
                <w:highlight w:val="none"/>
              </w:rPr>
            </w:pPr>
          </w:p>
        </w:tc>
        <w:tc>
          <w:tcPr>
            <w:tcW w:w="3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rPr>
                <w:color w:val="auto"/>
                <w:highlight w:val="none"/>
              </w:rPr>
            </w:pPr>
            <w:r>
              <w:rPr>
                <w:rFonts w:ascii="宋体" w:hAnsi="宋体" w:eastAsia="宋体" w:cs="宋体"/>
                <w:b w:val="0"/>
                <w:i w:val="0"/>
                <w:color w:val="auto"/>
                <w:sz w:val="23"/>
                <w:highlight w:val="none"/>
              </w:rPr>
              <w:t>2、公务接待费</w:t>
            </w:r>
          </w:p>
        </w:tc>
        <w:tc>
          <w:tcPr>
            <w:tcW w:w="3100" w:type="dxa"/>
            <w:vAlign w:val="center"/>
          </w:tcPr>
          <w:p>
            <w:pPr>
              <w:jc w:val="right"/>
              <w:rPr>
                <w:rFonts w:hint="default" w:eastAsia="宋体"/>
                <w:color w:val="auto"/>
                <w:highlight w:val="none"/>
                <w:lang w:val="en-US" w:eastAsia="zh-CN"/>
              </w:rPr>
            </w:pPr>
            <w:r>
              <w:rPr>
                <w:rFonts w:hint="eastAsia"/>
                <w:color w:val="auto"/>
                <w:highlight w:val="none"/>
                <w:lang w:val="en-US" w:eastAsia="zh-CN"/>
              </w:rPr>
              <w:t>3.00</w:t>
            </w:r>
          </w:p>
        </w:tc>
        <w:tc>
          <w:tcPr>
            <w:tcW w:w="3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rPr>
                <w:color w:val="auto"/>
                <w:highlight w:val="none"/>
              </w:rPr>
            </w:pPr>
            <w:r>
              <w:rPr>
                <w:rFonts w:ascii="宋体" w:hAnsi="宋体" w:eastAsia="宋体" w:cs="宋体"/>
                <w:b w:val="0"/>
                <w:i w:val="0"/>
                <w:color w:val="auto"/>
                <w:sz w:val="23"/>
                <w:highlight w:val="none"/>
              </w:rPr>
              <w:t>3、公务用车购置及运行费</w:t>
            </w:r>
          </w:p>
        </w:tc>
        <w:tc>
          <w:tcPr>
            <w:tcW w:w="3100" w:type="dxa"/>
            <w:vAlign w:val="center"/>
          </w:tcPr>
          <w:p>
            <w:pPr>
              <w:jc w:val="right"/>
              <w:rPr>
                <w:rFonts w:hint="default" w:eastAsia="宋体"/>
                <w:color w:val="auto"/>
                <w:highlight w:val="none"/>
                <w:lang w:val="en-US" w:eastAsia="zh-CN"/>
              </w:rPr>
            </w:pPr>
            <w:r>
              <w:rPr>
                <w:rFonts w:hint="eastAsia"/>
                <w:color w:val="auto"/>
                <w:highlight w:val="none"/>
                <w:lang w:val="en-US" w:eastAsia="zh-CN"/>
              </w:rPr>
              <w:t>4.00</w:t>
            </w:r>
          </w:p>
        </w:tc>
        <w:tc>
          <w:tcPr>
            <w:tcW w:w="3092" w:type="dxa"/>
            <w:vAlign w:val="center"/>
          </w:tcPr>
          <w:p>
            <w:pPr>
              <w:jc w:val="right"/>
              <w:rPr>
                <w:color w:val="auto"/>
                <w:highlight w:val="none"/>
              </w:rPr>
            </w:pPr>
            <w:r>
              <w:rPr>
                <w:rFonts w:ascii="宋体" w:hAnsi="宋体" w:eastAsia="宋体" w:cs="宋体"/>
                <w:b w:val="0"/>
                <w:i w:val="0"/>
                <w:color w:val="auto"/>
                <w:sz w:val="23"/>
                <w:highlight w:val="none"/>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rPr>
                <w:color w:val="auto"/>
                <w:highlight w:val="none"/>
              </w:rPr>
            </w:pPr>
            <w:r>
              <w:rPr>
                <w:rFonts w:ascii="宋体" w:hAnsi="宋体" w:eastAsia="宋体" w:cs="宋体"/>
                <w:b w:val="0"/>
                <w:i w:val="0"/>
                <w:color w:val="auto"/>
                <w:sz w:val="23"/>
                <w:highlight w:val="none"/>
              </w:rPr>
              <w:t>其中:（1）公务用车运行维护费</w:t>
            </w:r>
          </w:p>
        </w:tc>
        <w:tc>
          <w:tcPr>
            <w:tcW w:w="3100" w:type="dxa"/>
            <w:vAlign w:val="center"/>
          </w:tcPr>
          <w:p>
            <w:pPr>
              <w:jc w:val="right"/>
              <w:rPr>
                <w:rFonts w:hint="default" w:eastAsia="宋体"/>
                <w:color w:val="auto"/>
                <w:highlight w:val="none"/>
                <w:lang w:val="en-US" w:eastAsia="zh-CN"/>
              </w:rPr>
            </w:pPr>
            <w:r>
              <w:rPr>
                <w:rFonts w:hint="eastAsia"/>
                <w:color w:val="auto"/>
                <w:highlight w:val="none"/>
                <w:lang w:val="en-US" w:eastAsia="zh-CN"/>
              </w:rPr>
              <w:t>4.00</w:t>
            </w:r>
          </w:p>
        </w:tc>
        <w:tc>
          <w:tcPr>
            <w:tcW w:w="3092" w:type="dxa"/>
            <w:vAlign w:val="center"/>
          </w:tcPr>
          <w:p>
            <w:pPr>
              <w:jc w:val="right"/>
              <w:rPr>
                <w:color w:val="auto"/>
                <w:highlight w:val="none"/>
              </w:rPr>
            </w:pPr>
            <w:r>
              <w:rPr>
                <w:rFonts w:ascii="宋体" w:hAnsi="宋体" w:eastAsia="宋体" w:cs="宋体"/>
                <w:b w:val="0"/>
                <w:i w:val="0"/>
                <w:color w:val="auto"/>
                <w:sz w:val="23"/>
                <w:highlight w:val="none"/>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rPr>
                <w:color w:val="auto"/>
                <w:highlight w:val="none"/>
              </w:rPr>
            </w:pPr>
            <w:r>
              <w:rPr>
                <w:rFonts w:ascii="宋体" w:hAnsi="宋体" w:eastAsia="宋体" w:cs="宋体"/>
                <w:b w:val="0"/>
                <w:i w:val="0"/>
                <w:color w:val="auto"/>
                <w:sz w:val="23"/>
                <w:highlight w:val="none"/>
              </w:rPr>
              <w:t xml:space="preserve">     （2）公务用车购置费</w:t>
            </w:r>
          </w:p>
        </w:tc>
        <w:tc>
          <w:tcPr>
            <w:tcW w:w="3100" w:type="dxa"/>
            <w:vAlign w:val="center"/>
          </w:tcPr>
          <w:p>
            <w:pPr>
              <w:rPr>
                <w:color w:val="auto"/>
                <w:highlight w:val="none"/>
              </w:rPr>
            </w:pPr>
          </w:p>
        </w:tc>
        <w:tc>
          <w:tcPr>
            <w:tcW w:w="30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3"/>
                <w:highlight w:val="none"/>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3"/>
                <w:highlight w:val="none"/>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3"/>
                <w:highlight w:val="none"/>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3"/>
                <w:highlight w:val="none"/>
              </w:rPr>
              <w:t xml:space="preserve">    如本表为空，则我部门本年度无此类资金收支余。</w:t>
            </w:r>
          </w:p>
        </w:tc>
      </w:tr>
    </w:tbl>
    <w:p>
      <w:pPr>
        <w:snapToGrid w:val="0"/>
        <w:spacing w:before="0" w:after="0" w:line="0" w:lineRule="auto"/>
        <w:rPr>
          <w:color w:val="auto"/>
          <w:highlight w:val="none"/>
        </w:rPr>
        <w:sectPr>
          <w:pgSz w:w="11906" w:h="16838"/>
          <w:pgMar w:top="567" w:right="567" w:bottom="567" w:left="567" w:header="851" w:footer="992" w:gutter="0"/>
          <w:cols w:space="720" w:num="1"/>
          <w:docGrid w:type="lines" w:linePitch="312" w:charSpace="0"/>
        </w:sectPr>
      </w:pPr>
      <w:r>
        <w:rPr>
          <w:color w:val="auto"/>
          <w:sz w:val="8"/>
          <w:highlight w:val="none"/>
        </w:rPr>
        <w:t xml:space="preserve"> </w:t>
      </w:r>
    </w:p>
    <w:p>
      <w:pPr>
        <w:widowControl/>
        <w:spacing w:line="590" w:lineRule="exact"/>
        <w:jc w:val="center"/>
        <w:outlineLvl w:val="1"/>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rPr>
                <w:color w:val="auto"/>
                <w:highlight w:val="none"/>
              </w:rPr>
            </w:pPr>
            <w:r>
              <w:rPr>
                <w:rFonts w:ascii="宋体" w:hAnsi="宋体" w:eastAsia="宋体" w:cs="宋体"/>
                <w:b w:val="0"/>
                <w:i w:val="0"/>
                <w:color w:val="auto"/>
                <w:sz w:val="16"/>
                <w:highlight w:val="none"/>
              </w:rPr>
              <w:t>项目</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年初结转和结余</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本年收入</w:t>
            </w:r>
          </w:p>
        </w:tc>
        <w:tc>
          <w:tcPr>
            <w:tcW w:w="1120" w:type="dxa"/>
            <w:gridSpan w:val="3"/>
            <w:vAlign w:val="center"/>
          </w:tcPr>
          <w:p>
            <w:pPr>
              <w:jc w:val="center"/>
              <w:rPr>
                <w:color w:val="auto"/>
                <w:highlight w:val="none"/>
              </w:rPr>
            </w:pPr>
            <w:r>
              <w:rPr>
                <w:rFonts w:ascii="宋体" w:hAnsi="宋体" w:eastAsia="宋体" w:cs="宋体"/>
                <w:b w:val="0"/>
                <w:i w:val="0"/>
                <w:color w:val="auto"/>
                <w:sz w:val="16"/>
                <w:highlight w:val="none"/>
              </w:rPr>
              <w:t>本年支出</w:t>
            </w:r>
          </w:p>
        </w:tc>
        <w:tc>
          <w:tcPr>
            <w:tcW w:w="1112" w:type="dxa"/>
            <w:vMerge w:val="restart"/>
            <w:vAlign w:val="center"/>
          </w:tcPr>
          <w:p>
            <w:pPr>
              <w:jc w:val="center"/>
              <w:rPr>
                <w:color w:val="auto"/>
                <w:highlight w:val="none"/>
              </w:rPr>
            </w:pPr>
            <w:r>
              <w:rPr>
                <w:rFonts w:ascii="宋体" w:hAnsi="宋体" w:eastAsia="宋体" w:cs="宋体"/>
                <w:b w:val="0"/>
                <w:i w:val="0"/>
                <w:color w:val="auto"/>
                <w:sz w:val="16"/>
                <w:highlight w:val="none"/>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rPr>
                <w:color w:val="auto"/>
                <w:highlight w:val="none"/>
              </w:rPr>
            </w:pPr>
            <w:r>
              <w:rPr>
                <w:rFonts w:ascii="宋体" w:hAnsi="宋体" w:eastAsia="宋体" w:cs="宋体"/>
                <w:b w:val="0"/>
                <w:i w:val="0"/>
                <w:color w:val="auto"/>
                <w:sz w:val="16"/>
                <w:highlight w:val="none"/>
              </w:rPr>
              <w:t>功能分类科目编码</w:t>
            </w:r>
          </w:p>
        </w:tc>
        <w:tc>
          <w:tcPr>
            <w:tcW w:w="3340" w:type="dxa"/>
            <w:vMerge w:val="restart"/>
            <w:vAlign w:val="center"/>
          </w:tcPr>
          <w:p>
            <w:pPr>
              <w:jc w:val="center"/>
              <w:rPr>
                <w:color w:val="auto"/>
                <w:highlight w:val="none"/>
              </w:rPr>
            </w:pPr>
            <w:r>
              <w:rPr>
                <w:rFonts w:ascii="宋体" w:hAnsi="宋体" w:eastAsia="宋体" w:cs="宋体"/>
                <w:b w:val="0"/>
                <w:i w:val="0"/>
                <w:color w:val="auto"/>
                <w:sz w:val="16"/>
                <w:highlight w:val="none"/>
              </w:rPr>
              <w:t>科目名称</w:t>
            </w: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小计</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基本支出</w:t>
            </w:r>
          </w:p>
        </w:tc>
        <w:tc>
          <w:tcPr>
            <w:tcW w:w="1120" w:type="dxa"/>
            <w:vMerge w:val="restart"/>
            <w:vAlign w:val="center"/>
          </w:tcPr>
          <w:p>
            <w:pPr>
              <w:jc w:val="center"/>
              <w:rPr>
                <w:color w:val="auto"/>
                <w:highlight w:val="none"/>
              </w:rPr>
            </w:pPr>
            <w:r>
              <w:rPr>
                <w:rFonts w:ascii="宋体" w:hAnsi="宋体" w:eastAsia="宋体" w:cs="宋体"/>
                <w:b w:val="0"/>
                <w:i w:val="0"/>
                <w:color w:val="auto"/>
                <w:sz w:val="16"/>
                <w:highlight w:val="none"/>
              </w:rPr>
              <w:t>项目支出</w:t>
            </w:r>
          </w:p>
        </w:tc>
        <w:tc>
          <w:tcPr>
            <w:tcW w:w="111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pPr>
              <w:rPr>
                <w:color w:val="auto"/>
                <w:highlight w:val="none"/>
              </w:rPr>
            </w:pPr>
          </w:p>
        </w:tc>
        <w:tc>
          <w:tcPr>
            <w:tcW w:w="334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1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pPr>
              <w:rPr>
                <w:color w:val="auto"/>
                <w:highlight w:val="none"/>
              </w:rPr>
            </w:pPr>
          </w:p>
        </w:tc>
        <w:tc>
          <w:tcPr>
            <w:tcW w:w="334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20" w:type="dxa"/>
            <w:vMerge w:val="continue"/>
            <w:vAlign w:val="center"/>
          </w:tcPr>
          <w:p>
            <w:pPr>
              <w:rPr>
                <w:color w:val="auto"/>
                <w:highlight w:val="none"/>
              </w:rPr>
            </w:pPr>
          </w:p>
        </w:tc>
        <w:tc>
          <w:tcPr>
            <w:tcW w:w="111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rPr>
                <w:color w:val="auto"/>
                <w:highlight w:val="none"/>
              </w:rPr>
            </w:pPr>
            <w:r>
              <w:rPr>
                <w:rFonts w:ascii="宋体" w:hAnsi="宋体" w:eastAsia="宋体" w:cs="宋体"/>
                <w:b w:val="0"/>
                <w:i w:val="0"/>
                <w:color w:val="auto"/>
                <w:sz w:val="16"/>
                <w:highlight w:val="none"/>
              </w:rPr>
              <w:t>栏次</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1</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2</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3</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4</w:t>
            </w:r>
          </w:p>
        </w:tc>
        <w:tc>
          <w:tcPr>
            <w:tcW w:w="1120" w:type="dxa"/>
            <w:vAlign w:val="center"/>
          </w:tcPr>
          <w:p>
            <w:pPr>
              <w:jc w:val="center"/>
              <w:rPr>
                <w:color w:val="auto"/>
                <w:highlight w:val="none"/>
              </w:rPr>
            </w:pPr>
            <w:r>
              <w:rPr>
                <w:rFonts w:ascii="宋体" w:hAnsi="宋体" w:eastAsia="宋体" w:cs="宋体"/>
                <w:b w:val="0"/>
                <w:i w:val="0"/>
                <w:color w:val="auto"/>
                <w:sz w:val="16"/>
                <w:highlight w:val="none"/>
              </w:rPr>
              <w:t>5</w:t>
            </w:r>
          </w:p>
        </w:tc>
        <w:tc>
          <w:tcPr>
            <w:tcW w:w="1112" w:type="dxa"/>
            <w:vAlign w:val="center"/>
          </w:tcPr>
          <w:p>
            <w:pPr>
              <w:jc w:val="center"/>
              <w:rPr>
                <w:color w:val="auto"/>
                <w:highlight w:val="none"/>
              </w:rPr>
            </w:pPr>
            <w:r>
              <w:rPr>
                <w:rFonts w:ascii="宋体" w:hAnsi="宋体" w:eastAsia="宋体" w:cs="宋体"/>
                <w:b w:val="0"/>
                <w:i w:val="0"/>
                <w:color w:val="auto"/>
                <w:sz w:val="16"/>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rPr>
                <w:color w:val="auto"/>
                <w:highlight w:val="none"/>
              </w:rPr>
            </w:pPr>
            <w:r>
              <w:rPr>
                <w:rFonts w:ascii="宋体" w:hAnsi="宋体" w:eastAsia="宋体" w:cs="宋体"/>
                <w:b w:val="0"/>
                <w:i w:val="0"/>
                <w:color w:val="auto"/>
                <w:sz w:val="16"/>
                <w:highlight w:val="none"/>
              </w:rPr>
              <w:t>合计</w:t>
            </w: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rPr>
                <w:color w:val="auto"/>
                <w:highlight w:val="none"/>
              </w:rPr>
            </w:pPr>
          </w:p>
        </w:tc>
        <w:tc>
          <w:tcPr>
            <w:tcW w:w="334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20" w:type="dxa"/>
            <w:vAlign w:val="center"/>
          </w:tcPr>
          <w:p>
            <w:pPr>
              <w:rPr>
                <w:color w:val="auto"/>
                <w:highlight w:val="none"/>
              </w:rPr>
            </w:pPr>
          </w:p>
        </w:tc>
        <w:tc>
          <w:tcPr>
            <w:tcW w:w="111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6"/>
                <w:highlight w:val="none"/>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6"/>
                <w:highlight w:val="none"/>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6"/>
                <w:highlight w:val="none"/>
              </w:rPr>
              <w:t xml:space="preserve">    如本表为空，则我部门本年度无此类资金收支余。</w:t>
            </w:r>
          </w:p>
        </w:tc>
      </w:tr>
    </w:tbl>
    <w:p>
      <w:pPr>
        <w:snapToGrid w:val="0"/>
        <w:spacing w:before="0" w:after="0" w:line="0" w:lineRule="auto"/>
        <w:rPr>
          <w:color w:val="auto"/>
          <w:highlight w:val="none"/>
        </w:rPr>
        <w:sectPr>
          <w:pgSz w:w="11906" w:h="16838"/>
          <w:pgMar w:top="567" w:right="567" w:bottom="567" w:left="567" w:header="851" w:footer="992" w:gutter="0"/>
          <w:cols w:space="720" w:num="1"/>
          <w:docGrid w:type="lines" w:linePitch="312" w:charSpace="0"/>
        </w:sectPr>
      </w:pPr>
      <w:r>
        <w:rPr>
          <w:color w:val="auto"/>
          <w:sz w:val="8"/>
          <w:highlight w:val="none"/>
        </w:rPr>
        <w:t xml:space="preserve"> </w:t>
      </w:r>
    </w:p>
    <w:p>
      <w:pPr>
        <w:spacing w:line="540" w:lineRule="exact"/>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国有资本经营预算财政拨款收入支出决算表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pPr>
              <w:jc w:val="right"/>
              <w:rPr>
                <w:color w:val="auto"/>
                <w:highlight w:val="none"/>
              </w:rPr>
            </w:pPr>
            <w:r>
              <w:rPr>
                <w:rFonts w:ascii="宋体" w:hAnsi="宋体" w:eastAsia="宋体" w:cs="宋体"/>
                <w:color w:val="auto"/>
                <w:sz w:val="20"/>
                <w:highlight w:val="none"/>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color w:val="auto"/>
                <w:highlight w:val="none"/>
              </w:rPr>
            </w:pPr>
            <w:r>
              <w:rPr>
                <w:rFonts w:ascii="宋体" w:hAnsi="宋体" w:eastAsia="宋体" w:cs="宋体"/>
                <w:color w:val="auto"/>
                <w:sz w:val="20"/>
                <w:highlight w:val="none"/>
              </w:rPr>
              <w:t>部门：辽宁省盘锦市兴隆台区人民代表大会常务委员会办公室</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4386"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rPr>
                <w:color w:val="auto"/>
                <w:highlight w:val="none"/>
              </w:rPr>
            </w:pPr>
            <w:r>
              <w:rPr>
                <w:rFonts w:ascii="宋体" w:hAnsi="宋体" w:eastAsia="宋体" w:cs="宋体"/>
                <w:b w:val="0"/>
                <w:i w:val="0"/>
                <w:color w:val="auto"/>
                <w:sz w:val="23"/>
                <w:highlight w:val="none"/>
              </w:rPr>
              <w:t>项目</w:t>
            </w:r>
          </w:p>
        </w:tc>
        <w:tc>
          <w:tcPr>
            <w:tcW w:w="1820" w:type="dxa"/>
            <w:gridSpan w:val="3"/>
            <w:vAlign w:val="center"/>
          </w:tcPr>
          <w:p>
            <w:pPr>
              <w:jc w:val="center"/>
              <w:rPr>
                <w:color w:val="auto"/>
                <w:highlight w:val="none"/>
              </w:rPr>
            </w:pPr>
            <w:r>
              <w:rPr>
                <w:rFonts w:ascii="宋体" w:hAnsi="宋体" w:eastAsia="宋体" w:cs="宋体"/>
                <w:b w:val="0"/>
                <w:i w:val="0"/>
                <w:color w:val="auto"/>
                <w:sz w:val="23"/>
                <w:highlight w:val="none"/>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rPr>
                <w:color w:val="auto"/>
                <w:highlight w:val="none"/>
              </w:rPr>
            </w:pPr>
            <w:r>
              <w:rPr>
                <w:rFonts w:ascii="宋体" w:hAnsi="宋体" w:eastAsia="宋体" w:cs="宋体"/>
                <w:b w:val="0"/>
                <w:i w:val="0"/>
                <w:color w:val="auto"/>
                <w:sz w:val="23"/>
                <w:highlight w:val="none"/>
              </w:rPr>
              <w:t>功能分类科目编码</w:t>
            </w:r>
          </w:p>
        </w:tc>
        <w:tc>
          <w:tcPr>
            <w:tcW w:w="4260" w:type="dxa"/>
            <w:vMerge w:val="restart"/>
            <w:vAlign w:val="center"/>
          </w:tcPr>
          <w:p>
            <w:pPr>
              <w:jc w:val="center"/>
              <w:rPr>
                <w:color w:val="auto"/>
                <w:highlight w:val="none"/>
              </w:rPr>
            </w:pPr>
            <w:r>
              <w:rPr>
                <w:rFonts w:ascii="宋体" w:hAnsi="宋体" w:eastAsia="宋体" w:cs="宋体"/>
                <w:b w:val="0"/>
                <w:i w:val="0"/>
                <w:color w:val="auto"/>
                <w:sz w:val="23"/>
                <w:highlight w:val="none"/>
              </w:rPr>
              <w:t>科目名称</w:t>
            </w:r>
          </w:p>
        </w:tc>
        <w:tc>
          <w:tcPr>
            <w:tcW w:w="1820" w:type="dxa"/>
            <w:vMerge w:val="restart"/>
            <w:vAlign w:val="center"/>
          </w:tcPr>
          <w:p>
            <w:pPr>
              <w:jc w:val="center"/>
              <w:rPr>
                <w:color w:val="auto"/>
                <w:highlight w:val="none"/>
              </w:rPr>
            </w:pPr>
            <w:r>
              <w:rPr>
                <w:rFonts w:ascii="宋体" w:hAnsi="宋体" w:eastAsia="宋体" w:cs="宋体"/>
                <w:b w:val="0"/>
                <w:i w:val="0"/>
                <w:color w:val="auto"/>
                <w:sz w:val="23"/>
                <w:highlight w:val="none"/>
              </w:rPr>
              <w:t>合计</w:t>
            </w:r>
          </w:p>
        </w:tc>
        <w:tc>
          <w:tcPr>
            <w:tcW w:w="1820" w:type="dxa"/>
            <w:vMerge w:val="restart"/>
            <w:vAlign w:val="center"/>
          </w:tcPr>
          <w:p>
            <w:pPr>
              <w:jc w:val="center"/>
              <w:rPr>
                <w:color w:val="auto"/>
                <w:highlight w:val="none"/>
              </w:rPr>
            </w:pPr>
            <w:r>
              <w:rPr>
                <w:rFonts w:ascii="宋体" w:hAnsi="宋体" w:eastAsia="宋体" w:cs="宋体"/>
                <w:b w:val="0"/>
                <w:i w:val="0"/>
                <w:color w:val="auto"/>
                <w:sz w:val="23"/>
                <w:highlight w:val="none"/>
              </w:rPr>
              <w:t>基本支出</w:t>
            </w:r>
          </w:p>
        </w:tc>
        <w:tc>
          <w:tcPr>
            <w:tcW w:w="1792" w:type="dxa"/>
            <w:vMerge w:val="restart"/>
            <w:vAlign w:val="center"/>
          </w:tcPr>
          <w:p>
            <w:pPr>
              <w:jc w:val="center"/>
              <w:rPr>
                <w:color w:val="auto"/>
                <w:highlight w:val="none"/>
              </w:rPr>
            </w:pPr>
            <w:r>
              <w:rPr>
                <w:rFonts w:ascii="宋体" w:hAnsi="宋体" w:eastAsia="宋体" w:cs="宋体"/>
                <w:b w:val="0"/>
                <w:i w:val="0"/>
                <w:color w:val="auto"/>
                <w:sz w:val="23"/>
                <w:highlight w:val="none"/>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pPr>
              <w:rPr>
                <w:color w:val="auto"/>
                <w:highlight w:val="none"/>
              </w:rPr>
            </w:pPr>
          </w:p>
        </w:tc>
        <w:tc>
          <w:tcPr>
            <w:tcW w:w="4260" w:type="dxa"/>
            <w:vMerge w:val="continue"/>
            <w:vAlign w:val="center"/>
          </w:tcPr>
          <w:p>
            <w:pPr>
              <w:rPr>
                <w:color w:val="auto"/>
                <w:highlight w:val="none"/>
              </w:rPr>
            </w:pPr>
          </w:p>
        </w:tc>
        <w:tc>
          <w:tcPr>
            <w:tcW w:w="1820" w:type="dxa"/>
            <w:vMerge w:val="continue"/>
            <w:vAlign w:val="center"/>
          </w:tcPr>
          <w:p>
            <w:pPr>
              <w:rPr>
                <w:color w:val="auto"/>
                <w:highlight w:val="none"/>
              </w:rPr>
            </w:pPr>
          </w:p>
        </w:tc>
        <w:tc>
          <w:tcPr>
            <w:tcW w:w="1820" w:type="dxa"/>
            <w:vMerge w:val="continue"/>
            <w:vAlign w:val="center"/>
          </w:tcPr>
          <w:p>
            <w:pPr>
              <w:rPr>
                <w:color w:val="auto"/>
                <w:highlight w:val="none"/>
              </w:rPr>
            </w:pPr>
          </w:p>
        </w:tc>
        <w:tc>
          <w:tcPr>
            <w:tcW w:w="179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pPr>
              <w:rPr>
                <w:color w:val="auto"/>
                <w:highlight w:val="none"/>
              </w:rPr>
            </w:pPr>
          </w:p>
        </w:tc>
        <w:tc>
          <w:tcPr>
            <w:tcW w:w="4260" w:type="dxa"/>
            <w:vMerge w:val="continue"/>
            <w:vAlign w:val="center"/>
          </w:tcPr>
          <w:p>
            <w:pPr>
              <w:rPr>
                <w:color w:val="auto"/>
                <w:highlight w:val="none"/>
              </w:rPr>
            </w:pPr>
          </w:p>
        </w:tc>
        <w:tc>
          <w:tcPr>
            <w:tcW w:w="1820" w:type="dxa"/>
            <w:vMerge w:val="continue"/>
            <w:vAlign w:val="center"/>
          </w:tcPr>
          <w:p>
            <w:pPr>
              <w:rPr>
                <w:color w:val="auto"/>
                <w:highlight w:val="none"/>
              </w:rPr>
            </w:pPr>
          </w:p>
        </w:tc>
        <w:tc>
          <w:tcPr>
            <w:tcW w:w="1820" w:type="dxa"/>
            <w:vMerge w:val="continue"/>
            <w:vAlign w:val="center"/>
          </w:tcPr>
          <w:p>
            <w:pPr>
              <w:rPr>
                <w:color w:val="auto"/>
                <w:highlight w:val="none"/>
              </w:rPr>
            </w:pPr>
          </w:p>
        </w:tc>
        <w:tc>
          <w:tcPr>
            <w:tcW w:w="1792"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rPr>
                <w:color w:val="auto"/>
                <w:highlight w:val="none"/>
              </w:rPr>
            </w:pPr>
            <w:r>
              <w:rPr>
                <w:rFonts w:ascii="宋体" w:hAnsi="宋体" w:eastAsia="宋体" w:cs="宋体"/>
                <w:b w:val="0"/>
                <w:i w:val="0"/>
                <w:color w:val="auto"/>
                <w:sz w:val="23"/>
                <w:highlight w:val="none"/>
              </w:rPr>
              <w:t>栏次</w:t>
            </w:r>
          </w:p>
        </w:tc>
        <w:tc>
          <w:tcPr>
            <w:tcW w:w="1820" w:type="dxa"/>
            <w:vAlign w:val="center"/>
          </w:tcPr>
          <w:p>
            <w:pPr>
              <w:jc w:val="center"/>
              <w:rPr>
                <w:color w:val="auto"/>
                <w:highlight w:val="none"/>
              </w:rPr>
            </w:pPr>
            <w:r>
              <w:rPr>
                <w:rFonts w:ascii="宋体" w:hAnsi="宋体" w:eastAsia="宋体" w:cs="宋体"/>
                <w:b w:val="0"/>
                <w:i w:val="0"/>
                <w:color w:val="auto"/>
                <w:sz w:val="23"/>
                <w:highlight w:val="none"/>
              </w:rPr>
              <w:t>1</w:t>
            </w:r>
          </w:p>
        </w:tc>
        <w:tc>
          <w:tcPr>
            <w:tcW w:w="1820" w:type="dxa"/>
            <w:vAlign w:val="center"/>
          </w:tcPr>
          <w:p>
            <w:pPr>
              <w:jc w:val="center"/>
              <w:rPr>
                <w:color w:val="auto"/>
                <w:highlight w:val="none"/>
              </w:rPr>
            </w:pPr>
            <w:r>
              <w:rPr>
                <w:rFonts w:ascii="宋体" w:hAnsi="宋体" w:eastAsia="宋体" w:cs="宋体"/>
                <w:b w:val="0"/>
                <w:i w:val="0"/>
                <w:color w:val="auto"/>
                <w:sz w:val="23"/>
                <w:highlight w:val="none"/>
              </w:rPr>
              <w:t>2</w:t>
            </w:r>
          </w:p>
        </w:tc>
        <w:tc>
          <w:tcPr>
            <w:tcW w:w="1792" w:type="dxa"/>
            <w:vAlign w:val="center"/>
          </w:tcPr>
          <w:p>
            <w:pPr>
              <w:jc w:val="center"/>
              <w:rPr>
                <w:color w:val="auto"/>
                <w:highlight w:val="none"/>
              </w:rPr>
            </w:pPr>
            <w:r>
              <w:rPr>
                <w:rFonts w:ascii="宋体" w:hAnsi="宋体" w:eastAsia="宋体" w:cs="宋体"/>
                <w:b w:val="0"/>
                <w:i w:val="0"/>
                <w:color w:val="auto"/>
                <w:sz w:val="23"/>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rPr>
                <w:color w:val="auto"/>
                <w:highlight w:val="none"/>
              </w:rPr>
            </w:pPr>
            <w:r>
              <w:rPr>
                <w:rFonts w:ascii="宋体" w:hAnsi="宋体" w:eastAsia="宋体" w:cs="宋体"/>
                <w:b w:val="0"/>
                <w:i w:val="0"/>
                <w:color w:val="auto"/>
                <w:sz w:val="23"/>
                <w:highlight w:val="none"/>
              </w:rPr>
              <w:t>合计</w:t>
            </w:r>
          </w:p>
        </w:tc>
        <w:tc>
          <w:tcPr>
            <w:tcW w:w="1820" w:type="dxa"/>
            <w:vAlign w:val="center"/>
          </w:tcPr>
          <w:p>
            <w:pPr>
              <w:rPr>
                <w:color w:val="auto"/>
                <w:highlight w:val="none"/>
              </w:rPr>
            </w:pPr>
          </w:p>
        </w:tc>
        <w:tc>
          <w:tcPr>
            <w:tcW w:w="1820" w:type="dxa"/>
            <w:vAlign w:val="center"/>
          </w:tcPr>
          <w:p>
            <w:pPr>
              <w:rPr>
                <w:color w:val="auto"/>
                <w:highlight w:val="none"/>
              </w:rPr>
            </w:pPr>
          </w:p>
        </w:tc>
        <w:tc>
          <w:tcPr>
            <w:tcW w:w="17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pPr>
              <w:rPr>
                <w:color w:val="auto"/>
                <w:highlight w:val="none"/>
              </w:rPr>
            </w:pPr>
          </w:p>
        </w:tc>
        <w:tc>
          <w:tcPr>
            <w:tcW w:w="4260" w:type="dxa"/>
            <w:vAlign w:val="center"/>
          </w:tcPr>
          <w:p>
            <w:pPr>
              <w:rPr>
                <w:color w:val="auto"/>
                <w:highlight w:val="none"/>
              </w:rPr>
            </w:pPr>
          </w:p>
        </w:tc>
        <w:tc>
          <w:tcPr>
            <w:tcW w:w="1820" w:type="dxa"/>
            <w:vAlign w:val="center"/>
          </w:tcPr>
          <w:p>
            <w:pPr>
              <w:rPr>
                <w:color w:val="auto"/>
                <w:highlight w:val="none"/>
              </w:rPr>
            </w:pPr>
          </w:p>
        </w:tc>
        <w:tc>
          <w:tcPr>
            <w:tcW w:w="1820" w:type="dxa"/>
            <w:vAlign w:val="center"/>
          </w:tcPr>
          <w:p>
            <w:pPr>
              <w:rPr>
                <w:color w:val="auto"/>
                <w:highlight w:val="none"/>
              </w:rPr>
            </w:pPr>
          </w:p>
        </w:tc>
        <w:tc>
          <w:tcPr>
            <w:tcW w:w="1792"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3"/>
                <w:highlight w:val="none"/>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3"/>
                <w:highlight w:val="none"/>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3"/>
                <w:highlight w:val="none"/>
              </w:rPr>
              <w:t xml:space="preserve">    如本表为空，则我部门本年度无此类资金收支余。</w:t>
            </w:r>
          </w:p>
        </w:tc>
      </w:tr>
    </w:tbl>
    <w:p>
      <w:pPr>
        <w:snapToGrid w:val="0"/>
        <w:spacing w:before="0" w:after="0" w:line="0" w:lineRule="auto"/>
        <w:rPr>
          <w:color w:val="auto"/>
          <w:highlight w:val="none"/>
        </w:rPr>
      </w:pPr>
      <w:r>
        <w:rPr>
          <w:color w:val="auto"/>
          <w:sz w:val="8"/>
          <w:highlight w:val="none"/>
        </w:rPr>
        <w:t xml:space="preserve"> </w:t>
      </w:r>
    </w:p>
    <w:p>
      <w:pPr>
        <w:spacing w:line="540" w:lineRule="exact"/>
        <w:rPr>
          <w:rFonts w:ascii="宋体" w:hAnsi="宋体"/>
          <w:b/>
          <w:color w:val="auto"/>
          <w:sz w:val="52"/>
          <w:szCs w:val="52"/>
          <w:highlight w:val="none"/>
        </w:rPr>
      </w:pPr>
    </w:p>
    <w:p>
      <w:pPr>
        <w:spacing w:line="540" w:lineRule="exact"/>
        <w:rPr>
          <w:rFonts w:ascii="宋体" w:hAnsi="宋体"/>
          <w:b/>
          <w:color w:val="auto"/>
          <w:sz w:val="52"/>
          <w:szCs w:val="52"/>
          <w:highlight w:val="none"/>
        </w:rPr>
      </w:pPr>
    </w:p>
    <w:p>
      <w:pPr>
        <w:spacing w:line="540" w:lineRule="exact"/>
        <w:rPr>
          <w:rFonts w:ascii="宋体" w:hAnsi="宋体"/>
          <w:b/>
          <w:color w:val="auto"/>
          <w:sz w:val="52"/>
          <w:szCs w:val="52"/>
          <w:highlight w:val="none"/>
        </w:rPr>
      </w:pPr>
    </w:p>
    <w:p>
      <w:pPr>
        <w:spacing w:line="540" w:lineRule="exact"/>
        <w:rPr>
          <w:rFonts w:ascii="宋体" w:hAnsi="宋体"/>
          <w:b/>
          <w:color w:val="auto"/>
          <w:sz w:val="52"/>
          <w:szCs w:val="52"/>
          <w:highlight w:val="none"/>
        </w:rPr>
      </w:pPr>
    </w:p>
    <w:p>
      <w:pPr>
        <w:spacing w:line="540" w:lineRule="exact"/>
        <w:rPr>
          <w:rFonts w:ascii="宋体" w:hAnsi="宋体"/>
          <w:b/>
          <w:color w:val="auto"/>
          <w:sz w:val="52"/>
          <w:szCs w:val="52"/>
          <w:highlight w:val="none"/>
        </w:rPr>
      </w:pPr>
    </w:p>
    <w:p>
      <w:pPr>
        <w:spacing w:line="540" w:lineRule="exact"/>
        <w:rPr>
          <w:rFonts w:ascii="宋体" w:hAnsi="宋体"/>
          <w:b/>
          <w:color w:val="auto"/>
          <w:sz w:val="52"/>
          <w:szCs w:val="52"/>
          <w:highlight w:val="none"/>
        </w:rPr>
      </w:pPr>
    </w:p>
    <w:p>
      <w:pPr>
        <w:spacing w:line="540" w:lineRule="exact"/>
        <w:rPr>
          <w:rFonts w:ascii="宋体" w:hAnsi="宋体"/>
          <w:b/>
          <w:color w:val="auto"/>
          <w:sz w:val="52"/>
          <w:szCs w:val="52"/>
          <w:highlight w:val="none"/>
        </w:rPr>
      </w:pPr>
    </w:p>
    <w:p>
      <w:pPr>
        <w:spacing w:line="540" w:lineRule="exact"/>
        <w:rPr>
          <w:rFonts w:ascii="宋体" w:hAnsi="宋体"/>
          <w:b/>
          <w:color w:val="auto"/>
          <w:sz w:val="52"/>
          <w:szCs w:val="52"/>
          <w:highlight w:val="none"/>
        </w:rPr>
      </w:pPr>
    </w:p>
    <w:p>
      <w:pPr>
        <w:spacing w:line="540" w:lineRule="exact"/>
        <w:jc w:val="both"/>
        <w:rPr>
          <w:rFonts w:ascii="仿宋_GB2312" w:eastAsia="仿宋_GB2312"/>
          <w:color w:val="auto"/>
          <w:sz w:val="52"/>
          <w:szCs w:val="52"/>
          <w:highlight w:val="none"/>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color w:val="auto"/>
          <w:sz w:val="32"/>
          <w:szCs w:val="32"/>
          <w:highlight w:val="none"/>
          <w:u w:val="single"/>
        </w:rPr>
      </w:pPr>
    </w:p>
    <w:p>
      <w:pPr>
        <w:spacing w:line="540" w:lineRule="exact"/>
        <w:rPr>
          <w:rFonts w:ascii="宋体" w:hAnsi="宋体"/>
          <w:b/>
          <w:color w:val="auto"/>
          <w:sz w:val="36"/>
          <w:szCs w:val="36"/>
          <w:highlight w:val="none"/>
        </w:rPr>
      </w:pPr>
    </w:p>
    <w:p>
      <w:pPr>
        <w:spacing w:line="540" w:lineRule="exact"/>
        <w:jc w:val="center"/>
        <w:rPr>
          <w:rFonts w:ascii="宋体" w:hAnsi="宋体"/>
          <w:b/>
          <w:color w:val="auto"/>
          <w:sz w:val="36"/>
          <w:szCs w:val="36"/>
          <w:highlight w:val="none"/>
        </w:rPr>
      </w:pPr>
    </w:p>
    <w:p>
      <w:pPr>
        <w:spacing w:line="540" w:lineRule="exact"/>
        <w:jc w:val="center"/>
        <w:rPr>
          <w:rFonts w:ascii="宋体" w:hAnsi="宋体"/>
          <w:b/>
          <w:color w:val="auto"/>
          <w:sz w:val="36"/>
          <w:szCs w:val="36"/>
          <w:highlight w:val="none"/>
        </w:rPr>
      </w:pPr>
    </w:p>
    <w:p>
      <w:pPr>
        <w:spacing w:line="540" w:lineRule="exact"/>
        <w:jc w:val="center"/>
        <w:rPr>
          <w:rFonts w:ascii="宋体" w:hAnsi="宋体"/>
          <w:b/>
          <w:color w:val="auto"/>
          <w:sz w:val="36"/>
          <w:szCs w:val="36"/>
          <w:highlight w:val="none"/>
        </w:rPr>
      </w:pPr>
    </w:p>
    <w:p>
      <w:pPr>
        <w:spacing w:line="540" w:lineRule="exact"/>
        <w:jc w:val="center"/>
        <w:rPr>
          <w:rFonts w:ascii="宋体" w:hAnsi="宋体"/>
          <w:b/>
          <w:color w:val="auto"/>
          <w:sz w:val="36"/>
          <w:szCs w:val="36"/>
          <w:highlight w:val="none"/>
        </w:rPr>
      </w:pPr>
    </w:p>
    <w:p>
      <w:pPr>
        <w:spacing w:line="540" w:lineRule="exact"/>
        <w:jc w:val="center"/>
        <w:rPr>
          <w:rFonts w:hint="eastAsia" w:ascii="宋体" w:hAnsi="宋体"/>
          <w:b/>
          <w:color w:val="auto"/>
          <w:sz w:val="44"/>
          <w:szCs w:val="44"/>
          <w:highlight w:val="none"/>
        </w:rPr>
      </w:pPr>
      <w:r>
        <w:rPr>
          <w:rFonts w:hint="eastAsia" w:ascii="宋体" w:hAnsi="宋体"/>
          <w:b/>
          <w:color w:val="auto"/>
          <w:sz w:val="36"/>
          <w:szCs w:val="36"/>
          <w:highlight w:val="none"/>
        </w:rPr>
        <w:t>第五部分 附件</w:t>
      </w:r>
    </w:p>
    <w:p>
      <w:pPr>
        <w:spacing w:line="540" w:lineRule="exact"/>
        <w:jc w:val="center"/>
        <w:rPr>
          <w:rFonts w:hint="eastAsia" w:ascii="宋体" w:hAnsi="宋体"/>
          <w:b/>
          <w:color w:val="auto"/>
          <w:sz w:val="52"/>
          <w:szCs w:val="52"/>
          <w:highlight w:val="none"/>
        </w:rPr>
        <w:sectPr>
          <w:pgSz w:w="11906" w:h="16838"/>
          <w:pgMar w:top="567" w:right="567" w:bottom="567" w:left="567" w:header="851" w:footer="992" w:gutter="0"/>
          <w:cols w:space="720" w:num="1"/>
          <w:docGrid w:type="lines" w:linePitch="312" w:charSpace="0"/>
        </w:sectPr>
      </w:pPr>
    </w:p>
    <w:tbl>
      <w:tblPr>
        <w:tblStyle w:val="3"/>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4"/>
                <w:highlight w:val="none"/>
              </w:rPr>
              <w:t>部门（单位）整体绩效自评表</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4"/>
                <w:highlight w:val="none"/>
              </w:rPr>
              <w:t>（2023年度）</w:t>
            </w:r>
          </w:p>
        </w:tc>
      </w:tr>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302011辽宁省盘锦市兴隆台区人民代表大会常务委员会办公室-211103000</w:t>
            </w:r>
          </w:p>
        </w:tc>
      </w:tr>
      <w:tr>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349.97</w:t>
            </w:r>
          </w:p>
        </w:tc>
      </w:tr>
      <w:tr>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349.97</w:t>
            </w:r>
          </w:p>
        </w:tc>
      </w:tr>
      <w:tr>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项目执行率</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得分</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12.703964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12.7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13.3</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43.5028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43.5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13.3</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245.560755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245.56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13.4</w:t>
            </w:r>
          </w:p>
        </w:tc>
      </w:tr>
      <w:tr>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全年完成情况</w:t>
            </w:r>
          </w:p>
        </w:tc>
      </w:tr>
      <w:tr>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依法履行宪法和法律赋予人大及其常委会的各项职责，依法决定全区重大事项，将党的意图转化为全区人民共同意志；按计划开展监督活动；开展代表履职保障服务；强化两个机关建设，提高履职服务水平。</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依法履行宪法和法律赋予人大及其常委会的各项职责，依法决定全区重大事项，将党的意图转化为全区人民共同意志；按计划开展监督活动；开展代表履职保障服务；强化两个机关建设，提高履职服务水平。</w:t>
            </w:r>
          </w:p>
        </w:tc>
      </w:tr>
      <w:tr>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偏差原因分析</w:t>
            </w:r>
          </w:p>
        </w:tc>
        <w:tc>
          <w:tcPr>
            <w:tcW w:w="2775"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改进措施</w:t>
            </w: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其他原因分析</w:t>
            </w:r>
          </w:p>
        </w:tc>
        <w:tc>
          <w:tcPr>
            <w:tcW w:w="2775"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党的建设指标考核工作完成率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人大代表对人大工作满意度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创新监督一府一委两院模式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有效管理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rPr>
                <w:color w:val="auto"/>
                <w:highlight w:val="none"/>
              </w:rPr>
            </w:pPr>
            <w:r>
              <w:rPr>
                <w:rFonts w:ascii="Calibri" w:hAnsi="Calibri" w:eastAsia="Calibri" w:cs="Calibri"/>
                <w:b w:val="0"/>
                <w:i w:val="0"/>
                <w:color w:val="auto"/>
                <w:sz w:val="23"/>
                <w:highlight w:val="none"/>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pPr>
              <w:snapToGrid w:val="0"/>
              <w:spacing w:before="0" w:beforeAutospacing="0" w:after="0" w:afterAutospacing="0" w:line="240" w:lineRule="auto"/>
              <w:jc w:val="center"/>
              <w:rPr>
                <w:color w:val="auto"/>
                <w:highlight w:val="none"/>
              </w:rPr>
            </w:pPr>
            <w:r>
              <w:rPr>
                <w:rFonts w:ascii="Calibri" w:hAnsi="Calibri" w:eastAsia="Calibri" w:cs="Calibri"/>
                <w:b w:val="0"/>
                <w:i w:val="0"/>
                <w:color w:val="auto"/>
                <w:sz w:val="23"/>
                <w:highlight w:val="none"/>
              </w:rPr>
              <w:t>99.3</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具体建议内容</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进一步加强对绩效的自评结果的应用，将绩效自评结果作为预算安排，调整完善和改进管理的重要依据。</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继续规范财政资金管理，提升部门预算执行率和效益。</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继续规范财政资金管理，提升部门预算执行率和效益。</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21"/>
                <w:highlight w:val="none"/>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21"/>
                <w:highlight w:val="none"/>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21"/>
                <w:highlight w:val="none"/>
              </w:rPr>
              <w:t>继续规范财政资金管理，提升部门预算执行率和效益。</w:t>
            </w:r>
          </w:p>
        </w:tc>
      </w:tr>
    </w:tbl>
    <w:p>
      <w:pPr>
        <w:rPr>
          <w:color w:val="auto"/>
          <w:highlight w:val="none"/>
        </w:rPr>
        <w:sectPr>
          <w:pgSz w:w="16839" w:h="11907" w:orient="landscape"/>
          <w:pgMar w:top="400" w:right="1000" w:bottom="400" w:left="1000" w:header="720" w:footer="720" w:gutter="0"/>
          <w:cols w:space="720" w:num="1"/>
        </w:sectPr>
      </w:pPr>
    </w:p>
    <w:tbl>
      <w:tblPr>
        <w:tblStyle w:val="3"/>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预算项目(政策)绩效自评表</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编印费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2.81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56.18%</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运算</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度量</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5.62</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r>
              <w:rPr>
                <w:rFonts w:ascii="宋体" w:hAnsi="宋体" w:eastAsia="宋体" w:cs="宋体"/>
                <w:b w:val="0"/>
                <w:i w:val="0"/>
                <w:color w:val="auto"/>
                <w:sz w:val="19"/>
                <w:highlight w:val="none"/>
              </w:rPr>
              <w:t>26.61768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69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进一步加强对绩效的自评结果的应用，将绩效自评结果作为预算安排，调整完善和改进管理的重要依据。</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继续规范财政资金管理，提升部门预算执行率和效益。</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继续规范财政资金管理，提升部门预算执行率和效益。</w:t>
            </w:r>
          </w:p>
        </w:tc>
      </w:tr>
    </w:tbl>
    <w:p>
      <w:pPr>
        <w:rPr>
          <w:color w:val="auto"/>
          <w:highlight w:val="none"/>
        </w:rPr>
        <w:sectPr>
          <w:pgSz w:w="16839" w:h="11907" w:orient="landscape"/>
          <w:pgMar w:top="400" w:right="1000" w:bottom="400" w:left="1000" w:header="720" w:footer="720" w:gutter="0"/>
          <w:cols w:space="720" w:num="1"/>
        </w:sectPr>
      </w:pPr>
    </w:p>
    <w:tbl>
      <w:tblPr>
        <w:tblStyle w:val="3"/>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预算项目(政策)绩效自评表</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常委会议费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运算</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度量</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r>
              <w:rPr>
                <w:rFonts w:ascii="宋体" w:hAnsi="宋体" w:eastAsia="宋体" w:cs="宋体"/>
                <w:b w:val="0"/>
                <w:i w:val="0"/>
                <w:color w:val="auto"/>
                <w:sz w:val="19"/>
                <w:highlight w:val="none"/>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进一步加强对绩效的自评结果的应用，将绩效自评结果作为预算安排，调整完善和改进管理的重要依据。</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bl>
    <w:p>
      <w:pPr>
        <w:rPr>
          <w:color w:val="auto"/>
          <w:highlight w:val="none"/>
        </w:rPr>
        <w:sectPr>
          <w:pgSz w:w="16839" w:h="11907" w:orient="landscape"/>
          <w:pgMar w:top="400" w:right="1000" w:bottom="400" w:left="1000" w:header="720" w:footer="720" w:gutter="0"/>
          <w:cols w:space="720" w:num="1"/>
        </w:sectPr>
      </w:pPr>
    </w:p>
    <w:tbl>
      <w:tblPr>
        <w:tblStyle w:val="3"/>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预算项目(政策)绩效自评表</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代表经费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8.89%</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运算</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度量</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0.89</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r>
              <w:rPr>
                <w:rFonts w:ascii="宋体" w:hAnsi="宋体" w:eastAsia="宋体" w:cs="宋体"/>
                <w:b w:val="0"/>
                <w:i w:val="0"/>
                <w:color w:val="auto"/>
                <w:sz w:val="19"/>
                <w:highlight w:val="none"/>
              </w:rPr>
              <w:t>31.88888889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进一步加强对绩效的自评结果的应用，将绩效自评结果作为预算安排，调整完善和改进管理的重要依据。</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bl>
    <w:p>
      <w:pPr>
        <w:rPr>
          <w:color w:val="auto"/>
          <w:highlight w:val="none"/>
        </w:rPr>
        <w:sectPr>
          <w:pgSz w:w="16839" w:h="11907" w:orient="landscape"/>
          <w:pgMar w:top="400" w:right="1000" w:bottom="400" w:left="1000" w:header="720" w:footer="720" w:gutter="0"/>
          <w:cols w:space="720" w:num="1"/>
        </w:sectPr>
      </w:pPr>
    </w:p>
    <w:tbl>
      <w:tblPr>
        <w:tblStyle w:val="3"/>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预算项目(政策)绩效自评表</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服务费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7.4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3.47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46.84%</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运算</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度量</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4.68</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r>
              <w:rPr>
                <w:rFonts w:ascii="宋体" w:hAnsi="宋体" w:eastAsia="宋体" w:cs="宋体"/>
                <w:b w:val="0"/>
                <w:i w:val="0"/>
                <w:color w:val="auto"/>
                <w:sz w:val="19"/>
                <w:highlight w:val="none"/>
              </w:rPr>
              <w:t>35.68378378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进一步加强对绩效的自评结果的应用，将绩效自评结果作为预算安排，调整完善和改进管理的重要依据。</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继续规范财政资金管理，提高部门预算执行率和效益。</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继续规范财政资金管理，提高部门预算执行率和效益。</w:t>
            </w:r>
          </w:p>
        </w:tc>
      </w:tr>
    </w:tbl>
    <w:p>
      <w:pPr>
        <w:rPr>
          <w:color w:val="auto"/>
          <w:highlight w:val="none"/>
        </w:rPr>
        <w:sectPr>
          <w:pgSz w:w="16839" w:h="11907" w:orient="landscape"/>
          <w:pgMar w:top="400" w:right="1000" w:bottom="400" w:left="1000" w:header="720" w:footer="720" w:gutter="0"/>
          <w:cols w:space="720" w:num="1"/>
        </w:sectPr>
      </w:pPr>
    </w:p>
    <w:tbl>
      <w:tblPr>
        <w:tblStyle w:val="3"/>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预算项目(政策)绩效自评表</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培训费用</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0.66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16.59%</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运算</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度量</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1.66</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r>
              <w:rPr>
                <w:rFonts w:ascii="宋体" w:hAnsi="宋体" w:eastAsia="宋体" w:cs="宋体"/>
                <w:b w:val="0"/>
                <w:i w:val="0"/>
                <w:color w:val="auto"/>
                <w:sz w:val="19"/>
                <w:highlight w:val="none"/>
              </w:rPr>
              <w:t>32.6589725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进一步加强对绩效的自评结果的应用，将绩效自评结果作为预算安排，调整完善和改进管理的重要依据。</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bl>
    <w:p>
      <w:pPr>
        <w:rPr>
          <w:color w:val="auto"/>
          <w:highlight w:val="none"/>
        </w:rPr>
        <w:sectPr>
          <w:pgSz w:w="16839" w:h="11907" w:orient="landscape"/>
          <w:pgMar w:top="400" w:right="1000" w:bottom="400" w:left="1000" w:header="720" w:footer="720" w:gutter="0"/>
          <w:cols w:space="720" w:num="1"/>
        </w:sectPr>
      </w:pPr>
    </w:p>
    <w:tbl>
      <w:tblPr>
        <w:tblStyle w:val="3"/>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预算项目(政策)绩效自评表</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人大会议费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30.95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57.31%</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运算</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度量</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5.73</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r>
              <w:rPr>
                <w:rFonts w:ascii="宋体" w:hAnsi="宋体" w:eastAsia="宋体" w:cs="宋体"/>
                <w:b w:val="0"/>
                <w:i w:val="0"/>
                <w:color w:val="auto"/>
                <w:sz w:val="19"/>
                <w:highlight w:val="none"/>
              </w:rPr>
              <w:t>26.73075889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69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进一步加强对绩效的自评结果的应用，将绩效自评结果作为预算安排，调整完善和改进管理的重要依据。</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bl>
    <w:p>
      <w:pPr>
        <w:rPr>
          <w:color w:val="auto"/>
          <w:highlight w:val="none"/>
        </w:rPr>
        <w:sectPr>
          <w:pgSz w:w="16839" w:h="11907" w:orient="landscape"/>
          <w:pgMar w:top="400" w:right="1000" w:bottom="400" w:left="1000" w:header="720" w:footer="720" w:gutter="0"/>
          <w:cols w:space="720" w:num="1"/>
        </w:sectPr>
      </w:pPr>
    </w:p>
    <w:tbl>
      <w:tblPr>
        <w:tblStyle w:val="3"/>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预算项目(政策)绩效自评表</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30"/>
                <w:highlight w:val="none"/>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业务经费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辽宁省盘锦市兴隆台区人民代表大会常务委员会办公室-</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77.07%</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全年</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运算</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度量</w:t>
            </w:r>
          </w:p>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7.71</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rPr>
                <w:color w:val="auto"/>
                <w:highlight w:val="none"/>
              </w:rPr>
            </w:pPr>
            <w:r>
              <w:rPr>
                <w:rFonts w:ascii="宋体" w:hAnsi="宋体" w:eastAsia="宋体" w:cs="宋体"/>
                <w:b w:val="0"/>
                <w:i w:val="0"/>
                <w:color w:val="auto"/>
                <w:sz w:val="19"/>
                <w:highlight w:val="none"/>
              </w:rPr>
              <w:t>8.70718462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val="0"/>
                <w:i w:val="0"/>
                <w:color w:val="auto"/>
                <w:sz w:val="19"/>
                <w:highlight w:val="none"/>
              </w:rPr>
              <w:t>89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进一步加强对绩效的自评结果的应用，将绩效自评结果作为预算安排，调整完善和改进管理的重要依据。</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i w:val="0"/>
                <w:color w:val="auto"/>
                <w:sz w:val="19"/>
                <w:highlight w:val="none"/>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rPr>
                <w:color w:val="auto"/>
                <w:highlight w:val="none"/>
              </w:rPr>
            </w:pPr>
            <w:r>
              <w:rPr>
                <w:rFonts w:ascii="宋体" w:hAnsi="宋体" w:eastAsia="宋体" w:cs="宋体"/>
                <w:b/>
                <w:i w:val="0"/>
                <w:color w:val="auto"/>
                <w:sz w:val="19"/>
                <w:highlight w:val="none"/>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rPr>
                <w:color w:val="auto"/>
                <w:highlight w:val="none"/>
              </w:rPr>
            </w:pPr>
            <w:r>
              <w:rPr>
                <w:rFonts w:ascii="宋体" w:hAnsi="宋体" w:eastAsia="宋体" w:cs="宋体"/>
                <w:b w:val="0"/>
                <w:i w:val="0"/>
                <w:color w:val="auto"/>
                <w:sz w:val="19"/>
                <w:highlight w:val="none"/>
              </w:rPr>
              <w:t>进一步规范部门预算管理，提升部门预算执行率和效益。</w:t>
            </w:r>
          </w:p>
        </w:tc>
      </w:tr>
    </w:tbl>
    <w:p>
      <w:pPr>
        <w:rPr>
          <w:color w:val="auto"/>
          <w:highlight w:val="none"/>
        </w:rPr>
      </w:pPr>
    </w:p>
    <w:p>
      <w:bookmarkStart w:id="0" w:name="_GoBack"/>
      <w:bookmarkEnd w:id="0"/>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pgNum/>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qRMoEAgAADAQAAA4AAABkcnMvZTJvRG9jLnhtbK1TwY7TMBC9I/EP&#10;lu80bVeCKm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v3ozn3P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eKkTK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WUxMDAxMzMwMWYzOGVkZWNhYzA5YzE1YWIwZDQifQ=="/>
  </w:docVars>
  <w:rsids>
    <w:rsidRoot w:val="604A3F47"/>
    <w:rsid w:val="12785C51"/>
    <w:rsid w:val="604A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2024-09-30T05:49:00Z</dcterms:created>
  <dc:creator>WPS_1681110396</dc:creator>
  <cp:lastModifiedBy>WPS_1681110396</cp:lastModifiedBy>
  <dcterms:modified xsi:type="dcterms:W3CDTF">2024-09-30T05:50:30Z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6C0403018F2941F1BAD2F1631BA3CDE2</vt:lpwstr>
  </property>
</Properties>
</file>