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hint="eastAsia" w:eastAsia="仿宋"/>
          <w:kern w:val="0"/>
          <w:szCs w:val="32"/>
        </w:rPr>
      </w:pPr>
      <w:bookmarkStart w:id="0" w:name="_Toc351388343"/>
    </w:p>
    <w:p>
      <w:pPr>
        <w:spacing w:line="600" w:lineRule="exact"/>
        <w:ind w:firstLine="640"/>
        <w:rPr>
          <w:rFonts w:eastAsia="仿宋"/>
        </w:rPr>
      </w:pPr>
    </w:p>
    <w:p>
      <w:pPr>
        <w:spacing w:line="600" w:lineRule="exact"/>
        <w:ind w:firstLine="640"/>
        <w:rPr>
          <w:rFonts w:eastAsia="仿宋"/>
        </w:rPr>
      </w:pPr>
    </w:p>
    <w:p>
      <w:pPr>
        <w:spacing w:before="156" w:beforeLines="50" w:after="156" w:afterLines="50" w:line="600" w:lineRule="exact"/>
        <w:ind w:firstLine="960"/>
        <w:jc w:val="center"/>
        <w:rPr>
          <w:rFonts w:eastAsia="仿宋"/>
          <w:sz w:val="48"/>
        </w:rPr>
      </w:pPr>
    </w:p>
    <w:p>
      <w:pPr>
        <w:adjustRightInd w:val="0"/>
        <w:snapToGrid w:val="0"/>
        <w:ind w:firstLine="0" w:firstLineChars="0"/>
        <w:jc w:val="center"/>
        <w:rPr>
          <w:rFonts w:eastAsia="黑体"/>
          <w:b/>
          <w:bCs/>
          <w:sz w:val="48"/>
          <w:szCs w:val="48"/>
        </w:rPr>
      </w:pPr>
      <w:r>
        <w:rPr>
          <w:rFonts w:eastAsia="黑体"/>
          <w:b/>
          <w:bCs/>
          <w:sz w:val="48"/>
          <w:szCs w:val="48"/>
        </w:rPr>
        <w:t>202</w:t>
      </w:r>
      <w:r>
        <w:rPr>
          <w:rFonts w:hint="eastAsia" w:eastAsia="黑体"/>
          <w:b/>
          <w:bCs/>
          <w:sz w:val="48"/>
          <w:szCs w:val="48"/>
          <w:lang w:val="en-US" w:eastAsia="zh-CN"/>
        </w:rPr>
        <w:t>4</w:t>
      </w:r>
      <w:r>
        <w:rPr>
          <w:rFonts w:eastAsia="黑体"/>
          <w:b/>
          <w:bCs/>
          <w:sz w:val="48"/>
          <w:szCs w:val="48"/>
        </w:rPr>
        <w:t>年</w:t>
      </w:r>
      <w:r>
        <w:rPr>
          <w:rFonts w:hint="eastAsia" w:eastAsia="黑体"/>
          <w:b/>
          <w:bCs/>
          <w:sz w:val="48"/>
          <w:szCs w:val="48"/>
          <w:lang w:eastAsia="zh-CN"/>
        </w:rPr>
        <w:t>盘锦市</w:t>
      </w:r>
      <w:r>
        <w:rPr>
          <w:rFonts w:eastAsia="黑体"/>
          <w:b/>
          <w:bCs/>
          <w:sz w:val="48"/>
          <w:szCs w:val="48"/>
        </w:rPr>
        <w:t>生态环境监测方案</w:t>
      </w:r>
    </w:p>
    <w:p>
      <w:pPr>
        <w:adjustRightInd w:val="0"/>
        <w:snapToGrid w:val="0"/>
        <w:ind w:firstLine="0" w:firstLineChars="0"/>
        <w:jc w:val="center"/>
        <w:rPr>
          <w:rFonts w:hint="eastAsia" w:eastAsia="黑体"/>
          <w:b/>
          <w:bCs/>
          <w:sz w:val="48"/>
          <w:szCs w:val="48"/>
          <w:lang w:eastAsia="zh-CN"/>
        </w:rPr>
      </w:pPr>
    </w:p>
    <w:p>
      <w:pPr>
        <w:spacing w:before="156" w:beforeLines="50" w:after="156" w:afterLines="50" w:line="600" w:lineRule="exact"/>
        <w:ind w:firstLine="640"/>
        <w:jc w:val="center"/>
        <w:rPr>
          <w:rFonts w:hint="eastAsia" w:ascii="宋体" w:hAnsi="宋体" w:eastAsia="宋体" w:cs="宋体"/>
          <w:sz w:val="32"/>
          <w:szCs w:val="32"/>
        </w:rPr>
      </w:pPr>
    </w:p>
    <w:p>
      <w:pPr>
        <w:spacing w:before="156" w:beforeLines="50" w:after="156" w:afterLines="50" w:line="600" w:lineRule="exact"/>
        <w:ind w:firstLine="640"/>
        <w:jc w:val="center"/>
        <w:rPr>
          <w:rFonts w:eastAsia="仿宋"/>
        </w:rPr>
      </w:pPr>
    </w:p>
    <w:p>
      <w:pPr>
        <w:spacing w:before="156" w:beforeLines="50" w:after="156" w:afterLines="50" w:line="600" w:lineRule="exact"/>
        <w:ind w:firstLine="640"/>
        <w:jc w:val="center"/>
        <w:rPr>
          <w:rFonts w:eastAsia="仿宋"/>
        </w:rPr>
      </w:pPr>
    </w:p>
    <w:p>
      <w:pPr>
        <w:spacing w:before="156" w:beforeLines="50" w:after="156" w:afterLines="50" w:line="600" w:lineRule="exact"/>
        <w:ind w:firstLine="640"/>
        <w:jc w:val="center"/>
        <w:rPr>
          <w:rFonts w:eastAsia="仿宋"/>
        </w:rPr>
      </w:pPr>
    </w:p>
    <w:p>
      <w:pPr>
        <w:spacing w:before="156" w:beforeLines="50" w:after="156" w:afterLines="50" w:line="600" w:lineRule="exact"/>
        <w:ind w:firstLine="640"/>
        <w:jc w:val="center"/>
        <w:rPr>
          <w:rFonts w:eastAsia="仿宋"/>
        </w:rPr>
      </w:pPr>
    </w:p>
    <w:p>
      <w:pPr>
        <w:spacing w:before="156" w:beforeLines="50" w:after="156" w:afterLines="50" w:line="600" w:lineRule="exact"/>
        <w:ind w:firstLine="640"/>
        <w:jc w:val="center"/>
        <w:rPr>
          <w:rFonts w:eastAsia="仿宋"/>
        </w:rPr>
      </w:pPr>
    </w:p>
    <w:p>
      <w:pPr>
        <w:spacing w:before="156" w:beforeLines="50" w:after="156" w:afterLines="50" w:line="600" w:lineRule="exact"/>
        <w:ind w:firstLine="640"/>
        <w:jc w:val="center"/>
        <w:rPr>
          <w:rFonts w:eastAsia="仿宋"/>
        </w:rPr>
      </w:pPr>
    </w:p>
    <w:p>
      <w:pPr>
        <w:spacing w:before="156" w:beforeLines="50" w:after="156" w:afterLines="50" w:line="600" w:lineRule="exact"/>
        <w:ind w:firstLine="640"/>
        <w:jc w:val="center"/>
        <w:rPr>
          <w:rFonts w:eastAsia="仿宋"/>
        </w:rPr>
      </w:pPr>
    </w:p>
    <w:p>
      <w:pPr>
        <w:spacing w:before="156" w:beforeLines="50" w:after="156" w:afterLines="50" w:line="600" w:lineRule="exact"/>
        <w:ind w:firstLine="640"/>
        <w:jc w:val="center"/>
        <w:rPr>
          <w:rFonts w:eastAsia="仿宋"/>
        </w:rPr>
      </w:pPr>
      <w:r>
        <w:rPr>
          <w:rFonts w:eastAsia="仿宋"/>
          <w:sz w:val="36"/>
          <w:szCs w:val="36"/>
          <w:highlight w:val="none"/>
        </w:rPr>
        <w:t>202</w:t>
      </w:r>
      <w:r>
        <w:rPr>
          <w:rFonts w:hint="eastAsia" w:eastAsia="仿宋"/>
          <w:sz w:val="36"/>
          <w:szCs w:val="36"/>
          <w:highlight w:val="none"/>
          <w:lang w:val="en-US" w:eastAsia="zh-CN"/>
        </w:rPr>
        <w:t>4</w:t>
      </w:r>
      <w:r>
        <w:rPr>
          <w:rFonts w:eastAsia="仿宋"/>
          <w:sz w:val="36"/>
          <w:szCs w:val="36"/>
        </w:rPr>
        <w:t>年</w:t>
      </w:r>
      <w:r>
        <w:rPr>
          <w:rFonts w:hint="eastAsia" w:eastAsia="仿宋"/>
          <w:sz w:val="36"/>
          <w:szCs w:val="36"/>
          <w:lang w:val="en-US" w:eastAsia="zh-CN"/>
        </w:rPr>
        <w:t>5</w:t>
      </w:r>
      <w:r>
        <w:rPr>
          <w:rFonts w:eastAsia="仿宋"/>
          <w:sz w:val="36"/>
          <w:szCs w:val="36"/>
        </w:rPr>
        <w:t>月</w:t>
      </w:r>
    </w:p>
    <w:p>
      <w:pPr>
        <w:spacing w:before="156" w:beforeLines="50" w:after="156" w:afterLines="50" w:line="600" w:lineRule="exact"/>
        <w:ind w:firstLine="0" w:firstLineChars="0"/>
        <w:jc w:val="center"/>
        <w:rPr>
          <w:rFonts w:eastAsia="仿宋"/>
          <w:sz w:val="36"/>
          <w:szCs w:val="36"/>
        </w:rPr>
      </w:pPr>
    </w:p>
    <w:p>
      <w:pPr>
        <w:spacing w:before="156" w:beforeLines="50" w:after="156" w:afterLines="50" w:line="600" w:lineRule="exact"/>
        <w:ind w:firstLine="640"/>
        <w:jc w:val="center"/>
        <w:rPr>
          <w:rFonts w:eastAsia="仿宋"/>
        </w:rPr>
        <w:sectPr>
          <w:headerReference r:id="rId7" w:type="first"/>
          <w:footerReference r:id="rId10" w:type="first"/>
          <w:headerReference r:id="rId5" w:type="default"/>
          <w:footerReference r:id="rId8" w:type="default"/>
          <w:headerReference r:id="rId6" w:type="even"/>
          <w:footerReference r:id="rId9" w:type="even"/>
          <w:pgSz w:w="11906" w:h="16838"/>
          <w:pgMar w:top="1871" w:right="1531" w:bottom="1814" w:left="1531" w:header="851" w:footer="1644" w:gutter="0"/>
          <w:pgNumType w:fmt="numberInDash" w:start="1"/>
          <w:cols w:space="720" w:num="1"/>
          <w:titlePg/>
          <w:docGrid w:type="lines" w:linePitch="312" w:charSpace="0"/>
        </w:sectPr>
      </w:pPr>
    </w:p>
    <w:bookmarkEnd w:id="0"/>
    <w:p>
      <w:pPr>
        <w:tabs>
          <w:tab w:val="left" w:pos="2670"/>
          <w:tab w:val="center" w:pos="4213"/>
        </w:tabs>
        <w:spacing w:before="624" w:beforeLines="200" w:after="468" w:afterLines="150"/>
        <w:ind w:firstLine="0" w:firstLineChars="0"/>
        <w:jc w:val="left"/>
        <w:rPr>
          <w:rFonts w:hint="eastAsia" w:eastAsia="黑体"/>
          <w:sz w:val="40"/>
          <w:szCs w:val="40"/>
          <w:lang w:val="en-US" w:eastAsia="zh-CN"/>
        </w:rPr>
      </w:pPr>
      <w:bookmarkStart w:id="1" w:name="_Toc505847765"/>
      <w:r>
        <w:rPr>
          <w:rFonts w:hint="eastAsia" w:eastAsia="黑体"/>
          <w:sz w:val="40"/>
          <w:szCs w:val="40"/>
          <w:lang w:eastAsia="zh-CN"/>
        </w:rPr>
        <w:tab/>
      </w:r>
      <w:r>
        <w:rPr>
          <w:rFonts w:hint="eastAsia" w:eastAsia="黑体"/>
          <w:sz w:val="40"/>
          <w:szCs w:val="40"/>
          <w:lang w:eastAsia="zh-CN"/>
        </w:rPr>
        <w:tab/>
      </w:r>
      <w:r>
        <w:rPr>
          <w:rFonts w:eastAsia="黑体"/>
          <w:sz w:val="40"/>
          <w:szCs w:val="40"/>
        </w:rPr>
        <w:t>目</w:t>
      </w:r>
      <w:r>
        <w:rPr>
          <w:rFonts w:hint="eastAsia" w:eastAsia="黑体"/>
          <w:sz w:val="40"/>
          <w:szCs w:val="40"/>
        </w:rPr>
        <w:t xml:space="preserve"> </w:t>
      </w:r>
      <w:r>
        <w:rPr>
          <w:rFonts w:eastAsia="黑体"/>
          <w:sz w:val="40"/>
          <w:szCs w:val="40"/>
        </w:rPr>
        <w:t xml:space="preserve"> 录</w:t>
      </w:r>
    </w:p>
    <w:p>
      <w:pPr>
        <w:pStyle w:val="37"/>
        <w:keepNext w:val="0"/>
        <w:keepLines w:val="0"/>
        <w:pageBreakBefore w:val="0"/>
        <w:widowControl w:val="0"/>
        <w:tabs>
          <w:tab w:val="right" w:leader="dot" w:pos="8306"/>
        </w:tabs>
        <w:kinsoku/>
        <w:wordWrap/>
        <w:overflowPunct/>
        <w:topLinePunct w:val="0"/>
        <w:autoSpaceDE/>
        <w:autoSpaceDN/>
        <w:bidi w:val="0"/>
        <w:adjustRightInd/>
        <w:snapToGrid/>
        <w:ind w:left="0" w:leftChars="0" w:firstLine="760" w:firstLineChars="200"/>
        <w:textAlignment w:val="auto"/>
      </w:pPr>
      <w:r>
        <w:rPr>
          <w:sz w:val="38"/>
          <w:szCs w:val="38"/>
        </w:rPr>
        <w:fldChar w:fldCharType="begin"/>
      </w:r>
      <w:r>
        <w:rPr>
          <w:sz w:val="38"/>
          <w:szCs w:val="38"/>
        </w:rPr>
        <w:instrText xml:space="preserve"> TOC \o "1-2" \h \z \u </w:instrText>
      </w:r>
      <w:r>
        <w:rPr>
          <w:sz w:val="38"/>
          <w:szCs w:val="38"/>
        </w:rPr>
        <w:fldChar w:fldCharType="separate"/>
      </w:r>
      <w:r>
        <w:rPr>
          <w:szCs w:val="38"/>
        </w:rPr>
        <w:fldChar w:fldCharType="begin"/>
      </w:r>
      <w:r>
        <w:rPr>
          <w:szCs w:val="38"/>
        </w:rPr>
        <w:instrText xml:space="preserve"> HYPERLINK \l _Toc27737 </w:instrText>
      </w:r>
      <w:r>
        <w:rPr>
          <w:szCs w:val="38"/>
        </w:rPr>
        <w:fldChar w:fldCharType="separate"/>
      </w:r>
      <w:r>
        <w:rPr>
          <w:szCs w:val="36"/>
        </w:rPr>
        <w:t>一、环境空气质量监测</w:t>
      </w:r>
      <w:r>
        <w:tab/>
      </w:r>
      <w:r>
        <w:fldChar w:fldCharType="begin"/>
      </w:r>
      <w:r>
        <w:instrText xml:space="preserve"> PAGEREF _Toc27737 \h </w:instrText>
      </w:r>
      <w:r>
        <w:fldChar w:fldCharType="separate"/>
      </w:r>
      <w:r>
        <w:t>- 1 -</w:t>
      </w:r>
      <w:r>
        <w:fldChar w:fldCharType="end"/>
      </w:r>
      <w:r>
        <w:rPr>
          <w:szCs w:val="38"/>
        </w:rPr>
        <w:fldChar w:fldCharType="end"/>
      </w:r>
    </w:p>
    <w:p>
      <w:pPr>
        <w:pStyle w:val="47"/>
        <w:tabs>
          <w:tab w:val="right" w:leader="dot" w:pos="8306"/>
        </w:tabs>
      </w:pPr>
      <w:r>
        <w:rPr>
          <w:rFonts w:eastAsia="黑体"/>
          <w:szCs w:val="38"/>
        </w:rPr>
        <w:fldChar w:fldCharType="begin"/>
      </w:r>
      <w:r>
        <w:rPr>
          <w:rFonts w:eastAsia="黑体"/>
          <w:szCs w:val="38"/>
        </w:rPr>
        <w:instrText xml:space="preserve"> HYPERLINK \l _Toc10574 </w:instrText>
      </w:r>
      <w:r>
        <w:rPr>
          <w:rFonts w:eastAsia="黑体"/>
          <w:szCs w:val="38"/>
        </w:rPr>
        <w:fldChar w:fldCharType="separate"/>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一）</w:t>
      </w:r>
      <w:r>
        <w:rPr>
          <w:rFonts w:hint="eastAsia" w:ascii="楷体_GB2312" w:hAnsi="楷体_GB2312" w:eastAsia="楷体_GB2312" w:cs="楷体_GB2312"/>
        </w:rPr>
        <w:t>国家环境空气质量监测网监测</w:t>
      </w:r>
      <w:r>
        <w:tab/>
      </w:r>
      <w:r>
        <w:fldChar w:fldCharType="begin"/>
      </w:r>
      <w:r>
        <w:instrText xml:space="preserve"> PAGEREF _Toc10574 \h </w:instrText>
      </w:r>
      <w:r>
        <w:fldChar w:fldCharType="separate"/>
      </w:r>
      <w:r>
        <w:t>- 1 -</w:t>
      </w:r>
      <w:r>
        <w:fldChar w:fldCharType="end"/>
      </w:r>
      <w:r>
        <w:rPr>
          <w:rFonts w:eastAsia="黑体"/>
          <w:szCs w:val="38"/>
        </w:rPr>
        <w:fldChar w:fldCharType="end"/>
      </w:r>
    </w:p>
    <w:p>
      <w:pPr>
        <w:pStyle w:val="47"/>
        <w:tabs>
          <w:tab w:val="right" w:leader="dot" w:pos="8306"/>
        </w:tabs>
      </w:pPr>
      <w:r>
        <w:rPr>
          <w:rFonts w:eastAsia="黑体"/>
          <w:szCs w:val="38"/>
        </w:rPr>
        <w:fldChar w:fldCharType="begin"/>
      </w:r>
      <w:r>
        <w:rPr>
          <w:rFonts w:eastAsia="黑体"/>
          <w:szCs w:val="38"/>
        </w:rPr>
        <w:instrText xml:space="preserve"> HYPERLINK \l _Toc17606 </w:instrText>
      </w:r>
      <w:r>
        <w:rPr>
          <w:rFonts w:eastAsia="黑体"/>
          <w:szCs w:val="38"/>
        </w:rPr>
        <w:fldChar w:fldCharType="separate"/>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二）</w:t>
      </w:r>
      <w:r>
        <w:rPr>
          <w:rFonts w:hint="eastAsia" w:ascii="楷体_GB2312" w:hAnsi="楷体_GB2312" w:eastAsia="楷体_GB2312" w:cs="楷体_GB2312"/>
        </w:rPr>
        <w:t>省环境空气质量监测网监测</w:t>
      </w:r>
      <w:bookmarkStart w:id="346" w:name="_GoBack"/>
      <w:bookmarkEnd w:id="346"/>
      <w:r>
        <w:tab/>
      </w:r>
      <w:r>
        <w:fldChar w:fldCharType="begin"/>
      </w:r>
      <w:r>
        <w:instrText xml:space="preserve"> PAGEREF _Toc17606 \h </w:instrText>
      </w:r>
      <w:r>
        <w:fldChar w:fldCharType="separate"/>
      </w:r>
      <w:r>
        <w:t>- 2 -</w:t>
      </w:r>
      <w:r>
        <w:fldChar w:fldCharType="end"/>
      </w:r>
      <w:r>
        <w:rPr>
          <w:rFonts w:eastAsia="黑体"/>
          <w:szCs w:val="38"/>
        </w:rPr>
        <w:fldChar w:fldCharType="end"/>
      </w:r>
    </w:p>
    <w:p>
      <w:pPr>
        <w:pStyle w:val="47"/>
        <w:tabs>
          <w:tab w:val="right" w:leader="dot" w:pos="8306"/>
        </w:tabs>
      </w:pPr>
      <w:r>
        <w:rPr>
          <w:rFonts w:eastAsia="黑体"/>
          <w:szCs w:val="38"/>
        </w:rPr>
        <w:fldChar w:fldCharType="begin"/>
      </w:r>
      <w:r>
        <w:rPr>
          <w:rFonts w:eastAsia="黑体"/>
          <w:szCs w:val="38"/>
        </w:rPr>
        <w:instrText xml:space="preserve"> HYPERLINK \l _Toc29385 </w:instrText>
      </w:r>
      <w:r>
        <w:rPr>
          <w:rFonts w:eastAsia="黑体"/>
          <w:szCs w:val="38"/>
        </w:rPr>
        <w:fldChar w:fldCharType="separate"/>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三）</w:t>
      </w:r>
      <w:r>
        <w:rPr>
          <w:rFonts w:hint="eastAsia" w:ascii="楷体_GB2312" w:hAnsi="楷体_GB2312" w:eastAsia="楷体_GB2312" w:cs="楷体_GB2312"/>
        </w:rPr>
        <w:t>降水监测</w:t>
      </w:r>
      <w:r>
        <w:tab/>
      </w:r>
      <w:r>
        <w:fldChar w:fldCharType="begin"/>
      </w:r>
      <w:r>
        <w:instrText xml:space="preserve"> PAGEREF _Toc29385 \h </w:instrText>
      </w:r>
      <w:r>
        <w:fldChar w:fldCharType="separate"/>
      </w:r>
      <w:r>
        <w:t>- 3 -</w:t>
      </w:r>
      <w:r>
        <w:fldChar w:fldCharType="end"/>
      </w:r>
      <w:r>
        <w:rPr>
          <w:rFonts w:eastAsia="黑体"/>
          <w:szCs w:val="38"/>
        </w:rPr>
        <w:fldChar w:fldCharType="end"/>
      </w:r>
    </w:p>
    <w:p>
      <w:pPr>
        <w:pStyle w:val="47"/>
        <w:tabs>
          <w:tab w:val="right" w:leader="dot" w:pos="8306"/>
        </w:tabs>
      </w:pPr>
      <w:r>
        <w:rPr>
          <w:rFonts w:eastAsia="黑体"/>
          <w:szCs w:val="38"/>
        </w:rPr>
        <w:fldChar w:fldCharType="begin"/>
      </w:r>
      <w:r>
        <w:rPr>
          <w:rFonts w:eastAsia="黑体"/>
          <w:szCs w:val="38"/>
        </w:rPr>
        <w:instrText xml:space="preserve"> HYPERLINK \l _Toc16688 </w:instrText>
      </w:r>
      <w:r>
        <w:rPr>
          <w:rFonts w:eastAsia="黑体"/>
          <w:szCs w:val="38"/>
        </w:rPr>
        <w:fldChar w:fldCharType="separate"/>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四）</w:t>
      </w:r>
      <w:r>
        <w:rPr>
          <w:rFonts w:hint="eastAsia" w:ascii="楷体_GB2312" w:hAnsi="楷体_GB2312" w:eastAsia="楷体_GB2312" w:cs="楷体_GB2312"/>
        </w:rPr>
        <w:t>大气颗粒物组分监测</w:t>
      </w:r>
      <w:r>
        <w:tab/>
      </w:r>
      <w:r>
        <w:fldChar w:fldCharType="begin"/>
      </w:r>
      <w:r>
        <w:instrText xml:space="preserve"> PAGEREF _Toc16688 \h </w:instrText>
      </w:r>
      <w:r>
        <w:fldChar w:fldCharType="separate"/>
      </w:r>
      <w:r>
        <w:t>- 4 -</w:t>
      </w:r>
      <w:r>
        <w:fldChar w:fldCharType="end"/>
      </w:r>
      <w:r>
        <w:rPr>
          <w:rFonts w:eastAsia="黑体"/>
          <w:szCs w:val="38"/>
        </w:rPr>
        <w:fldChar w:fldCharType="end"/>
      </w:r>
    </w:p>
    <w:p>
      <w:pPr>
        <w:pStyle w:val="47"/>
        <w:tabs>
          <w:tab w:val="right" w:leader="dot" w:pos="8306"/>
        </w:tabs>
      </w:pPr>
      <w:r>
        <w:rPr>
          <w:rFonts w:eastAsia="黑体"/>
          <w:szCs w:val="38"/>
        </w:rPr>
        <w:fldChar w:fldCharType="begin"/>
      </w:r>
      <w:r>
        <w:rPr>
          <w:rFonts w:eastAsia="黑体"/>
          <w:szCs w:val="38"/>
        </w:rPr>
        <w:instrText xml:space="preserve"> HYPERLINK \l _Toc32667 </w:instrText>
      </w:r>
      <w:r>
        <w:rPr>
          <w:rFonts w:eastAsia="黑体"/>
          <w:szCs w:val="38"/>
        </w:rPr>
        <w:fldChar w:fldCharType="separate"/>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五）</w:t>
      </w:r>
      <w:r>
        <w:rPr>
          <w:rFonts w:hint="eastAsia" w:ascii="楷体_GB2312" w:hAnsi="楷体_GB2312" w:eastAsia="楷体_GB2312" w:cs="楷体_GB2312"/>
        </w:rPr>
        <w:t>环境空气挥发性有机物（VOCs）监测</w:t>
      </w:r>
      <w:r>
        <w:tab/>
      </w:r>
      <w:r>
        <w:fldChar w:fldCharType="begin"/>
      </w:r>
      <w:r>
        <w:instrText xml:space="preserve"> PAGEREF _Toc32667 \h </w:instrText>
      </w:r>
      <w:r>
        <w:fldChar w:fldCharType="separate"/>
      </w:r>
      <w:r>
        <w:t>- 7 -</w:t>
      </w:r>
      <w:r>
        <w:fldChar w:fldCharType="end"/>
      </w:r>
      <w:r>
        <w:rPr>
          <w:rFonts w:eastAsia="黑体"/>
          <w:szCs w:val="38"/>
        </w:rPr>
        <w:fldChar w:fldCharType="end"/>
      </w:r>
    </w:p>
    <w:p>
      <w:pPr>
        <w:pStyle w:val="47"/>
        <w:tabs>
          <w:tab w:val="right" w:leader="dot" w:pos="8306"/>
        </w:tabs>
      </w:pPr>
      <w:r>
        <w:rPr>
          <w:rFonts w:eastAsia="黑体"/>
          <w:szCs w:val="38"/>
        </w:rPr>
        <w:fldChar w:fldCharType="begin"/>
      </w:r>
      <w:r>
        <w:rPr>
          <w:rFonts w:eastAsia="黑体"/>
          <w:szCs w:val="38"/>
        </w:rPr>
        <w:instrText xml:space="preserve"> HYPERLINK \l _Toc28329 </w:instrText>
      </w:r>
      <w:r>
        <w:rPr>
          <w:rFonts w:eastAsia="黑体"/>
          <w:szCs w:val="38"/>
        </w:rPr>
        <w:fldChar w:fldCharType="separate"/>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六）</w:t>
      </w:r>
      <w:r>
        <w:rPr>
          <w:rFonts w:hint="eastAsia" w:ascii="楷体_GB2312" w:hAnsi="楷体_GB2312" w:eastAsia="楷体_GB2312" w:cs="楷体_GB2312"/>
        </w:rPr>
        <w:t>交通</w:t>
      </w:r>
      <w:r>
        <w:rPr>
          <w:rFonts w:hint="eastAsia" w:ascii="楷体_GB2312" w:hAnsi="楷体_GB2312" w:eastAsia="楷体_GB2312" w:cs="楷体_GB2312"/>
          <w:lang w:val="en-US" w:eastAsia="zh-CN"/>
        </w:rPr>
        <w:t>污染专项</w:t>
      </w:r>
      <w:r>
        <w:rPr>
          <w:rFonts w:hint="eastAsia" w:ascii="楷体_GB2312" w:hAnsi="楷体_GB2312" w:eastAsia="楷体_GB2312" w:cs="楷体_GB2312"/>
        </w:rPr>
        <w:t>监测</w:t>
      </w:r>
      <w:r>
        <w:tab/>
      </w:r>
      <w:r>
        <w:fldChar w:fldCharType="begin"/>
      </w:r>
      <w:r>
        <w:instrText xml:space="preserve"> PAGEREF _Toc28329 \h </w:instrText>
      </w:r>
      <w:r>
        <w:fldChar w:fldCharType="separate"/>
      </w:r>
      <w:r>
        <w:t>- 11 -</w:t>
      </w:r>
      <w:r>
        <w:fldChar w:fldCharType="end"/>
      </w:r>
      <w:r>
        <w:rPr>
          <w:rFonts w:eastAsia="黑体"/>
          <w:szCs w:val="38"/>
        </w:rPr>
        <w:fldChar w:fldCharType="end"/>
      </w:r>
    </w:p>
    <w:p>
      <w:pPr>
        <w:pStyle w:val="47"/>
        <w:tabs>
          <w:tab w:val="right" w:leader="dot" w:pos="8306"/>
        </w:tabs>
      </w:pPr>
      <w:r>
        <w:rPr>
          <w:rFonts w:eastAsia="黑体"/>
          <w:szCs w:val="38"/>
        </w:rPr>
        <w:fldChar w:fldCharType="begin"/>
      </w:r>
      <w:r>
        <w:rPr>
          <w:rFonts w:eastAsia="黑体"/>
          <w:szCs w:val="38"/>
        </w:rPr>
        <w:instrText xml:space="preserve"> HYPERLINK \l _Toc27903 </w:instrText>
      </w:r>
      <w:r>
        <w:rPr>
          <w:rFonts w:eastAsia="黑体"/>
          <w:szCs w:val="38"/>
        </w:rPr>
        <w:fldChar w:fldCharType="separate"/>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七）工业园区专项监测</w:t>
      </w:r>
      <w:r>
        <w:tab/>
      </w:r>
      <w:r>
        <w:fldChar w:fldCharType="begin"/>
      </w:r>
      <w:r>
        <w:instrText xml:space="preserve"> PAGEREF _Toc27903 \h </w:instrText>
      </w:r>
      <w:r>
        <w:fldChar w:fldCharType="separate"/>
      </w:r>
      <w:r>
        <w:t>- 12 -</w:t>
      </w:r>
      <w:r>
        <w:fldChar w:fldCharType="end"/>
      </w:r>
      <w:r>
        <w:rPr>
          <w:rFonts w:eastAsia="黑体"/>
          <w:szCs w:val="38"/>
        </w:rPr>
        <w:fldChar w:fldCharType="end"/>
      </w:r>
    </w:p>
    <w:p>
      <w:pPr>
        <w:pStyle w:val="47"/>
        <w:tabs>
          <w:tab w:val="right" w:leader="dot" w:pos="8306"/>
        </w:tabs>
      </w:pPr>
      <w:r>
        <w:rPr>
          <w:rFonts w:eastAsia="黑体"/>
          <w:szCs w:val="38"/>
        </w:rPr>
        <w:fldChar w:fldCharType="begin"/>
      </w:r>
      <w:r>
        <w:rPr>
          <w:rFonts w:eastAsia="黑体"/>
          <w:szCs w:val="38"/>
        </w:rPr>
        <w:instrText xml:space="preserve"> HYPERLINK \l _Toc28716 </w:instrText>
      </w:r>
      <w:r>
        <w:rPr>
          <w:rFonts w:eastAsia="黑体"/>
          <w:szCs w:val="38"/>
        </w:rPr>
        <w:fldChar w:fldCharType="separate"/>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八）</w:t>
      </w:r>
      <w:r>
        <w:rPr>
          <w:rFonts w:hint="eastAsia" w:ascii="楷体_GB2312" w:hAnsi="楷体_GB2312" w:eastAsia="楷体_GB2312" w:cs="楷体_GB2312"/>
          <w:lang w:eastAsia="zh-CN"/>
        </w:rPr>
        <w:t>环境空气降尘量监测</w:t>
      </w:r>
      <w:r>
        <w:tab/>
      </w:r>
      <w:r>
        <w:fldChar w:fldCharType="begin"/>
      </w:r>
      <w:r>
        <w:instrText xml:space="preserve"> PAGEREF _Toc28716 \h </w:instrText>
      </w:r>
      <w:r>
        <w:fldChar w:fldCharType="separate"/>
      </w:r>
      <w:r>
        <w:t>- 13 -</w:t>
      </w:r>
      <w:r>
        <w:fldChar w:fldCharType="end"/>
      </w:r>
      <w:r>
        <w:rPr>
          <w:rFonts w:eastAsia="黑体"/>
          <w:szCs w:val="38"/>
        </w:rPr>
        <w:fldChar w:fldCharType="end"/>
      </w:r>
    </w:p>
    <w:p>
      <w:pPr>
        <w:pStyle w:val="37"/>
        <w:tabs>
          <w:tab w:val="right" w:leader="dot" w:pos="8306"/>
        </w:tabs>
      </w:pPr>
      <w:r>
        <w:rPr>
          <w:rFonts w:eastAsia="黑体"/>
          <w:szCs w:val="38"/>
        </w:rPr>
        <w:fldChar w:fldCharType="begin"/>
      </w:r>
      <w:r>
        <w:rPr>
          <w:rFonts w:eastAsia="黑体"/>
          <w:szCs w:val="38"/>
        </w:rPr>
        <w:instrText xml:space="preserve"> HYPERLINK \l _Toc2569 </w:instrText>
      </w:r>
      <w:r>
        <w:rPr>
          <w:rFonts w:eastAsia="黑体"/>
          <w:szCs w:val="38"/>
        </w:rPr>
        <w:fldChar w:fldCharType="separate"/>
      </w:r>
      <w:r>
        <w:rPr>
          <w:szCs w:val="36"/>
        </w:rPr>
        <w:t>二、地表水生态环境质量监测</w:t>
      </w:r>
      <w:r>
        <w:tab/>
      </w:r>
      <w:r>
        <w:fldChar w:fldCharType="begin"/>
      </w:r>
      <w:r>
        <w:instrText xml:space="preserve"> PAGEREF _Toc2569 \h </w:instrText>
      </w:r>
      <w:r>
        <w:fldChar w:fldCharType="separate"/>
      </w:r>
      <w:r>
        <w:t>- 15 -</w:t>
      </w:r>
      <w:r>
        <w:fldChar w:fldCharType="end"/>
      </w:r>
      <w:r>
        <w:rPr>
          <w:rFonts w:eastAsia="黑体"/>
          <w:szCs w:val="38"/>
        </w:rPr>
        <w:fldChar w:fldCharType="end"/>
      </w:r>
    </w:p>
    <w:p>
      <w:pPr>
        <w:pStyle w:val="47"/>
        <w:tabs>
          <w:tab w:val="right" w:leader="dot" w:pos="8306"/>
        </w:tabs>
      </w:pPr>
      <w:r>
        <w:rPr>
          <w:rFonts w:eastAsia="黑体"/>
          <w:szCs w:val="38"/>
        </w:rPr>
        <w:fldChar w:fldCharType="begin"/>
      </w:r>
      <w:r>
        <w:rPr>
          <w:rFonts w:eastAsia="黑体"/>
          <w:szCs w:val="38"/>
        </w:rPr>
        <w:instrText xml:space="preserve"> HYPERLINK \l _Toc14455 </w:instrText>
      </w:r>
      <w:r>
        <w:rPr>
          <w:rFonts w:eastAsia="黑体"/>
          <w:szCs w:val="38"/>
        </w:rPr>
        <w:fldChar w:fldCharType="separate"/>
      </w:r>
      <w:r>
        <w:rPr>
          <w:rFonts w:hint="eastAsia" w:ascii="楷体_GB2312" w:hAnsi="楷体_GB2312" w:eastAsia="楷体_GB2312" w:cs="楷体_GB2312"/>
          <w:lang w:val="en-US" w:eastAsia="zh-CN"/>
        </w:rPr>
        <w:t>(九）</w:t>
      </w:r>
      <w:r>
        <w:rPr>
          <w:rFonts w:hint="eastAsia" w:ascii="楷体_GB2312" w:hAnsi="楷体_GB2312" w:eastAsia="楷体_GB2312" w:cs="楷体_GB2312"/>
          <w:lang w:eastAsia="zh-CN"/>
        </w:rPr>
        <w:t>河流水质监测</w:t>
      </w:r>
      <w:r>
        <w:tab/>
      </w:r>
      <w:r>
        <w:fldChar w:fldCharType="begin"/>
      </w:r>
      <w:r>
        <w:instrText xml:space="preserve"> PAGEREF _Toc14455 \h </w:instrText>
      </w:r>
      <w:r>
        <w:fldChar w:fldCharType="separate"/>
      </w:r>
      <w:r>
        <w:t>- 15 -</w:t>
      </w:r>
      <w:r>
        <w:fldChar w:fldCharType="end"/>
      </w:r>
      <w:r>
        <w:rPr>
          <w:rFonts w:eastAsia="黑体"/>
          <w:szCs w:val="38"/>
        </w:rPr>
        <w:fldChar w:fldCharType="end"/>
      </w:r>
    </w:p>
    <w:p>
      <w:pPr>
        <w:pStyle w:val="47"/>
        <w:tabs>
          <w:tab w:val="right" w:leader="dot" w:pos="8306"/>
        </w:tabs>
      </w:pPr>
      <w:r>
        <w:rPr>
          <w:rFonts w:eastAsia="黑体"/>
          <w:szCs w:val="38"/>
        </w:rPr>
        <w:fldChar w:fldCharType="begin"/>
      </w:r>
      <w:r>
        <w:rPr>
          <w:rFonts w:eastAsia="黑体"/>
          <w:szCs w:val="38"/>
        </w:rPr>
        <w:instrText xml:space="preserve"> HYPERLINK \l _Toc18061 </w:instrText>
      </w:r>
      <w:r>
        <w:rPr>
          <w:rFonts w:eastAsia="黑体"/>
          <w:szCs w:val="38"/>
        </w:rPr>
        <w:fldChar w:fldCharType="separate"/>
      </w:r>
      <w:r>
        <w:rPr>
          <w:rFonts w:hint="eastAsia" w:ascii="楷体_GB2312" w:hAnsi="楷体_GB2312" w:eastAsia="楷体_GB2312" w:cs="楷体_GB2312"/>
          <w:lang w:val="en-US" w:eastAsia="zh-CN"/>
        </w:rPr>
        <w:t>(十）</w:t>
      </w:r>
      <w:r>
        <w:rPr>
          <w:rFonts w:hint="eastAsia" w:ascii="楷体_GB2312" w:hAnsi="楷体_GB2312" w:eastAsia="楷体_GB2312" w:cs="楷体_GB2312"/>
          <w:lang w:eastAsia="zh-CN"/>
        </w:rPr>
        <w:t>河流水质</w:t>
      </w:r>
      <w:r>
        <w:rPr>
          <w:rFonts w:hint="eastAsia" w:ascii="楷体_GB2312" w:hAnsi="楷体_GB2312" w:eastAsia="楷体_GB2312" w:cs="楷体_GB2312"/>
          <w:lang w:val="en-US" w:eastAsia="zh-CN"/>
        </w:rPr>
        <w:t>总氮加密</w:t>
      </w:r>
      <w:r>
        <w:rPr>
          <w:rFonts w:hint="eastAsia" w:ascii="楷体_GB2312" w:hAnsi="楷体_GB2312" w:eastAsia="楷体_GB2312" w:cs="楷体_GB2312"/>
          <w:lang w:eastAsia="zh-CN"/>
        </w:rPr>
        <w:t>监测</w:t>
      </w:r>
      <w:r>
        <w:tab/>
      </w:r>
      <w:r>
        <w:fldChar w:fldCharType="begin"/>
      </w:r>
      <w:r>
        <w:instrText xml:space="preserve"> PAGEREF _Toc18061 \h </w:instrText>
      </w:r>
      <w:r>
        <w:fldChar w:fldCharType="separate"/>
      </w:r>
      <w:r>
        <w:t>- 17 -</w:t>
      </w:r>
      <w:r>
        <w:fldChar w:fldCharType="end"/>
      </w:r>
      <w:r>
        <w:rPr>
          <w:rFonts w:eastAsia="黑体"/>
          <w:szCs w:val="38"/>
        </w:rPr>
        <w:fldChar w:fldCharType="end"/>
      </w:r>
    </w:p>
    <w:p>
      <w:pPr>
        <w:pStyle w:val="47"/>
        <w:tabs>
          <w:tab w:val="right" w:leader="dot" w:pos="8306"/>
        </w:tabs>
      </w:pPr>
      <w:r>
        <w:rPr>
          <w:rFonts w:eastAsia="黑体"/>
          <w:szCs w:val="38"/>
        </w:rPr>
        <w:fldChar w:fldCharType="begin"/>
      </w:r>
      <w:r>
        <w:rPr>
          <w:rFonts w:eastAsia="黑体"/>
          <w:szCs w:val="38"/>
        </w:rPr>
        <w:instrText xml:space="preserve"> HYPERLINK \l _Toc26581 </w:instrText>
      </w:r>
      <w:r>
        <w:rPr>
          <w:rFonts w:eastAsia="黑体"/>
          <w:szCs w:val="38"/>
        </w:rPr>
        <w:fldChar w:fldCharType="separate"/>
      </w:r>
      <w:r>
        <w:rPr>
          <w:rFonts w:hint="eastAsia" w:ascii="楷体_GB2312" w:hAnsi="楷体_GB2312" w:eastAsia="楷体_GB2312" w:cs="楷体_GB2312"/>
          <w:lang w:val="en-US" w:eastAsia="zh-CN"/>
        </w:rPr>
        <w:t>(十一）国家地表水环境质量监测网水质自动监测</w:t>
      </w:r>
      <w:r>
        <w:tab/>
      </w:r>
      <w:r>
        <w:fldChar w:fldCharType="begin"/>
      </w:r>
      <w:r>
        <w:instrText xml:space="preserve"> PAGEREF _Toc26581 \h </w:instrText>
      </w:r>
      <w:r>
        <w:fldChar w:fldCharType="separate"/>
      </w:r>
      <w:r>
        <w:t>- 19 -</w:t>
      </w:r>
      <w:r>
        <w:fldChar w:fldCharType="end"/>
      </w:r>
      <w:r>
        <w:rPr>
          <w:rFonts w:eastAsia="黑体"/>
          <w:szCs w:val="38"/>
        </w:rPr>
        <w:fldChar w:fldCharType="end"/>
      </w:r>
    </w:p>
    <w:p>
      <w:pPr>
        <w:pStyle w:val="47"/>
        <w:tabs>
          <w:tab w:val="right" w:leader="dot" w:pos="8306"/>
        </w:tabs>
      </w:pPr>
      <w:r>
        <w:rPr>
          <w:rFonts w:eastAsia="黑体"/>
          <w:szCs w:val="38"/>
        </w:rPr>
        <w:fldChar w:fldCharType="begin"/>
      </w:r>
      <w:r>
        <w:rPr>
          <w:rFonts w:eastAsia="黑体"/>
          <w:szCs w:val="38"/>
        </w:rPr>
        <w:instrText xml:space="preserve"> HYPERLINK \l _Toc6738 </w:instrText>
      </w:r>
      <w:r>
        <w:rPr>
          <w:rFonts w:eastAsia="黑体"/>
          <w:szCs w:val="38"/>
        </w:rPr>
        <w:fldChar w:fldCharType="separate"/>
      </w:r>
      <w:r>
        <w:rPr>
          <w:rFonts w:hint="eastAsia" w:ascii="楷体_GB2312" w:hAnsi="楷体_GB2312" w:eastAsia="楷体_GB2312" w:cs="楷体_GB2312"/>
          <w:lang w:val="en-US" w:eastAsia="zh-CN"/>
        </w:rPr>
        <w:t>（十二）省级水质自动监测</w:t>
      </w:r>
      <w:r>
        <w:tab/>
      </w:r>
      <w:r>
        <w:fldChar w:fldCharType="begin"/>
      </w:r>
      <w:r>
        <w:instrText xml:space="preserve"> PAGEREF _Toc6738 \h </w:instrText>
      </w:r>
      <w:r>
        <w:fldChar w:fldCharType="separate"/>
      </w:r>
      <w:r>
        <w:t>- 20 -</w:t>
      </w:r>
      <w:r>
        <w:fldChar w:fldCharType="end"/>
      </w:r>
      <w:r>
        <w:rPr>
          <w:rFonts w:eastAsia="黑体"/>
          <w:szCs w:val="38"/>
        </w:rPr>
        <w:fldChar w:fldCharType="end"/>
      </w:r>
    </w:p>
    <w:p>
      <w:pPr>
        <w:pStyle w:val="37"/>
        <w:tabs>
          <w:tab w:val="right" w:leader="dot" w:pos="8306"/>
        </w:tabs>
      </w:pPr>
      <w:r>
        <w:rPr>
          <w:rFonts w:eastAsia="黑体"/>
          <w:szCs w:val="38"/>
        </w:rPr>
        <w:fldChar w:fldCharType="begin"/>
      </w:r>
      <w:r>
        <w:rPr>
          <w:rFonts w:eastAsia="黑体"/>
          <w:szCs w:val="38"/>
        </w:rPr>
        <w:instrText xml:space="preserve"> HYPERLINK \l _Toc5392 </w:instrText>
      </w:r>
      <w:r>
        <w:rPr>
          <w:rFonts w:eastAsia="黑体"/>
          <w:szCs w:val="38"/>
        </w:rPr>
        <w:fldChar w:fldCharType="separate"/>
      </w:r>
      <w:r>
        <w:rPr>
          <w:szCs w:val="36"/>
          <w:highlight w:val="none"/>
        </w:rPr>
        <w:t>三、土壤和地下水环境质量监测</w:t>
      </w:r>
      <w:r>
        <w:tab/>
      </w:r>
      <w:r>
        <w:fldChar w:fldCharType="begin"/>
      </w:r>
      <w:r>
        <w:instrText xml:space="preserve"> PAGEREF _Toc5392 \h </w:instrText>
      </w:r>
      <w:r>
        <w:fldChar w:fldCharType="separate"/>
      </w:r>
      <w:r>
        <w:t>- 21 -</w:t>
      </w:r>
      <w:r>
        <w:fldChar w:fldCharType="end"/>
      </w:r>
      <w:r>
        <w:rPr>
          <w:rFonts w:eastAsia="黑体"/>
          <w:szCs w:val="38"/>
        </w:rPr>
        <w:fldChar w:fldCharType="end"/>
      </w:r>
    </w:p>
    <w:p>
      <w:pPr>
        <w:pStyle w:val="47"/>
        <w:tabs>
          <w:tab w:val="right" w:leader="dot" w:pos="8306"/>
        </w:tabs>
      </w:pPr>
      <w:r>
        <w:rPr>
          <w:rFonts w:eastAsia="黑体"/>
          <w:szCs w:val="38"/>
        </w:rPr>
        <w:fldChar w:fldCharType="begin"/>
      </w:r>
      <w:r>
        <w:rPr>
          <w:rFonts w:eastAsia="黑体"/>
          <w:szCs w:val="38"/>
        </w:rPr>
        <w:instrText xml:space="preserve"> HYPERLINK \l _Toc11941 </w:instrText>
      </w:r>
      <w:r>
        <w:rPr>
          <w:rFonts w:eastAsia="黑体"/>
          <w:szCs w:val="38"/>
        </w:rPr>
        <w:fldChar w:fldCharType="separate"/>
      </w:r>
      <w:r>
        <w:rPr>
          <w:rFonts w:hint="eastAsia" w:ascii="楷体_GB2312" w:hAnsi="楷体_GB2312" w:eastAsia="楷体_GB2312" w:cs="楷体_GB2312"/>
          <w:lang w:val="en-US" w:eastAsia="zh-CN"/>
        </w:rPr>
        <w:t>（十三）地下水污染防治重点排污单位周边地下水监测</w:t>
      </w:r>
      <w:r>
        <w:tab/>
      </w:r>
      <w:r>
        <w:fldChar w:fldCharType="begin"/>
      </w:r>
      <w:r>
        <w:instrText xml:space="preserve"> PAGEREF _Toc11941 \h </w:instrText>
      </w:r>
      <w:r>
        <w:fldChar w:fldCharType="separate"/>
      </w:r>
      <w:r>
        <w:t>- 21 -</w:t>
      </w:r>
      <w:r>
        <w:fldChar w:fldCharType="end"/>
      </w:r>
      <w:r>
        <w:rPr>
          <w:rFonts w:eastAsia="黑体"/>
          <w:szCs w:val="38"/>
        </w:rPr>
        <w:fldChar w:fldCharType="end"/>
      </w:r>
    </w:p>
    <w:p>
      <w:pPr>
        <w:pStyle w:val="37"/>
        <w:tabs>
          <w:tab w:val="right" w:leader="dot" w:pos="8306"/>
        </w:tabs>
      </w:pPr>
      <w:r>
        <w:rPr>
          <w:rFonts w:eastAsia="黑体"/>
          <w:szCs w:val="38"/>
        </w:rPr>
        <w:fldChar w:fldCharType="begin"/>
      </w:r>
      <w:r>
        <w:rPr>
          <w:rFonts w:eastAsia="黑体"/>
          <w:szCs w:val="38"/>
        </w:rPr>
        <w:instrText xml:space="preserve"> HYPERLINK \l _Toc17192 </w:instrText>
      </w:r>
      <w:r>
        <w:rPr>
          <w:rFonts w:eastAsia="黑体"/>
          <w:szCs w:val="38"/>
        </w:rPr>
        <w:fldChar w:fldCharType="separate"/>
      </w:r>
      <w:r>
        <w:rPr>
          <w:rFonts w:ascii="Times New Roman" w:hAnsi="Times New Roman" w:eastAsia="黑体" w:cs="Times New Roman"/>
          <w:bCs/>
          <w:kern w:val="44"/>
          <w:szCs w:val="36"/>
          <w:highlight w:val="none"/>
          <w:lang w:val="en-US" w:eastAsia="zh-CN" w:bidi="ar-SA"/>
        </w:rPr>
        <w:t>四、海洋生态环境监测</w:t>
      </w:r>
      <w:r>
        <w:tab/>
      </w:r>
      <w:r>
        <w:fldChar w:fldCharType="begin"/>
      </w:r>
      <w:r>
        <w:instrText xml:space="preserve"> PAGEREF _Toc17192 \h </w:instrText>
      </w:r>
      <w:r>
        <w:fldChar w:fldCharType="separate"/>
      </w:r>
      <w:r>
        <w:t>- 22 -</w:t>
      </w:r>
      <w:r>
        <w:fldChar w:fldCharType="end"/>
      </w:r>
      <w:r>
        <w:rPr>
          <w:rFonts w:eastAsia="黑体"/>
          <w:szCs w:val="38"/>
        </w:rPr>
        <w:fldChar w:fldCharType="end"/>
      </w:r>
    </w:p>
    <w:p>
      <w:pPr>
        <w:pStyle w:val="47"/>
        <w:tabs>
          <w:tab w:val="right" w:leader="dot" w:pos="8306"/>
        </w:tabs>
      </w:pPr>
      <w:r>
        <w:rPr>
          <w:rFonts w:eastAsia="黑体"/>
          <w:szCs w:val="38"/>
        </w:rPr>
        <w:fldChar w:fldCharType="begin"/>
      </w:r>
      <w:r>
        <w:rPr>
          <w:rFonts w:eastAsia="黑体"/>
          <w:szCs w:val="38"/>
        </w:rPr>
        <w:instrText xml:space="preserve"> HYPERLINK \l _Toc9679 </w:instrText>
      </w:r>
      <w:r>
        <w:rPr>
          <w:rFonts w:eastAsia="黑体"/>
          <w:szCs w:val="38"/>
        </w:rPr>
        <w:fldChar w:fldCharType="separate"/>
      </w:r>
      <w:r>
        <w:rPr>
          <w:rFonts w:hint="eastAsia" w:ascii="楷体_GB2312" w:hAnsi="楷体_GB2312" w:eastAsia="楷体_GB2312" w:cs="楷体_GB2312"/>
          <w:lang w:val="en-US" w:eastAsia="zh-CN"/>
        </w:rPr>
        <w:t>（十四）近岸海域海洋垃圾监测</w:t>
      </w:r>
      <w:r>
        <w:tab/>
      </w:r>
      <w:r>
        <w:fldChar w:fldCharType="begin"/>
      </w:r>
      <w:r>
        <w:instrText xml:space="preserve"> PAGEREF _Toc9679 \h </w:instrText>
      </w:r>
      <w:r>
        <w:fldChar w:fldCharType="separate"/>
      </w:r>
      <w:r>
        <w:t>- 22 -</w:t>
      </w:r>
      <w:r>
        <w:fldChar w:fldCharType="end"/>
      </w:r>
      <w:r>
        <w:rPr>
          <w:rFonts w:eastAsia="黑体"/>
          <w:szCs w:val="38"/>
        </w:rPr>
        <w:fldChar w:fldCharType="end"/>
      </w:r>
    </w:p>
    <w:p>
      <w:pPr>
        <w:pStyle w:val="37"/>
        <w:tabs>
          <w:tab w:val="right" w:leader="dot" w:pos="8306"/>
        </w:tabs>
      </w:pPr>
      <w:r>
        <w:rPr>
          <w:rFonts w:eastAsia="黑体"/>
          <w:szCs w:val="38"/>
        </w:rPr>
        <w:fldChar w:fldCharType="begin"/>
      </w:r>
      <w:r>
        <w:rPr>
          <w:rFonts w:eastAsia="黑体"/>
          <w:szCs w:val="38"/>
        </w:rPr>
        <w:instrText xml:space="preserve"> HYPERLINK \l _Toc4476 </w:instrText>
      </w:r>
      <w:r>
        <w:rPr>
          <w:rFonts w:eastAsia="黑体"/>
          <w:szCs w:val="38"/>
        </w:rPr>
        <w:fldChar w:fldCharType="separate"/>
      </w:r>
      <w:r>
        <w:rPr>
          <w:rFonts w:hint="eastAsia" w:ascii="Times New Roman" w:hAnsi="Times New Roman" w:eastAsia="黑体" w:cs="Times New Roman"/>
          <w:bCs/>
          <w:kern w:val="44"/>
          <w:szCs w:val="36"/>
          <w:lang w:val="en-US" w:eastAsia="zh-CN" w:bidi="ar-SA"/>
        </w:rPr>
        <w:t xml:space="preserve">五、 </w:t>
      </w:r>
      <w:r>
        <w:rPr>
          <w:rFonts w:ascii="Times New Roman" w:hAnsi="Times New Roman" w:eastAsia="黑体" w:cs="Times New Roman"/>
          <w:bCs/>
          <w:kern w:val="44"/>
          <w:szCs w:val="36"/>
          <w:highlight w:val="none"/>
          <w:lang w:val="en-US" w:eastAsia="zh-CN" w:bidi="ar-SA"/>
        </w:rPr>
        <w:t>生态质量监测及其他专项监测</w:t>
      </w:r>
      <w:r>
        <w:tab/>
      </w:r>
      <w:r>
        <w:fldChar w:fldCharType="begin"/>
      </w:r>
      <w:r>
        <w:instrText xml:space="preserve"> PAGEREF _Toc4476 \h </w:instrText>
      </w:r>
      <w:r>
        <w:fldChar w:fldCharType="separate"/>
      </w:r>
      <w:r>
        <w:t>- 25 -</w:t>
      </w:r>
      <w:r>
        <w:fldChar w:fldCharType="end"/>
      </w:r>
      <w:r>
        <w:rPr>
          <w:rFonts w:eastAsia="黑体"/>
          <w:szCs w:val="38"/>
        </w:rPr>
        <w:fldChar w:fldCharType="end"/>
      </w:r>
    </w:p>
    <w:p>
      <w:pPr>
        <w:pStyle w:val="47"/>
        <w:tabs>
          <w:tab w:val="right" w:leader="dot" w:pos="8306"/>
        </w:tabs>
      </w:pPr>
      <w:r>
        <w:rPr>
          <w:rFonts w:eastAsia="黑体"/>
          <w:szCs w:val="38"/>
        </w:rPr>
        <w:fldChar w:fldCharType="begin"/>
      </w:r>
      <w:r>
        <w:rPr>
          <w:rFonts w:eastAsia="黑体"/>
          <w:szCs w:val="38"/>
        </w:rPr>
        <w:instrText xml:space="preserve"> HYPERLINK \l _Toc30461 </w:instrText>
      </w:r>
      <w:r>
        <w:rPr>
          <w:rFonts w:eastAsia="黑体"/>
          <w:szCs w:val="38"/>
        </w:rPr>
        <w:fldChar w:fldCharType="separate"/>
      </w:r>
      <w:r>
        <w:rPr>
          <w:rFonts w:hint="eastAsia" w:ascii="楷体_GB2312" w:hAnsi="楷体_GB2312" w:eastAsia="楷体_GB2312" w:cs="楷体_GB2312"/>
          <w:lang w:val="en-US" w:eastAsia="zh-CN"/>
        </w:rPr>
        <w:t>（十五）乡镇级及以下集中式饮用水水源地水质监测</w:t>
      </w:r>
      <w:r>
        <w:tab/>
      </w:r>
      <w:r>
        <w:fldChar w:fldCharType="begin"/>
      </w:r>
      <w:r>
        <w:instrText xml:space="preserve"> PAGEREF _Toc30461 \h </w:instrText>
      </w:r>
      <w:r>
        <w:fldChar w:fldCharType="separate"/>
      </w:r>
      <w:r>
        <w:t>- 25 -</w:t>
      </w:r>
      <w:r>
        <w:fldChar w:fldCharType="end"/>
      </w:r>
      <w:r>
        <w:rPr>
          <w:rFonts w:eastAsia="黑体"/>
          <w:szCs w:val="38"/>
        </w:rPr>
        <w:fldChar w:fldCharType="end"/>
      </w:r>
    </w:p>
    <w:p>
      <w:pPr>
        <w:pStyle w:val="47"/>
        <w:tabs>
          <w:tab w:val="right" w:leader="dot" w:pos="8306"/>
        </w:tabs>
      </w:pPr>
      <w:r>
        <w:rPr>
          <w:rFonts w:eastAsia="黑体"/>
          <w:szCs w:val="38"/>
        </w:rPr>
        <w:fldChar w:fldCharType="begin"/>
      </w:r>
      <w:r>
        <w:rPr>
          <w:rFonts w:eastAsia="黑体"/>
          <w:szCs w:val="38"/>
        </w:rPr>
        <w:instrText xml:space="preserve"> HYPERLINK \l _Toc25228 </w:instrText>
      </w:r>
      <w:r>
        <w:rPr>
          <w:rFonts w:eastAsia="黑体"/>
          <w:szCs w:val="38"/>
        </w:rPr>
        <w:fldChar w:fldCharType="separate"/>
      </w:r>
      <w:r>
        <w:rPr>
          <w:rFonts w:hint="eastAsia" w:ascii="楷体_GB2312" w:hAnsi="楷体_GB2312" w:eastAsia="楷体_GB2312" w:cs="楷体_GB2312"/>
          <w:lang w:val="en-US" w:eastAsia="zh-CN"/>
        </w:rPr>
        <w:t>（十六）农田灌溉水质监测</w:t>
      </w:r>
      <w:r>
        <w:tab/>
      </w:r>
      <w:r>
        <w:fldChar w:fldCharType="begin"/>
      </w:r>
      <w:r>
        <w:instrText xml:space="preserve"> PAGEREF _Toc25228 \h </w:instrText>
      </w:r>
      <w:r>
        <w:fldChar w:fldCharType="separate"/>
      </w:r>
      <w:r>
        <w:t>- 28 -</w:t>
      </w:r>
      <w:r>
        <w:fldChar w:fldCharType="end"/>
      </w:r>
      <w:r>
        <w:rPr>
          <w:rFonts w:eastAsia="黑体"/>
          <w:szCs w:val="38"/>
        </w:rPr>
        <w:fldChar w:fldCharType="end"/>
      </w:r>
    </w:p>
    <w:p>
      <w:pPr>
        <w:pStyle w:val="47"/>
        <w:tabs>
          <w:tab w:val="right" w:leader="dot" w:pos="8306"/>
        </w:tabs>
      </w:pPr>
      <w:r>
        <w:rPr>
          <w:rFonts w:eastAsia="黑体"/>
          <w:szCs w:val="38"/>
        </w:rPr>
        <w:fldChar w:fldCharType="begin"/>
      </w:r>
      <w:r>
        <w:rPr>
          <w:rFonts w:eastAsia="黑体"/>
          <w:szCs w:val="38"/>
        </w:rPr>
        <w:instrText xml:space="preserve"> HYPERLINK \l _Toc19096 </w:instrText>
      </w:r>
      <w:r>
        <w:rPr>
          <w:rFonts w:eastAsia="黑体"/>
          <w:szCs w:val="38"/>
        </w:rPr>
        <w:fldChar w:fldCharType="separate"/>
      </w:r>
      <w:r>
        <w:rPr>
          <w:rFonts w:hint="eastAsia" w:ascii="楷体_GB2312" w:hAnsi="楷体_GB2312" w:eastAsia="楷体_GB2312" w:cs="楷体_GB2312"/>
          <w:lang w:val="en-US" w:eastAsia="zh-CN"/>
        </w:rPr>
        <w:t>（十七）农村生活污水处理设施出水水质自行监测和执法监测</w:t>
      </w:r>
      <w:r>
        <w:tab/>
      </w:r>
      <w:r>
        <w:fldChar w:fldCharType="begin"/>
      </w:r>
      <w:r>
        <w:instrText xml:space="preserve"> PAGEREF _Toc19096 \h </w:instrText>
      </w:r>
      <w:r>
        <w:fldChar w:fldCharType="separate"/>
      </w:r>
      <w:r>
        <w:t>- 29 -</w:t>
      </w:r>
      <w:r>
        <w:fldChar w:fldCharType="end"/>
      </w:r>
      <w:r>
        <w:rPr>
          <w:rFonts w:eastAsia="黑体"/>
          <w:szCs w:val="38"/>
        </w:rPr>
        <w:fldChar w:fldCharType="end"/>
      </w:r>
    </w:p>
    <w:p>
      <w:pPr>
        <w:pStyle w:val="47"/>
        <w:tabs>
          <w:tab w:val="right" w:leader="dot" w:pos="8306"/>
        </w:tabs>
      </w:pPr>
      <w:r>
        <w:rPr>
          <w:rFonts w:eastAsia="黑体"/>
          <w:szCs w:val="38"/>
        </w:rPr>
        <w:fldChar w:fldCharType="begin"/>
      </w:r>
      <w:r>
        <w:rPr>
          <w:rFonts w:eastAsia="黑体"/>
          <w:szCs w:val="38"/>
        </w:rPr>
        <w:instrText xml:space="preserve"> HYPERLINK \l _Toc21886 </w:instrText>
      </w:r>
      <w:r>
        <w:rPr>
          <w:rFonts w:eastAsia="黑体"/>
          <w:szCs w:val="38"/>
        </w:rPr>
        <w:fldChar w:fldCharType="separate"/>
      </w:r>
      <w:r>
        <w:rPr>
          <w:rFonts w:hint="eastAsia" w:ascii="楷体_GB2312" w:hAnsi="楷体_GB2312" w:eastAsia="楷体_GB2312" w:cs="楷体_GB2312"/>
          <w:lang w:val="en-US" w:eastAsia="zh-CN"/>
        </w:rPr>
        <w:t>（十八）声环境质量监测</w:t>
      </w:r>
      <w:r>
        <w:tab/>
      </w:r>
      <w:r>
        <w:fldChar w:fldCharType="begin"/>
      </w:r>
      <w:r>
        <w:instrText xml:space="preserve"> PAGEREF _Toc21886 \h </w:instrText>
      </w:r>
      <w:r>
        <w:fldChar w:fldCharType="separate"/>
      </w:r>
      <w:r>
        <w:t>- 41 -</w:t>
      </w:r>
      <w:r>
        <w:fldChar w:fldCharType="end"/>
      </w:r>
      <w:r>
        <w:rPr>
          <w:rFonts w:eastAsia="黑体"/>
          <w:szCs w:val="38"/>
        </w:rPr>
        <w:fldChar w:fldCharType="end"/>
      </w:r>
    </w:p>
    <w:p>
      <w:pPr>
        <w:pStyle w:val="47"/>
        <w:tabs>
          <w:tab w:val="right" w:leader="dot" w:pos="8306"/>
        </w:tabs>
      </w:pPr>
      <w:r>
        <w:rPr>
          <w:rFonts w:eastAsia="黑体"/>
          <w:szCs w:val="38"/>
        </w:rPr>
        <w:fldChar w:fldCharType="begin"/>
      </w:r>
      <w:r>
        <w:rPr>
          <w:rFonts w:eastAsia="黑体"/>
          <w:szCs w:val="38"/>
        </w:rPr>
        <w:instrText xml:space="preserve"> HYPERLINK \l _Toc25115 </w:instrText>
      </w:r>
      <w:r>
        <w:rPr>
          <w:rFonts w:eastAsia="黑体"/>
          <w:szCs w:val="38"/>
        </w:rPr>
        <w:fldChar w:fldCharType="separate"/>
      </w:r>
      <w:r>
        <w:rPr>
          <w:rFonts w:hint="eastAsia" w:ascii="楷体_GB2312" w:hAnsi="楷体_GB2312" w:eastAsia="楷体_GB2312" w:cs="楷体_GB2312"/>
          <w:highlight w:val="none"/>
          <w:lang w:val="en-US" w:eastAsia="zh-CN"/>
        </w:rPr>
        <w:t>（十九）新污染物加密监测</w:t>
      </w:r>
      <w:r>
        <w:tab/>
      </w:r>
      <w:r>
        <w:fldChar w:fldCharType="begin"/>
      </w:r>
      <w:r>
        <w:instrText xml:space="preserve"> PAGEREF _Toc25115 \h </w:instrText>
      </w:r>
      <w:r>
        <w:fldChar w:fldCharType="separate"/>
      </w:r>
      <w:r>
        <w:t>- 42 -</w:t>
      </w:r>
      <w:r>
        <w:fldChar w:fldCharType="end"/>
      </w:r>
      <w:r>
        <w:rPr>
          <w:rFonts w:eastAsia="黑体"/>
          <w:szCs w:val="38"/>
        </w:rPr>
        <w:fldChar w:fldCharType="end"/>
      </w:r>
    </w:p>
    <w:p>
      <w:pPr>
        <w:pStyle w:val="37"/>
        <w:tabs>
          <w:tab w:val="right" w:leader="dot" w:pos="8306"/>
        </w:tabs>
      </w:pPr>
      <w:r>
        <w:rPr>
          <w:rFonts w:eastAsia="黑体"/>
          <w:szCs w:val="38"/>
        </w:rPr>
        <w:fldChar w:fldCharType="begin"/>
      </w:r>
      <w:r>
        <w:rPr>
          <w:rFonts w:eastAsia="黑体"/>
          <w:szCs w:val="38"/>
        </w:rPr>
        <w:instrText xml:space="preserve"> HYPERLINK \l _Toc4359 </w:instrText>
      </w:r>
      <w:r>
        <w:rPr>
          <w:rFonts w:eastAsia="黑体"/>
          <w:szCs w:val="38"/>
        </w:rPr>
        <w:fldChar w:fldCharType="separate"/>
      </w:r>
      <w:r>
        <w:rPr>
          <w:rFonts w:hint="eastAsia" w:cs="Times New Roman"/>
          <w:bCs/>
          <w:kern w:val="44"/>
          <w:szCs w:val="36"/>
          <w:highlight w:val="none"/>
          <w:lang w:val="en-US" w:eastAsia="zh-CN" w:bidi="ar-SA"/>
        </w:rPr>
        <w:t>六、</w:t>
      </w:r>
      <w:r>
        <w:rPr>
          <w:rFonts w:hint="eastAsia" w:ascii="Times New Roman" w:hAnsi="Times New Roman" w:eastAsia="黑体" w:cs="Times New Roman"/>
          <w:bCs/>
          <w:kern w:val="44"/>
          <w:szCs w:val="36"/>
          <w:highlight w:val="none"/>
          <w:lang w:val="en-US" w:eastAsia="zh-CN" w:bidi="ar-SA"/>
        </w:rPr>
        <w:t>温室气体监测</w:t>
      </w:r>
      <w:r>
        <w:tab/>
      </w:r>
      <w:r>
        <w:fldChar w:fldCharType="begin"/>
      </w:r>
      <w:r>
        <w:instrText xml:space="preserve"> PAGEREF _Toc4359 \h </w:instrText>
      </w:r>
      <w:r>
        <w:fldChar w:fldCharType="separate"/>
      </w:r>
      <w:r>
        <w:t>- 44 -</w:t>
      </w:r>
      <w:r>
        <w:fldChar w:fldCharType="end"/>
      </w:r>
      <w:r>
        <w:rPr>
          <w:rFonts w:eastAsia="黑体"/>
          <w:szCs w:val="38"/>
        </w:rPr>
        <w:fldChar w:fldCharType="end"/>
      </w:r>
    </w:p>
    <w:p>
      <w:pPr>
        <w:pStyle w:val="47"/>
        <w:tabs>
          <w:tab w:val="right" w:leader="dot" w:pos="8306"/>
        </w:tabs>
      </w:pPr>
      <w:r>
        <w:rPr>
          <w:rFonts w:eastAsia="黑体"/>
          <w:szCs w:val="38"/>
        </w:rPr>
        <w:fldChar w:fldCharType="begin"/>
      </w:r>
      <w:r>
        <w:rPr>
          <w:rFonts w:eastAsia="黑体"/>
          <w:szCs w:val="38"/>
        </w:rPr>
        <w:instrText xml:space="preserve"> HYPERLINK \l _Toc12269 </w:instrText>
      </w:r>
      <w:r>
        <w:rPr>
          <w:rFonts w:eastAsia="黑体"/>
          <w:szCs w:val="38"/>
        </w:rPr>
        <w:fldChar w:fldCharType="separate"/>
      </w:r>
      <w:r>
        <w:rPr>
          <w:rFonts w:hint="eastAsia" w:ascii="楷体_GB2312" w:hAnsi="楷体_GB2312" w:eastAsia="楷体_GB2312" w:cs="楷体_GB2312"/>
          <w:bCs/>
          <w:lang w:eastAsia="zh-CN"/>
        </w:rPr>
        <w:t>（二十）</w:t>
      </w:r>
      <w:r>
        <w:rPr>
          <w:rFonts w:hint="eastAsia" w:ascii="楷体_GB2312" w:hAnsi="楷体_GB2312" w:eastAsia="楷体_GB2312" w:cs="楷体_GB2312"/>
          <w:bCs/>
        </w:rPr>
        <w:t>城市海洋碳汇监测</w:t>
      </w:r>
      <w:r>
        <w:tab/>
      </w:r>
      <w:r>
        <w:fldChar w:fldCharType="begin"/>
      </w:r>
      <w:r>
        <w:instrText xml:space="preserve"> PAGEREF _Toc12269 \h </w:instrText>
      </w:r>
      <w:r>
        <w:fldChar w:fldCharType="separate"/>
      </w:r>
      <w:r>
        <w:t>- 44 -</w:t>
      </w:r>
      <w:r>
        <w:fldChar w:fldCharType="end"/>
      </w:r>
      <w:r>
        <w:rPr>
          <w:rFonts w:eastAsia="黑体"/>
          <w:szCs w:val="38"/>
        </w:rPr>
        <w:fldChar w:fldCharType="end"/>
      </w:r>
    </w:p>
    <w:p>
      <w:pPr>
        <w:pStyle w:val="37"/>
        <w:tabs>
          <w:tab w:val="right" w:leader="dot" w:pos="8306"/>
        </w:tabs>
      </w:pPr>
      <w:r>
        <w:rPr>
          <w:rFonts w:eastAsia="黑体"/>
          <w:szCs w:val="38"/>
        </w:rPr>
        <w:fldChar w:fldCharType="begin"/>
      </w:r>
      <w:r>
        <w:rPr>
          <w:rFonts w:eastAsia="黑体"/>
          <w:szCs w:val="38"/>
        </w:rPr>
        <w:instrText xml:space="preserve"> HYPERLINK \l _Toc4716 </w:instrText>
      </w:r>
      <w:r>
        <w:rPr>
          <w:rFonts w:eastAsia="黑体"/>
          <w:szCs w:val="38"/>
        </w:rPr>
        <w:fldChar w:fldCharType="separate"/>
      </w:r>
      <w:r>
        <w:rPr>
          <w:rFonts w:hint="eastAsia" w:ascii="Times New Roman" w:hAnsi="Times New Roman" w:eastAsia="黑体" w:cs="Times New Roman"/>
          <w:bCs/>
          <w:kern w:val="44"/>
          <w:szCs w:val="36"/>
          <w:highlight w:val="none"/>
          <w:lang w:val="en-US" w:eastAsia="zh-CN" w:bidi="ar-SA"/>
        </w:rPr>
        <w:t>七、污染源监测</w:t>
      </w:r>
      <w:r>
        <w:tab/>
      </w:r>
      <w:r>
        <w:fldChar w:fldCharType="begin"/>
      </w:r>
      <w:r>
        <w:instrText xml:space="preserve"> PAGEREF _Toc4716 \h </w:instrText>
      </w:r>
      <w:r>
        <w:fldChar w:fldCharType="separate"/>
      </w:r>
      <w:r>
        <w:t>- 45 -</w:t>
      </w:r>
      <w:r>
        <w:fldChar w:fldCharType="end"/>
      </w:r>
      <w:r>
        <w:rPr>
          <w:rFonts w:eastAsia="黑体"/>
          <w:szCs w:val="38"/>
        </w:rPr>
        <w:fldChar w:fldCharType="end"/>
      </w:r>
    </w:p>
    <w:p>
      <w:pPr>
        <w:pStyle w:val="47"/>
        <w:tabs>
          <w:tab w:val="right" w:leader="dot" w:pos="8306"/>
        </w:tabs>
      </w:pPr>
      <w:r>
        <w:rPr>
          <w:rFonts w:eastAsia="黑体"/>
          <w:szCs w:val="38"/>
        </w:rPr>
        <w:fldChar w:fldCharType="begin"/>
      </w:r>
      <w:r>
        <w:rPr>
          <w:rFonts w:eastAsia="黑体"/>
          <w:szCs w:val="38"/>
        </w:rPr>
        <w:instrText xml:space="preserve"> HYPERLINK \l _Toc9935 </w:instrText>
      </w:r>
      <w:r>
        <w:rPr>
          <w:rFonts w:eastAsia="黑体"/>
          <w:szCs w:val="38"/>
        </w:rPr>
        <w:fldChar w:fldCharType="separate"/>
      </w:r>
      <w:r>
        <w:rPr>
          <w:rFonts w:hint="eastAsia" w:ascii="楷体_GB2312" w:hAnsi="楷体_GB2312" w:eastAsia="楷体_GB2312" w:cs="楷体_GB2312"/>
          <w:bCs/>
          <w:lang w:eastAsia="zh-CN"/>
        </w:rPr>
        <w:t>（二十</w:t>
      </w:r>
      <w:r>
        <w:rPr>
          <w:rFonts w:hint="eastAsia" w:ascii="楷体_GB2312" w:hAnsi="楷体_GB2312" w:eastAsia="楷体_GB2312" w:cs="楷体_GB2312"/>
          <w:bCs/>
          <w:lang w:val="en-US" w:eastAsia="zh-CN"/>
        </w:rPr>
        <w:t>一</w:t>
      </w:r>
      <w:r>
        <w:rPr>
          <w:rFonts w:hint="eastAsia" w:ascii="楷体_GB2312" w:hAnsi="楷体_GB2312" w:eastAsia="楷体_GB2312" w:cs="楷体_GB2312"/>
          <w:bCs/>
          <w:lang w:eastAsia="zh-CN"/>
        </w:rPr>
        <w:t>）执法监测</w:t>
      </w:r>
      <w:r>
        <w:tab/>
      </w:r>
      <w:r>
        <w:fldChar w:fldCharType="begin"/>
      </w:r>
      <w:r>
        <w:instrText xml:space="preserve"> PAGEREF _Toc9935 \h </w:instrText>
      </w:r>
      <w:r>
        <w:fldChar w:fldCharType="separate"/>
      </w:r>
      <w:r>
        <w:t>- 45 -</w:t>
      </w:r>
      <w:r>
        <w:fldChar w:fldCharType="end"/>
      </w:r>
      <w:r>
        <w:rPr>
          <w:rFonts w:eastAsia="黑体"/>
          <w:szCs w:val="38"/>
        </w:rPr>
        <w:fldChar w:fldCharType="end"/>
      </w:r>
    </w:p>
    <w:p>
      <w:pPr>
        <w:pStyle w:val="47"/>
        <w:tabs>
          <w:tab w:val="right" w:leader="dot" w:pos="8306"/>
        </w:tabs>
      </w:pPr>
      <w:r>
        <w:rPr>
          <w:rFonts w:eastAsia="黑体"/>
          <w:szCs w:val="38"/>
        </w:rPr>
        <w:fldChar w:fldCharType="begin"/>
      </w:r>
      <w:r>
        <w:rPr>
          <w:rFonts w:eastAsia="黑体"/>
          <w:szCs w:val="38"/>
        </w:rPr>
        <w:instrText xml:space="preserve"> HYPERLINK \l _Toc2482 </w:instrText>
      </w:r>
      <w:r>
        <w:rPr>
          <w:rFonts w:eastAsia="黑体"/>
          <w:szCs w:val="38"/>
        </w:rPr>
        <w:fldChar w:fldCharType="separate"/>
      </w:r>
      <w:r>
        <w:rPr>
          <w:rFonts w:hint="eastAsia" w:ascii="楷体_GB2312" w:hAnsi="楷体_GB2312" w:eastAsia="楷体_GB2312" w:cs="楷体_GB2312"/>
          <w:bCs/>
          <w:lang w:eastAsia="zh-CN"/>
        </w:rPr>
        <w:t>（二十</w:t>
      </w:r>
      <w:r>
        <w:rPr>
          <w:rFonts w:hint="eastAsia" w:ascii="楷体_GB2312" w:hAnsi="楷体_GB2312" w:eastAsia="楷体_GB2312" w:cs="楷体_GB2312"/>
          <w:bCs/>
          <w:lang w:val="en-US" w:eastAsia="zh-CN"/>
        </w:rPr>
        <w:t>二</w:t>
      </w:r>
      <w:r>
        <w:rPr>
          <w:rFonts w:hint="eastAsia" w:ascii="楷体_GB2312" w:hAnsi="楷体_GB2312" w:eastAsia="楷体_GB2312" w:cs="楷体_GB2312"/>
          <w:bCs/>
          <w:lang w:eastAsia="zh-CN"/>
        </w:rPr>
        <w:t>）排污单位自行监测专项检查</w:t>
      </w:r>
      <w:r>
        <w:tab/>
      </w:r>
      <w:r>
        <w:fldChar w:fldCharType="begin"/>
      </w:r>
      <w:r>
        <w:instrText xml:space="preserve"> PAGEREF _Toc2482 \h </w:instrText>
      </w:r>
      <w:r>
        <w:fldChar w:fldCharType="separate"/>
      </w:r>
      <w:r>
        <w:t>- 46 -</w:t>
      </w:r>
      <w:r>
        <w:fldChar w:fldCharType="end"/>
      </w:r>
      <w:r>
        <w:rPr>
          <w:rFonts w:eastAsia="黑体"/>
          <w:szCs w:val="38"/>
        </w:rPr>
        <w:fldChar w:fldCharType="end"/>
      </w:r>
    </w:p>
    <w:p>
      <w:pPr>
        <w:pStyle w:val="47"/>
        <w:tabs>
          <w:tab w:val="right" w:leader="dot" w:pos="8306"/>
        </w:tabs>
      </w:pPr>
      <w:r>
        <w:rPr>
          <w:rFonts w:eastAsia="黑体"/>
          <w:szCs w:val="38"/>
        </w:rPr>
        <w:fldChar w:fldCharType="begin"/>
      </w:r>
      <w:r>
        <w:rPr>
          <w:rFonts w:eastAsia="黑体"/>
          <w:szCs w:val="38"/>
        </w:rPr>
        <w:instrText xml:space="preserve"> HYPERLINK \l _Toc17876 </w:instrText>
      </w:r>
      <w:r>
        <w:rPr>
          <w:rFonts w:eastAsia="黑体"/>
          <w:szCs w:val="38"/>
        </w:rPr>
        <w:fldChar w:fldCharType="separate"/>
      </w:r>
      <w:r>
        <w:rPr>
          <w:rFonts w:hint="eastAsia" w:ascii="楷体_GB2312" w:hAnsi="楷体_GB2312" w:eastAsia="楷体_GB2312" w:cs="楷体_GB2312"/>
          <w:bCs/>
          <w:highlight w:val="none"/>
          <w:lang w:eastAsia="zh-CN"/>
        </w:rPr>
        <w:t>（二十</w:t>
      </w:r>
      <w:r>
        <w:rPr>
          <w:rFonts w:hint="eastAsia" w:ascii="楷体_GB2312" w:hAnsi="楷体_GB2312" w:eastAsia="楷体_GB2312" w:cs="楷体_GB2312"/>
          <w:bCs/>
          <w:highlight w:val="none"/>
          <w:lang w:val="en-US" w:eastAsia="zh-CN"/>
        </w:rPr>
        <w:t>三</w:t>
      </w:r>
      <w:r>
        <w:rPr>
          <w:rFonts w:hint="eastAsia" w:ascii="楷体_GB2312" w:hAnsi="楷体_GB2312" w:eastAsia="楷体_GB2312" w:cs="楷体_GB2312"/>
          <w:bCs/>
          <w:highlight w:val="none"/>
          <w:lang w:eastAsia="zh-CN"/>
        </w:rPr>
        <w:t>）市级入海排污口监测</w:t>
      </w:r>
      <w:r>
        <w:tab/>
      </w:r>
      <w:r>
        <w:fldChar w:fldCharType="begin"/>
      </w:r>
      <w:r>
        <w:instrText xml:space="preserve"> PAGEREF _Toc17876 \h </w:instrText>
      </w:r>
      <w:r>
        <w:fldChar w:fldCharType="separate"/>
      </w:r>
      <w:r>
        <w:t>- 47 -</w:t>
      </w:r>
      <w:r>
        <w:fldChar w:fldCharType="end"/>
      </w:r>
      <w:r>
        <w:rPr>
          <w:rFonts w:eastAsia="黑体"/>
          <w:szCs w:val="38"/>
        </w:rPr>
        <w:fldChar w:fldCharType="end"/>
      </w:r>
    </w:p>
    <w:p>
      <w:pPr>
        <w:pStyle w:val="37"/>
        <w:tabs>
          <w:tab w:val="right" w:leader="dot" w:pos="8306"/>
        </w:tabs>
      </w:pPr>
      <w:r>
        <w:rPr>
          <w:rFonts w:eastAsia="黑体"/>
          <w:szCs w:val="38"/>
        </w:rPr>
        <w:fldChar w:fldCharType="begin"/>
      </w:r>
      <w:r>
        <w:rPr>
          <w:rFonts w:eastAsia="黑体"/>
          <w:szCs w:val="38"/>
        </w:rPr>
        <w:instrText xml:space="preserve"> HYPERLINK \l _Toc21565 </w:instrText>
      </w:r>
      <w:r>
        <w:rPr>
          <w:rFonts w:eastAsia="黑体"/>
          <w:szCs w:val="38"/>
        </w:rPr>
        <w:fldChar w:fldCharType="separate"/>
      </w:r>
      <w:r>
        <w:rPr>
          <w:rFonts w:hint="eastAsia" w:ascii="黑体" w:hAnsi="黑体" w:eastAsia="黑体" w:cs="黑体"/>
          <w:szCs w:val="36"/>
        </w:rPr>
        <w:t>八、环境监测质量管理</w:t>
      </w:r>
      <w:r>
        <w:tab/>
      </w:r>
      <w:r>
        <w:fldChar w:fldCharType="begin"/>
      </w:r>
      <w:r>
        <w:instrText xml:space="preserve"> PAGEREF _Toc21565 \h </w:instrText>
      </w:r>
      <w:r>
        <w:fldChar w:fldCharType="separate"/>
      </w:r>
      <w:r>
        <w:t>- 49 -</w:t>
      </w:r>
      <w:r>
        <w:fldChar w:fldCharType="end"/>
      </w:r>
      <w:r>
        <w:rPr>
          <w:rFonts w:eastAsia="黑体"/>
          <w:szCs w:val="38"/>
        </w:rPr>
        <w:fldChar w:fldCharType="end"/>
      </w:r>
    </w:p>
    <w:p>
      <w:pPr>
        <w:pStyle w:val="47"/>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firstLine="403" w:firstLineChars="168"/>
        <w:textAlignment w:val="auto"/>
        <w:rPr>
          <w:sz w:val="38"/>
          <w:szCs w:val="38"/>
        </w:rPr>
        <w:sectPr>
          <w:headerReference r:id="rId11" w:type="default"/>
          <w:footerReference r:id="rId12" w:type="default"/>
          <w:pgSz w:w="11906" w:h="16838"/>
          <w:pgMar w:top="1440" w:right="1800" w:bottom="1440" w:left="1800" w:header="851" w:footer="992" w:gutter="0"/>
          <w:pgNumType w:fmt="upperRoman" w:start="1"/>
          <w:cols w:space="720" w:num="1"/>
          <w:docGrid w:type="lines" w:linePitch="312" w:charSpace="0"/>
        </w:sectPr>
      </w:pPr>
      <w:r>
        <w:rPr>
          <w:rFonts w:eastAsia="黑体"/>
          <w:szCs w:val="38"/>
        </w:rPr>
        <w:fldChar w:fldCharType="end"/>
      </w:r>
    </w:p>
    <w:p>
      <w:pPr>
        <w:pStyle w:val="2"/>
        <w:keepNext/>
        <w:keepLines/>
        <w:pageBreakBefore w:val="0"/>
        <w:widowControl w:val="0"/>
        <w:kinsoku/>
        <w:wordWrap/>
        <w:overflowPunct/>
        <w:topLinePunct w:val="0"/>
        <w:autoSpaceDE/>
        <w:autoSpaceDN/>
        <w:bidi w:val="0"/>
        <w:adjustRightInd/>
        <w:snapToGrid/>
        <w:spacing w:before="438" w:beforeLines="100" w:after="438" w:afterLines="100" w:line="600" w:lineRule="exact"/>
        <w:ind w:left="0" w:leftChars="0" w:firstLine="0" w:firstLineChars="0"/>
        <w:jc w:val="center"/>
        <w:textAlignment w:val="auto"/>
        <w:rPr>
          <w:b/>
          <w:sz w:val="36"/>
          <w:szCs w:val="36"/>
        </w:rPr>
      </w:pPr>
      <w:bookmarkStart w:id="2" w:name="_Toc23723"/>
      <w:bookmarkStart w:id="3" w:name="_Toc31597"/>
      <w:bookmarkStart w:id="4" w:name="_Toc27748119"/>
      <w:bookmarkStart w:id="5" w:name="_Toc18558"/>
      <w:bookmarkStart w:id="6" w:name="_Toc24718"/>
      <w:bookmarkStart w:id="7" w:name="_Toc28694771"/>
      <w:bookmarkStart w:id="8" w:name="_Toc8863"/>
      <w:bookmarkStart w:id="9" w:name="_Toc1746"/>
      <w:bookmarkStart w:id="10" w:name="_Toc8705"/>
      <w:bookmarkStart w:id="11" w:name="_Toc27737"/>
      <w:bookmarkStart w:id="12" w:name="_Toc535217738"/>
      <w:r>
        <w:rPr>
          <w:b/>
          <w:sz w:val="36"/>
          <w:szCs w:val="36"/>
        </w:rPr>
        <w:t>一、环境空气质量监测</w:t>
      </w:r>
      <w:bookmarkEnd w:id="2"/>
      <w:bookmarkEnd w:id="3"/>
      <w:bookmarkEnd w:id="4"/>
      <w:bookmarkEnd w:id="5"/>
      <w:bookmarkEnd w:id="6"/>
      <w:bookmarkEnd w:id="7"/>
      <w:bookmarkEnd w:id="8"/>
      <w:bookmarkEnd w:id="9"/>
      <w:bookmarkEnd w:id="10"/>
      <w:bookmarkEnd w:id="11"/>
      <w:bookmarkStart w:id="13" w:name="_Toc472608034"/>
      <w:bookmarkEnd w:id="13"/>
      <w:bookmarkStart w:id="14" w:name="_Toc27748120"/>
      <w:bookmarkStart w:id="15" w:name="_Toc28694772"/>
      <w:bookmarkStart w:id="16" w:name="_Toc407284300"/>
    </w:p>
    <w:p>
      <w:pPr>
        <w:pStyle w:val="3"/>
        <w:pageBreakBefore w:val="0"/>
        <w:widowControl w:val="0"/>
        <w:numPr>
          <w:ilvl w:val="0"/>
          <w:numId w:val="0"/>
        </w:numPr>
        <w:kinsoku/>
        <w:wordWrap/>
        <w:overflowPunct/>
        <w:topLinePunct w:val="0"/>
        <w:autoSpaceDE/>
        <w:autoSpaceDN/>
        <w:bidi w:val="0"/>
        <w:spacing w:before="217" w:beforeLines="50" w:after="217" w:afterLines="50" w:line="600" w:lineRule="exact"/>
        <w:ind w:firstLine="640" w:firstLineChars="200"/>
        <w:textAlignment w:val="auto"/>
        <w:rPr>
          <w:rFonts w:hint="eastAsia" w:ascii="楷体_GB2312" w:hAnsi="楷体_GB2312" w:eastAsia="楷体_GB2312" w:cs="楷体_GB2312"/>
          <w:bCs w:val="0"/>
        </w:rPr>
      </w:pPr>
      <w:bookmarkStart w:id="17" w:name="_Toc5900"/>
      <w:bookmarkStart w:id="18" w:name="_Toc25966"/>
      <w:bookmarkStart w:id="19" w:name="_Toc28013"/>
      <w:bookmarkStart w:id="20" w:name="_Toc32290"/>
      <w:bookmarkStart w:id="21" w:name="_Toc13678"/>
      <w:bookmarkStart w:id="22" w:name="_Toc25291"/>
      <w:bookmarkStart w:id="23" w:name="_Toc3524"/>
      <w:bookmarkStart w:id="24" w:name="_Toc10574"/>
      <w:r>
        <w:rPr>
          <w:rFonts w:hint="eastAsia" w:ascii="楷体_GB2312" w:hAnsi="楷体_GB2312" w:eastAsia="楷体_GB2312" w:cs="楷体_GB2312"/>
          <w:b w:val="0"/>
          <w:lang w:eastAsia="zh-CN"/>
        </w:rPr>
        <w:t>（</w:t>
      </w:r>
      <w:r>
        <w:rPr>
          <w:rFonts w:hint="eastAsia" w:ascii="楷体_GB2312" w:hAnsi="楷体_GB2312" w:eastAsia="楷体_GB2312" w:cs="楷体_GB2312"/>
          <w:b w:val="0"/>
          <w:lang w:val="en-US" w:eastAsia="zh-CN"/>
        </w:rPr>
        <w:t>一）</w:t>
      </w:r>
      <w:r>
        <w:rPr>
          <w:rFonts w:hint="eastAsia" w:ascii="楷体_GB2312" w:hAnsi="楷体_GB2312" w:eastAsia="楷体_GB2312" w:cs="楷体_GB2312"/>
          <w:b w:val="0"/>
        </w:rPr>
        <w:t>国家环境空气质量监测网监测</w:t>
      </w:r>
      <w:bookmarkEnd w:id="14"/>
      <w:bookmarkEnd w:id="15"/>
      <w:bookmarkEnd w:id="16"/>
      <w:bookmarkEnd w:id="17"/>
      <w:bookmarkEnd w:id="18"/>
      <w:bookmarkEnd w:id="19"/>
      <w:bookmarkEnd w:id="20"/>
      <w:bookmarkEnd w:id="21"/>
      <w:bookmarkEnd w:id="22"/>
      <w:bookmarkEnd w:id="23"/>
      <w:bookmarkEnd w:id="24"/>
    </w:p>
    <w:p>
      <w:pPr>
        <w:pageBreakBefore w:val="0"/>
        <w:widowControl w:val="0"/>
        <w:kinsoku/>
        <w:wordWrap/>
        <w:overflowPunct/>
        <w:topLinePunct w:val="0"/>
        <w:autoSpaceDE/>
        <w:autoSpaceDN/>
        <w:bidi w:val="0"/>
        <w:adjustRightInd w:val="0"/>
        <w:snapToGrid w:val="0"/>
        <w:spacing w:line="600" w:lineRule="exact"/>
        <w:ind w:firstLine="643"/>
        <w:textAlignment w:val="auto"/>
        <w:outlineLvl w:val="9"/>
        <w:rPr>
          <w:rFonts w:hint="eastAsia" w:ascii="仿宋_GB2312" w:hAnsi="仿宋_GB2312" w:eastAsia="仿宋_GB2312" w:cs="仿宋_GB2312"/>
          <w:b/>
          <w:bCs w:val="0"/>
          <w:szCs w:val="30"/>
        </w:rPr>
      </w:pPr>
      <w:r>
        <w:rPr>
          <w:rFonts w:hint="eastAsia" w:ascii="仿宋_GB2312" w:hAnsi="仿宋_GB2312" w:eastAsia="仿宋_GB2312" w:cs="仿宋_GB2312"/>
          <w:b/>
          <w:bCs w:val="0"/>
          <w:szCs w:val="30"/>
        </w:rPr>
        <w:t>1.监测范围</w:t>
      </w:r>
    </w:p>
    <w:p>
      <w:pPr>
        <w:pageBreakBefore w:val="0"/>
        <w:widowControl w:val="0"/>
        <w:kinsoku/>
        <w:wordWrap/>
        <w:overflowPunct/>
        <w:topLinePunct w:val="0"/>
        <w:autoSpaceDE/>
        <w:autoSpaceDN/>
        <w:bidi w:val="0"/>
        <w:adjustRightInd w:val="0"/>
        <w:snapToGrid w:val="0"/>
        <w:spacing w:line="600" w:lineRule="exact"/>
        <w:ind w:firstLine="643"/>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共计</w:t>
      </w:r>
      <w:r>
        <w:rPr>
          <w:rFonts w:hint="eastAsia" w:ascii="仿宋_GB2312" w:hAnsi="仿宋_GB2312" w:eastAsia="仿宋_GB2312" w:cs="仿宋_GB2312"/>
          <w:kern w:val="0"/>
          <w:szCs w:val="32"/>
          <w:lang w:val="en-US" w:eastAsia="zh-CN"/>
        </w:rPr>
        <w:t>3</w:t>
      </w:r>
      <w:r>
        <w:rPr>
          <w:rFonts w:hint="eastAsia" w:ascii="仿宋_GB2312" w:hAnsi="仿宋_GB2312" w:eastAsia="仿宋_GB2312" w:cs="仿宋_GB2312"/>
          <w:kern w:val="0"/>
          <w:szCs w:val="32"/>
        </w:rPr>
        <w:t>个国控空气自动站（以下简称国控站），名单见表1-1。</w:t>
      </w:r>
    </w:p>
    <w:p>
      <w:pPr>
        <w:keepNext/>
        <w:keepLines/>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仿宋_GB2312" w:hAnsi="仿宋_GB2312" w:eastAsia="仿宋_GB2312" w:cs="仿宋_GB2312"/>
          <w:b/>
          <w:bCs/>
          <w:sz w:val="24"/>
          <w:lang w:eastAsia="zh-CN"/>
        </w:rPr>
      </w:pPr>
      <w:bookmarkStart w:id="25" w:name="_Toc20658"/>
      <w:r>
        <w:rPr>
          <w:rFonts w:hint="eastAsia" w:ascii="仿宋_GB2312" w:hAnsi="仿宋_GB2312" w:eastAsia="仿宋_GB2312" w:cs="仿宋_GB2312"/>
          <w:b/>
          <w:bCs/>
          <w:sz w:val="24"/>
        </w:rPr>
        <w:t>表1-1 国控空气自动站名单</w:t>
      </w:r>
      <w:bookmarkEnd w:id="25"/>
    </w:p>
    <w:tbl>
      <w:tblPr>
        <w:tblStyle w:val="56"/>
        <w:tblW w:w="7305" w:type="dxa"/>
        <w:jc w:val="center"/>
        <w:tblLayout w:type="fixed"/>
        <w:tblCellMar>
          <w:top w:w="0" w:type="dxa"/>
          <w:left w:w="108" w:type="dxa"/>
          <w:bottom w:w="0" w:type="dxa"/>
          <w:right w:w="108" w:type="dxa"/>
        </w:tblCellMar>
      </w:tblPr>
      <w:tblGrid>
        <w:gridCol w:w="1260"/>
        <w:gridCol w:w="1844"/>
        <w:gridCol w:w="4201"/>
      </w:tblGrid>
      <w:tr>
        <w:tblPrEx>
          <w:tblCellMar>
            <w:top w:w="0" w:type="dxa"/>
            <w:left w:w="108" w:type="dxa"/>
            <w:bottom w:w="0" w:type="dxa"/>
            <w:right w:w="108" w:type="dxa"/>
          </w:tblCellMar>
        </w:tblPrEx>
        <w:trPr>
          <w:trHeight w:val="425" w:hRule="atLeast"/>
          <w:tblHeader/>
          <w:jc w:val="center"/>
        </w:trPr>
        <w:tc>
          <w:tcPr>
            <w:tcW w:w="1260" w:type="dxa"/>
            <w:tcBorders>
              <w:top w:val="single" w:color="auto" w:sz="8" w:space="0"/>
              <w:left w:val="nil"/>
              <w:bottom w:val="single" w:color="auto" w:sz="8" w:space="0"/>
              <w:right w:val="single" w:color="auto" w:sz="4" w:space="0"/>
            </w:tcBorders>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序号</w:t>
            </w:r>
          </w:p>
        </w:tc>
        <w:tc>
          <w:tcPr>
            <w:tcW w:w="1844" w:type="dxa"/>
            <w:tcBorders>
              <w:top w:val="single" w:color="auto" w:sz="8" w:space="0"/>
              <w:left w:val="nil"/>
              <w:bottom w:val="single" w:color="auto" w:sz="8" w:space="0"/>
              <w:right w:val="single" w:color="auto" w:sz="4" w:space="0"/>
            </w:tcBorders>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城市</w:t>
            </w:r>
          </w:p>
        </w:tc>
        <w:tc>
          <w:tcPr>
            <w:tcW w:w="4201" w:type="dxa"/>
            <w:tcBorders>
              <w:top w:val="single" w:color="auto" w:sz="8" w:space="0"/>
              <w:left w:val="nil"/>
              <w:bottom w:val="single" w:color="auto" w:sz="8" w:space="0"/>
              <w:right w:val="nil"/>
            </w:tcBorders>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点位名称</w:t>
            </w:r>
          </w:p>
        </w:tc>
      </w:tr>
      <w:tr>
        <w:tblPrEx>
          <w:tblCellMar>
            <w:top w:w="0" w:type="dxa"/>
            <w:left w:w="108" w:type="dxa"/>
            <w:bottom w:w="0" w:type="dxa"/>
            <w:right w:w="108" w:type="dxa"/>
          </w:tblCellMar>
        </w:tblPrEx>
        <w:trPr>
          <w:trHeight w:val="425" w:hRule="atLeast"/>
          <w:jc w:val="center"/>
        </w:trPr>
        <w:tc>
          <w:tcPr>
            <w:tcW w:w="1260"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w:t>
            </w:r>
          </w:p>
        </w:tc>
        <w:tc>
          <w:tcPr>
            <w:tcW w:w="1844" w:type="dxa"/>
            <w:vMerge w:val="restart"/>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4201" w:type="dxa"/>
            <w:tcBorders>
              <w:top w:val="nil"/>
              <w:left w:val="nil"/>
              <w:bottom w:val="single" w:color="auto" w:sz="4" w:space="0"/>
              <w:right w:val="nil"/>
            </w:tcBorders>
            <w:vAlign w:val="center"/>
          </w:tcPr>
          <w:p>
            <w:pPr>
              <w:widowControl/>
              <w:adjustRightInd w:val="0"/>
              <w:snapToGrid w:val="0"/>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开发区</w:t>
            </w:r>
          </w:p>
        </w:tc>
      </w:tr>
      <w:tr>
        <w:tblPrEx>
          <w:tblCellMar>
            <w:top w:w="0" w:type="dxa"/>
            <w:left w:w="108" w:type="dxa"/>
            <w:bottom w:w="0" w:type="dxa"/>
            <w:right w:w="108" w:type="dxa"/>
          </w:tblCellMar>
        </w:tblPrEx>
        <w:trPr>
          <w:trHeight w:val="425" w:hRule="atLeast"/>
          <w:jc w:val="center"/>
        </w:trPr>
        <w:tc>
          <w:tcPr>
            <w:tcW w:w="1260"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2</w:t>
            </w:r>
          </w:p>
        </w:tc>
        <w:tc>
          <w:tcPr>
            <w:tcW w:w="1844"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rPr>
                <w:rFonts w:hint="eastAsia" w:ascii="仿宋_GB2312" w:hAnsi="仿宋_GB2312" w:eastAsia="仿宋_GB2312" w:cs="仿宋_GB2312"/>
                <w:kern w:val="0"/>
                <w:sz w:val="24"/>
              </w:rPr>
            </w:pPr>
          </w:p>
        </w:tc>
        <w:tc>
          <w:tcPr>
            <w:tcW w:w="4201" w:type="dxa"/>
            <w:tcBorders>
              <w:top w:val="nil"/>
              <w:left w:val="nil"/>
              <w:bottom w:val="single" w:color="auto" w:sz="4" w:space="0"/>
              <w:right w:val="nil"/>
            </w:tcBorders>
            <w:vAlign w:val="center"/>
          </w:tcPr>
          <w:p>
            <w:pPr>
              <w:widowControl/>
              <w:adjustRightInd w:val="0"/>
              <w:snapToGrid w:val="0"/>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兴隆台</w:t>
            </w:r>
          </w:p>
        </w:tc>
      </w:tr>
      <w:tr>
        <w:tblPrEx>
          <w:tblCellMar>
            <w:top w:w="0" w:type="dxa"/>
            <w:left w:w="108" w:type="dxa"/>
            <w:bottom w:w="0" w:type="dxa"/>
            <w:right w:w="108" w:type="dxa"/>
          </w:tblCellMar>
        </w:tblPrEx>
        <w:trPr>
          <w:trHeight w:val="425" w:hRule="atLeast"/>
          <w:jc w:val="center"/>
        </w:trPr>
        <w:tc>
          <w:tcPr>
            <w:tcW w:w="1260"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p>
        </w:tc>
        <w:tc>
          <w:tcPr>
            <w:tcW w:w="1844"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rPr>
                <w:rFonts w:hint="eastAsia" w:ascii="仿宋_GB2312" w:hAnsi="仿宋_GB2312" w:eastAsia="仿宋_GB2312" w:cs="仿宋_GB2312"/>
                <w:kern w:val="0"/>
                <w:sz w:val="24"/>
              </w:rPr>
            </w:pPr>
          </w:p>
        </w:tc>
        <w:tc>
          <w:tcPr>
            <w:tcW w:w="4201" w:type="dxa"/>
            <w:tcBorders>
              <w:top w:val="nil"/>
              <w:left w:val="nil"/>
              <w:bottom w:val="single" w:color="auto" w:sz="4" w:space="0"/>
              <w:right w:val="nil"/>
            </w:tcBorders>
            <w:vAlign w:val="center"/>
          </w:tcPr>
          <w:p>
            <w:pPr>
              <w:widowControl/>
              <w:adjustRightInd w:val="0"/>
              <w:snapToGrid w:val="0"/>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新生街道</w:t>
            </w: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43"/>
        <w:textAlignment w:val="auto"/>
        <w:outlineLvl w:val="3"/>
        <w:rPr>
          <w:rFonts w:hint="eastAsia" w:ascii="仿宋_GB2312" w:hAnsi="仿宋_GB2312" w:eastAsia="仿宋_GB2312" w:cs="仿宋_GB2312"/>
          <w:b/>
          <w:bCs w:val="0"/>
          <w:szCs w:val="30"/>
        </w:rPr>
      </w:pPr>
      <w:r>
        <w:rPr>
          <w:rFonts w:hint="eastAsia" w:ascii="仿宋_GB2312" w:hAnsi="仿宋_GB2312" w:eastAsia="仿宋_GB2312" w:cs="仿宋_GB2312"/>
          <w:b/>
          <w:bCs w:val="0"/>
          <w:szCs w:val="30"/>
        </w:rPr>
        <w:t>2.监测项目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43"/>
        <w:textAlignment w:val="auto"/>
        <w:outlineLvl w:val="3"/>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可吸入颗粒物（PM</w:t>
      </w:r>
      <w:r>
        <w:rPr>
          <w:rFonts w:hint="eastAsia" w:ascii="仿宋_GB2312" w:hAnsi="仿宋_GB2312" w:eastAsia="仿宋_GB2312" w:cs="仿宋_GB2312"/>
          <w:kern w:val="0"/>
          <w:szCs w:val="32"/>
          <w:vertAlign w:val="subscript"/>
        </w:rPr>
        <w:t>10</w:t>
      </w:r>
      <w:r>
        <w:rPr>
          <w:rFonts w:hint="eastAsia" w:ascii="仿宋_GB2312" w:hAnsi="仿宋_GB2312" w:eastAsia="仿宋_GB2312" w:cs="仿宋_GB2312"/>
          <w:kern w:val="0"/>
          <w:szCs w:val="32"/>
        </w:rPr>
        <w:t>）、细颗粒物（PM</w:t>
      </w:r>
      <w:r>
        <w:rPr>
          <w:rFonts w:hint="eastAsia" w:ascii="仿宋_GB2312" w:hAnsi="仿宋_GB2312" w:eastAsia="仿宋_GB2312" w:cs="仿宋_GB2312"/>
          <w:kern w:val="0"/>
          <w:szCs w:val="32"/>
          <w:vertAlign w:val="subscript"/>
        </w:rPr>
        <w:t>2.5</w:t>
      </w:r>
      <w:r>
        <w:rPr>
          <w:rFonts w:hint="eastAsia" w:ascii="仿宋_GB2312" w:hAnsi="仿宋_GB2312" w:eastAsia="仿宋_GB2312" w:cs="仿宋_GB2312"/>
          <w:kern w:val="0"/>
          <w:szCs w:val="32"/>
        </w:rPr>
        <w:t>）、二氧化硫（SO</w:t>
      </w:r>
      <w:r>
        <w:rPr>
          <w:rFonts w:hint="eastAsia" w:ascii="仿宋_GB2312" w:hAnsi="仿宋_GB2312" w:eastAsia="仿宋_GB2312" w:cs="仿宋_GB2312"/>
          <w:kern w:val="0"/>
          <w:szCs w:val="32"/>
          <w:vertAlign w:val="subscript"/>
        </w:rPr>
        <w:t>2</w:t>
      </w:r>
      <w:r>
        <w:rPr>
          <w:rFonts w:hint="eastAsia" w:ascii="仿宋_GB2312" w:hAnsi="仿宋_GB2312" w:eastAsia="仿宋_GB2312" w:cs="仿宋_GB2312"/>
          <w:kern w:val="0"/>
          <w:szCs w:val="32"/>
        </w:rPr>
        <w:t>）、氮氧化物（NO-NO</w:t>
      </w:r>
      <w:r>
        <w:rPr>
          <w:rFonts w:hint="eastAsia" w:ascii="仿宋_GB2312" w:hAnsi="仿宋_GB2312" w:eastAsia="仿宋_GB2312" w:cs="仿宋_GB2312"/>
          <w:kern w:val="0"/>
          <w:szCs w:val="32"/>
          <w:vertAlign w:val="subscript"/>
        </w:rPr>
        <w:t>2</w:t>
      </w:r>
      <w:r>
        <w:rPr>
          <w:rFonts w:hint="eastAsia" w:ascii="仿宋_GB2312" w:hAnsi="仿宋_GB2312" w:eastAsia="仿宋_GB2312" w:cs="仿宋_GB2312"/>
          <w:kern w:val="0"/>
          <w:szCs w:val="32"/>
        </w:rPr>
        <w:t>-NO</w:t>
      </w:r>
      <w:r>
        <w:rPr>
          <w:rFonts w:hint="eastAsia" w:ascii="仿宋_GB2312" w:hAnsi="仿宋_GB2312" w:eastAsia="仿宋_GB2312" w:cs="仿宋_GB2312"/>
          <w:kern w:val="0"/>
          <w:szCs w:val="32"/>
          <w:vertAlign w:val="subscript"/>
        </w:rPr>
        <w:t>x</w:t>
      </w:r>
      <w:r>
        <w:rPr>
          <w:rFonts w:hint="eastAsia" w:ascii="仿宋_GB2312" w:hAnsi="仿宋_GB2312" w:eastAsia="仿宋_GB2312" w:cs="仿宋_GB2312"/>
          <w:kern w:val="0"/>
          <w:szCs w:val="32"/>
        </w:rPr>
        <w:t>）、一氧化碳（CO）、臭氧（O</w:t>
      </w:r>
      <w:r>
        <w:rPr>
          <w:rFonts w:hint="eastAsia" w:ascii="仿宋_GB2312" w:hAnsi="仿宋_GB2312" w:eastAsia="仿宋_GB2312" w:cs="仿宋_GB2312"/>
          <w:kern w:val="0"/>
          <w:szCs w:val="32"/>
          <w:vertAlign w:val="subscript"/>
        </w:rPr>
        <w:t>3</w:t>
      </w:r>
      <w:r>
        <w:rPr>
          <w:rFonts w:hint="eastAsia" w:ascii="仿宋_GB2312" w:hAnsi="仿宋_GB2312" w:eastAsia="仿宋_GB2312" w:cs="仿宋_GB2312"/>
          <w:kern w:val="0"/>
          <w:szCs w:val="32"/>
        </w:rPr>
        <w:t>）、气象五参数（温度、湿度、气压、风向、风速）。每天24h连续监测。</w:t>
      </w:r>
    </w:p>
    <w:p>
      <w:pPr>
        <w:keepNext w:val="0"/>
        <w:keepLines w:val="0"/>
        <w:pageBreakBefore w:val="0"/>
        <w:widowControl w:val="0"/>
        <w:kinsoku/>
        <w:wordWrap/>
        <w:overflowPunct/>
        <w:topLinePunct w:val="0"/>
        <w:autoSpaceDE/>
        <w:autoSpaceDN/>
        <w:bidi w:val="0"/>
        <w:adjustRightInd w:val="0"/>
        <w:snapToGrid w:val="0"/>
        <w:spacing w:line="600" w:lineRule="exact"/>
        <w:ind w:firstLine="643"/>
        <w:textAlignment w:val="auto"/>
        <w:outlineLvl w:val="3"/>
        <w:rPr>
          <w:rFonts w:hint="eastAsia" w:ascii="仿宋_GB2312" w:hAnsi="仿宋_GB2312" w:eastAsia="仿宋_GB2312" w:cs="仿宋_GB2312"/>
          <w:b/>
          <w:bCs w:val="0"/>
          <w:szCs w:val="30"/>
        </w:rPr>
      </w:pPr>
      <w:r>
        <w:rPr>
          <w:rFonts w:hint="eastAsia" w:ascii="仿宋_GB2312" w:hAnsi="仿宋_GB2312" w:eastAsia="仿宋_GB2312" w:cs="仿宋_GB2312"/>
          <w:b/>
          <w:bCs w:val="0"/>
          <w:szCs w:val="30"/>
          <w:lang w:val="en-US" w:eastAsia="zh-CN"/>
        </w:rPr>
        <w:t>3.</w:t>
      </w:r>
      <w:r>
        <w:rPr>
          <w:rFonts w:hint="eastAsia" w:ascii="仿宋_GB2312" w:hAnsi="仿宋_GB2312" w:eastAsia="仿宋_GB2312" w:cs="仿宋_GB2312"/>
          <w:b/>
          <w:bCs w:val="0"/>
          <w:szCs w:val="30"/>
        </w:rPr>
        <w:t>工作方式</w:t>
      </w:r>
    </w:p>
    <w:p>
      <w:pPr>
        <w:keepNext w:val="0"/>
        <w:keepLines w:val="0"/>
        <w:pageBreakBefore w:val="0"/>
        <w:widowControl w:val="0"/>
        <w:kinsoku/>
        <w:wordWrap/>
        <w:overflowPunct/>
        <w:topLinePunct w:val="0"/>
        <w:autoSpaceDE/>
        <w:autoSpaceDN/>
        <w:bidi w:val="0"/>
        <w:adjustRightInd w:val="0"/>
        <w:snapToGrid w:val="0"/>
        <w:spacing w:line="600" w:lineRule="exact"/>
        <w:ind w:firstLine="643"/>
        <w:textAlignment w:val="auto"/>
        <w:outlineLvl w:val="3"/>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国控站</w:t>
      </w:r>
      <w:r>
        <w:rPr>
          <w:rFonts w:hint="eastAsia" w:ascii="仿宋_GB2312" w:hAnsi="仿宋_GB2312" w:cs="仿宋_GB2312"/>
          <w:kern w:val="0"/>
          <w:szCs w:val="32"/>
          <w:lang w:val="en-US" w:eastAsia="zh-CN"/>
        </w:rPr>
        <w:t>的监测和</w:t>
      </w:r>
      <w:r>
        <w:rPr>
          <w:rFonts w:hint="eastAsia" w:ascii="仿宋_GB2312" w:hAnsi="仿宋_GB2312" w:eastAsia="仿宋_GB2312" w:cs="仿宋_GB2312"/>
          <w:kern w:val="0"/>
          <w:szCs w:val="32"/>
          <w:lang w:eastAsia="zh-CN"/>
        </w:rPr>
        <w:t>日常运维为国家事权，由中国环境监测总站（以下简称总站）委托社会化运维机构承担，</w:t>
      </w:r>
      <w:r>
        <w:rPr>
          <w:rFonts w:hint="eastAsia" w:ascii="仿宋_GB2312" w:hAnsi="仿宋_GB2312" w:eastAsia="仿宋_GB2312" w:cs="仿宋_GB2312"/>
          <w:kern w:val="0"/>
          <w:szCs w:val="32"/>
        </w:rPr>
        <w:t>站房用地、站房建设或租赁、安全保障、电力供应、网络通讯和出入站房等日常运行所必需的基础条件保障工作由市生态环境</w:t>
      </w:r>
      <w:r>
        <w:rPr>
          <w:rFonts w:hint="eastAsia" w:ascii="仿宋_GB2312" w:hAnsi="仿宋_GB2312" w:cs="仿宋_GB2312"/>
          <w:kern w:val="0"/>
          <w:szCs w:val="32"/>
          <w:lang w:val="en-US" w:eastAsia="zh-CN"/>
        </w:rPr>
        <w:t>局</w:t>
      </w:r>
      <w:r>
        <w:rPr>
          <w:rFonts w:hint="eastAsia" w:ascii="仿宋_GB2312" w:hAnsi="仿宋_GB2312" w:eastAsia="仿宋_GB2312" w:cs="仿宋_GB2312"/>
          <w:kern w:val="0"/>
          <w:szCs w:val="32"/>
        </w:rPr>
        <w:t>负责，</w:t>
      </w:r>
      <w:r>
        <w:rPr>
          <w:rFonts w:hint="eastAsia" w:ascii="仿宋_GB2312" w:hAnsi="仿宋_GB2312" w:eastAsia="仿宋_GB2312" w:cs="仿宋_GB2312"/>
          <w:kern w:val="0"/>
          <w:szCs w:val="32"/>
          <w:lang w:eastAsia="zh-CN"/>
        </w:rPr>
        <w:t>县区分局负责配合</w:t>
      </w:r>
      <w:r>
        <w:rPr>
          <w:rFonts w:hint="eastAsia" w:ascii="仿宋_GB2312" w:hAnsi="仿宋_GB2312" w:eastAsia="仿宋_GB2312" w:cs="仿宋_GB2312"/>
          <w:kern w:val="0"/>
          <w:szCs w:val="32"/>
        </w:rPr>
        <w:t>落实属地内防范人为干扰主体责任。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3"/>
        <w:textAlignment w:val="auto"/>
        <w:outlineLvl w:val="3"/>
        <w:rPr>
          <w:rFonts w:hint="eastAsia" w:ascii="仿宋_GB2312" w:hAnsi="仿宋_GB2312" w:eastAsia="仿宋_GB2312" w:cs="仿宋_GB2312"/>
          <w:kern w:val="0"/>
          <w:szCs w:val="32"/>
          <w:lang w:eastAsia="zh-CN"/>
        </w:rPr>
      </w:pPr>
      <w:bookmarkStart w:id="26" w:name="_Toc30866"/>
      <w:bookmarkStart w:id="27" w:name="_Toc20547"/>
      <w:bookmarkStart w:id="28" w:name="_Toc24239"/>
      <w:bookmarkStart w:id="29" w:name="_Toc11002"/>
      <w:bookmarkStart w:id="30" w:name="_Toc13438"/>
      <w:bookmarkStart w:id="31" w:name="_Toc18425"/>
      <w:bookmarkStart w:id="32" w:name="_Toc21490"/>
      <w:r>
        <w:rPr>
          <w:rFonts w:hint="eastAsia" w:ascii="仿宋_GB2312" w:hAnsi="仿宋_GB2312" w:eastAsia="仿宋_GB2312" w:cs="仿宋_GB2312"/>
          <w:kern w:val="0"/>
          <w:szCs w:val="32"/>
        </w:rPr>
        <w:t>责任主体：市生态环境局大气科</w:t>
      </w:r>
      <w:r>
        <w:rPr>
          <w:rFonts w:hint="eastAsia" w:ascii="仿宋_GB2312" w:hAnsi="仿宋_GB2312" w:cs="仿宋_GB2312"/>
          <w:kern w:val="0"/>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outlineLvl w:val="3"/>
        <w:rPr>
          <w:rFonts w:hint="eastAsia" w:ascii="仿宋_GB2312" w:hAnsi="仿宋_GB2312" w:cs="仿宋_GB2312"/>
          <w:b/>
          <w:bCs w:val="0"/>
          <w:szCs w:val="30"/>
          <w:lang w:val="en-US" w:eastAsia="zh-CN"/>
        </w:rPr>
      </w:pPr>
      <w:r>
        <w:rPr>
          <w:rFonts w:hint="eastAsia" w:ascii="仿宋_GB2312" w:hAnsi="仿宋_GB2312" w:cs="仿宋_GB2312"/>
          <w:b/>
          <w:bCs w:val="0"/>
          <w:szCs w:val="30"/>
          <w:lang w:val="en-US" w:eastAsia="zh-CN"/>
        </w:rPr>
        <w:t>4.</w:t>
      </w:r>
      <w:r>
        <w:rPr>
          <w:rFonts w:hint="eastAsia" w:ascii="仿宋_GB2312" w:hAnsi="仿宋_GB2312" w:eastAsia="仿宋_GB2312" w:cs="仿宋_GB2312"/>
          <w:b/>
          <w:bCs w:val="0"/>
          <w:szCs w:val="30"/>
          <w:lang w:val="en-US" w:eastAsia="zh-CN"/>
        </w:rPr>
        <w:t>数据</w:t>
      </w:r>
      <w:r>
        <w:rPr>
          <w:rFonts w:hint="eastAsia" w:ascii="仿宋_GB2312" w:hAnsi="仿宋_GB2312" w:cs="仿宋_GB2312"/>
          <w:b/>
          <w:bCs w:val="0"/>
          <w:szCs w:val="30"/>
          <w:lang w:val="en-US" w:eastAsia="zh-CN"/>
        </w:rPr>
        <w:t>审核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3"/>
        <w:rPr>
          <w:rFonts w:hint="eastAsia" w:eastAsia="仿宋"/>
          <w:kern w:val="0"/>
          <w:szCs w:val="32"/>
          <w:lang w:eastAsia="zh-CN"/>
        </w:rPr>
      </w:pPr>
      <w:r>
        <w:rPr>
          <w:rFonts w:hint="eastAsia" w:ascii="仿宋_GB2312" w:hAnsi="仿宋_GB2312" w:cs="仿宋_GB2312"/>
          <w:kern w:val="0"/>
          <w:szCs w:val="32"/>
          <w:lang w:val="en-US" w:eastAsia="zh-CN"/>
        </w:rPr>
        <w:t>驻市分支机构负责查看和核对监测数据，完成监测数据核对后及时将月度监测数据转送市生态环境局。</w:t>
      </w:r>
    </w:p>
    <w:p>
      <w:pPr>
        <w:pStyle w:val="3"/>
        <w:keepNext/>
        <w:keepLines/>
        <w:pageBreakBefore w:val="0"/>
        <w:widowControl w:val="0"/>
        <w:numPr>
          <w:ilvl w:val="0"/>
          <w:numId w:val="0"/>
        </w:numPr>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rPr>
      </w:pPr>
      <w:bookmarkStart w:id="33" w:name="_Toc17606"/>
      <w:r>
        <w:rPr>
          <w:rFonts w:hint="eastAsia" w:ascii="楷体_GB2312" w:hAnsi="楷体_GB2312" w:eastAsia="楷体_GB2312" w:cs="楷体_GB2312"/>
          <w:b w:val="0"/>
          <w:lang w:eastAsia="zh-CN"/>
        </w:rPr>
        <w:t>（</w:t>
      </w:r>
      <w:r>
        <w:rPr>
          <w:rFonts w:hint="eastAsia" w:ascii="楷体_GB2312" w:hAnsi="楷体_GB2312" w:eastAsia="楷体_GB2312" w:cs="楷体_GB2312"/>
          <w:b w:val="0"/>
          <w:lang w:val="en-US" w:eastAsia="zh-CN"/>
        </w:rPr>
        <w:t>二）</w:t>
      </w:r>
      <w:r>
        <w:rPr>
          <w:rFonts w:hint="eastAsia" w:ascii="楷体_GB2312" w:hAnsi="楷体_GB2312" w:eastAsia="楷体_GB2312" w:cs="楷体_GB2312"/>
          <w:b w:val="0"/>
        </w:rPr>
        <w:t>省环境空气质量监测网监测</w:t>
      </w:r>
      <w:bookmarkEnd w:id="26"/>
      <w:bookmarkEnd w:id="27"/>
      <w:bookmarkEnd w:id="28"/>
      <w:bookmarkEnd w:id="29"/>
      <w:bookmarkEnd w:id="30"/>
      <w:bookmarkEnd w:id="31"/>
      <w:bookmarkEnd w:id="32"/>
      <w:bookmarkEnd w:id="33"/>
    </w:p>
    <w:p>
      <w:pPr>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bCs w:val="0"/>
          <w:szCs w:val="30"/>
        </w:rPr>
      </w:pPr>
      <w:r>
        <w:rPr>
          <w:rFonts w:hint="eastAsia" w:ascii="仿宋_GB2312" w:hAnsi="仿宋_GB2312" w:eastAsia="仿宋_GB2312" w:cs="仿宋_GB2312"/>
          <w:b/>
          <w:bCs w:val="0"/>
          <w:szCs w:val="30"/>
        </w:rPr>
        <w:t>1.监测范围</w:t>
      </w:r>
    </w:p>
    <w:p>
      <w:pPr>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共计</w:t>
      </w:r>
      <w:r>
        <w:rPr>
          <w:rFonts w:hint="eastAsia" w:ascii="仿宋_GB2312" w:hAnsi="仿宋_GB2312" w:eastAsia="仿宋_GB2312" w:cs="仿宋_GB2312"/>
          <w:kern w:val="0"/>
          <w:szCs w:val="32"/>
          <w:lang w:val="en-US" w:eastAsia="zh-CN"/>
        </w:rPr>
        <w:t>6</w:t>
      </w:r>
      <w:r>
        <w:rPr>
          <w:rFonts w:hint="eastAsia" w:ascii="仿宋_GB2312" w:hAnsi="仿宋_GB2312" w:eastAsia="仿宋_GB2312" w:cs="仿宋_GB2312"/>
          <w:kern w:val="0"/>
          <w:szCs w:val="32"/>
        </w:rPr>
        <w:t>个</w:t>
      </w:r>
      <w:r>
        <w:rPr>
          <w:rFonts w:hint="eastAsia" w:ascii="仿宋_GB2312" w:hAnsi="仿宋_GB2312" w:eastAsia="仿宋_GB2312" w:cs="仿宋_GB2312"/>
          <w:kern w:val="0"/>
          <w:szCs w:val="32"/>
          <w:lang w:eastAsia="zh-CN"/>
        </w:rPr>
        <w:t>省控空气自动站（以下简称省控站）</w:t>
      </w:r>
      <w:r>
        <w:rPr>
          <w:rFonts w:hint="eastAsia" w:ascii="仿宋_GB2312" w:hAnsi="仿宋_GB2312" w:eastAsia="仿宋_GB2312" w:cs="仿宋_GB2312"/>
          <w:kern w:val="0"/>
          <w:szCs w:val="32"/>
        </w:rPr>
        <w:t>，名单见表1-2。</w:t>
      </w:r>
    </w:p>
    <w:p>
      <w:pPr>
        <w:keepNext/>
        <w:keepLines/>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仿宋_GB2312" w:hAnsi="仿宋_GB2312" w:eastAsia="仿宋_GB2312" w:cs="仿宋_GB2312"/>
          <w:b/>
          <w:bCs/>
          <w:sz w:val="24"/>
          <w:lang w:val="en-US" w:eastAsia="zh-CN"/>
        </w:rPr>
      </w:pPr>
      <w:bookmarkStart w:id="34" w:name="_Toc1789"/>
      <w:bookmarkStart w:id="35" w:name="_Toc23022"/>
      <w:bookmarkStart w:id="36" w:name="_Toc6303"/>
      <w:bookmarkStart w:id="37" w:name="_Toc18861"/>
      <w:bookmarkStart w:id="38" w:name="_Toc3414"/>
      <w:bookmarkStart w:id="39" w:name="_Toc814"/>
      <w:bookmarkStart w:id="40" w:name="_Toc7128"/>
      <w:bookmarkStart w:id="41" w:name="_Toc8496"/>
      <w:r>
        <w:rPr>
          <w:rFonts w:hint="eastAsia" w:ascii="仿宋_GB2312" w:hAnsi="仿宋_GB2312" w:eastAsia="仿宋_GB2312" w:cs="仿宋_GB2312"/>
          <w:b/>
          <w:bCs/>
          <w:sz w:val="24"/>
        </w:rPr>
        <w:t>表1-2  省控空气自动站名</w:t>
      </w:r>
      <w:bookmarkEnd w:id="34"/>
      <w:bookmarkEnd w:id="35"/>
      <w:bookmarkEnd w:id="36"/>
      <w:bookmarkEnd w:id="37"/>
      <w:bookmarkEnd w:id="38"/>
      <w:bookmarkEnd w:id="39"/>
      <w:bookmarkEnd w:id="40"/>
      <w:bookmarkEnd w:id="41"/>
      <w:r>
        <w:rPr>
          <w:rFonts w:hint="eastAsia" w:ascii="仿宋_GB2312" w:hAnsi="仿宋_GB2312" w:cs="仿宋_GB2312"/>
          <w:b/>
          <w:bCs/>
          <w:sz w:val="24"/>
          <w:lang w:val="en-US" w:eastAsia="zh-CN"/>
        </w:rPr>
        <w:t>单</w:t>
      </w:r>
    </w:p>
    <w:tbl>
      <w:tblPr>
        <w:tblStyle w:val="56"/>
        <w:tblW w:w="784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777"/>
        <w:gridCol w:w="1960"/>
        <w:gridCol w:w="277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1336" w:type="dxa"/>
            <w:tcBorders>
              <w:top w:val="single" w:color="auto" w:sz="8" w:space="0"/>
              <w:bottom w:val="single" w:color="auto" w:sz="8" w:space="0"/>
            </w:tcBorders>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1777" w:type="dxa"/>
            <w:tcBorders>
              <w:top w:val="single" w:color="auto" w:sz="8" w:space="0"/>
              <w:bottom w:val="single" w:color="auto" w:sz="8" w:space="0"/>
            </w:tcBorders>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城市</w:t>
            </w:r>
          </w:p>
        </w:tc>
        <w:tc>
          <w:tcPr>
            <w:tcW w:w="1960" w:type="dxa"/>
            <w:tcBorders>
              <w:top w:val="single" w:color="auto" w:sz="8" w:space="0"/>
              <w:bottom w:val="single" w:color="auto" w:sz="8" w:space="0"/>
            </w:tcBorders>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县区</w:t>
            </w:r>
          </w:p>
        </w:tc>
        <w:tc>
          <w:tcPr>
            <w:tcW w:w="2772" w:type="dxa"/>
            <w:tcBorders>
              <w:top w:val="single" w:color="auto" w:sz="8" w:space="0"/>
              <w:bottom w:val="single" w:color="auto" w:sz="8" w:space="0"/>
            </w:tcBorders>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点位名称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6" w:type="dxa"/>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w:t>
            </w:r>
          </w:p>
        </w:tc>
        <w:tc>
          <w:tcPr>
            <w:tcW w:w="1777" w:type="dxa"/>
            <w:vMerge w:val="restart"/>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960" w:type="dxa"/>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双台子区</w:t>
            </w:r>
          </w:p>
        </w:tc>
        <w:tc>
          <w:tcPr>
            <w:tcW w:w="2772" w:type="dxa"/>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湖滨公园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6" w:type="dxa"/>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2</w:t>
            </w:r>
          </w:p>
        </w:tc>
        <w:tc>
          <w:tcPr>
            <w:tcW w:w="1777" w:type="dxa"/>
            <w:vMerge w:val="continue"/>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p>
        </w:tc>
        <w:tc>
          <w:tcPr>
            <w:tcW w:w="1960" w:type="dxa"/>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大洼区</w:t>
            </w:r>
          </w:p>
        </w:tc>
        <w:tc>
          <w:tcPr>
            <w:tcW w:w="2772" w:type="dxa"/>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大洼区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6" w:type="dxa"/>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p>
        </w:tc>
        <w:tc>
          <w:tcPr>
            <w:tcW w:w="1777" w:type="dxa"/>
            <w:vMerge w:val="continue"/>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p>
        </w:tc>
        <w:tc>
          <w:tcPr>
            <w:tcW w:w="1960" w:type="dxa"/>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兴隆台</w:t>
            </w:r>
          </w:p>
        </w:tc>
        <w:tc>
          <w:tcPr>
            <w:tcW w:w="2772" w:type="dxa"/>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青少年宫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6" w:type="dxa"/>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p>
        </w:tc>
        <w:tc>
          <w:tcPr>
            <w:tcW w:w="1777" w:type="dxa"/>
            <w:vMerge w:val="continue"/>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p>
        </w:tc>
        <w:tc>
          <w:tcPr>
            <w:tcW w:w="1960" w:type="dxa"/>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大洼区</w:t>
            </w:r>
          </w:p>
        </w:tc>
        <w:tc>
          <w:tcPr>
            <w:tcW w:w="2772" w:type="dxa"/>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辽东湾化工园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6" w:type="dxa"/>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5</w:t>
            </w:r>
          </w:p>
        </w:tc>
        <w:tc>
          <w:tcPr>
            <w:tcW w:w="1777" w:type="dxa"/>
            <w:vMerge w:val="continue"/>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p>
        </w:tc>
        <w:tc>
          <w:tcPr>
            <w:tcW w:w="1960" w:type="dxa"/>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盘山县</w:t>
            </w:r>
          </w:p>
        </w:tc>
        <w:tc>
          <w:tcPr>
            <w:tcW w:w="2772" w:type="dxa"/>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盘山太平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6" w:type="dxa"/>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6</w:t>
            </w:r>
          </w:p>
        </w:tc>
        <w:tc>
          <w:tcPr>
            <w:tcW w:w="1777" w:type="dxa"/>
            <w:vMerge w:val="continue"/>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p>
        </w:tc>
        <w:tc>
          <w:tcPr>
            <w:tcW w:w="1960" w:type="dxa"/>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盘山县</w:t>
            </w:r>
          </w:p>
        </w:tc>
        <w:tc>
          <w:tcPr>
            <w:tcW w:w="2772" w:type="dxa"/>
            <w:tcMar>
              <w:left w:w="28" w:type="dxa"/>
              <w:right w:w="28"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喜彬森林公园</w:t>
            </w:r>
          </w:p>
        </w:tc>
      </w:tr>
    </w:tbl>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val="0"/>
          <w:szCs w:val="30"/>
        </w:rPr>
      </w:pPr>
      <w:r>
        <w:rPr>
          <w:rFonts w:hint="eastAsia" w:ascii="仿宋_GB2312" w:hAnsi="仿宋_GB2312" w:eastAsia="仿宋_GB2312" w:cs="仿宋_GB2312"/>
          <w:b/>
          <w:bCs w:val="0"/>
          <w:szCs w:val="30"/>
        </w:rPr>
        <w:t>2.监测项目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Cs w:val="32"/>
          <w:lang w:eastAsia="zh-CN"/>
        </w:rPr>
        <w:t>PM</w:t>
      </w:r>
      <w:r>
        <w:rPr>
          <w:rFonts w:hint="eastAsia" w:ascii="仿宋_GB2312" w:hAnsi="仿宋_GB2312" w:eastAsia="仿宋_GB2312" w:cs="仿宋_GB2312"/>
          <w:kern w:val="0"/>
          <w:szCs w:val="32"/>
          <w:vertAlign w:val="subscript"/>
          <w:lang w:eastAsia="zh-CN"/>
        </w:rPr>
        <w:t>10</w:t>
      </w:r>
      <w:r>
        <w:rPr>
          <w:rFonts w:hint="eastAsia" w:ascii="仿宋_GB2312" w:hAnsi="仿宋_GB2312" w:eastAsia="仿宋_GB2312" w:cs="仿宋_GB2312"/>
          <w:kern w:val="0"/>
          <w:szCs w:val="32"/>
          <w:lang w:eastAsia="zh-CN"/>
        </w:rPr>
        <w:t>、PM</w:t>
      </w:r>
      <w:r>
        <w:rPr>
          <w:rFonts w:hint="eastAsia" w:ascii="仿宋_GB2312" w:hAnsi="仿宋_GB2312" w:eastAsia="仿宋_GB2312" w:cs="仿宋_GB2312"/>
          <w:kern w:val="0"/>
          <w:szCs w:val="32"/>
          <w:vertAlign w:val="subscript"/>
          <w:lang w:eastAsia="zh-CN"/>
        </w:rPr>
        <w:t>2.5</w:t>
      </w:r>
      <w:r>
        <w:rPr>
          <w:rFonts w:hint="eastAsia" w:ascii="仿宋_GB2312" w:hAnsi="仿宋_GB2312" w:eastAsia="仿宋_GB2312" w:cs="仿宋_GB2312"/>
          <w:kern w:val="0"/>
          <w:szCs w:val="32"/>
          <w:lang w:eastAsia="zh-CN"/>
        </w:rPr>
        <w:t>、SO</w:t>
      </w:r>
      <w:r>
        <w:rPr>
          <w:rFonts w:hint="eastAsia" w:ascii="仿宋_GB2312" w:hAnsi="仿宋_GB2312" w:eastAsia="仿宋_GB2312" w:cs="仿宋_GB2312"/>
          <w:kern w:val="0"/>
          <w:szCs w:val="32"/>
          <w:vertAlign w:val="subscript"/>
          <w:lang w:eastAsia="zh-CN"/>
        </w:rPr>
        <w:t>2</w:t>
      </w:r>
      <w:r>
        <w:rPr>
          <w:rFonts w:hint="eastAsia" w:ascii="仿宋_GB2312" w:hAnsi="仿宋_GB2312" w:eastAsia="仿宋_GB2312" w:cs="仿宋_GB2312"/>
          <w:kern w:val="0"/>
          <w:szCs w:val="32"/>
          <w:lang w:eastAsia="zh-CN"/>
        </w:rPr>
        <w:t>、NO-NO</w:t>
      </w:r>
      <w:r>
        <w:rPr>
          <w:rFonts w:hint="eastAsia" w:ascii="仿宋_GB2312" w:hAnsi="仿宋_GB2312" w:eastAsia="仿宋_GB2312" w:cs="仿宋_GB2312"/>
          <w:kern w:val="0"/>
          <w:szCs w:val="32"/>
          <w:vertAlign w:val="subscript"/>
          <w:lang w:eastAsia="zh-CN"/>
        </w:rPr>
        <w:t>2</w:t>
      </w:r>
      <w:r>
        <w:rPr>
          <w:rFonts w:hint="eastAsia" w:ascii="仿宋_GB2312" w:hAnsi="仿宋_GB2312" w:eastAsia="仿宋_GB2312" w:cs="仿宋_GB2312"/>
          <w:kern w:val="0"/>
          <w:szCs w:val="32"/>
          <w:lang w:eastAsia="zh-CN"/>
        </w:rPr>
        <w:t>-NO</w:t>
      </w:r>
      <w:r>
        <w:rPr>
          <w:rFonts w:hint="eastAsia" w:ascii="仿宋_GB2312" w:hAnsi="仿宋_GB2312" w:eastAsia="仿宋_GB2312" w:cs="仿宋_GB2312"/>
          <w:kern w:val="0"/>
          <w:szCs w:val="32"/>
          <w:vertAlign w:val="subscript"/>
          <w:lang w:eastAsia="zh-CN"/>
        </w:rPr>
        <w:t>x</w:t>
      </w:r>
      <w:r>
        <w:rPr>
          <w:rFonts w:hint="eastAsia" w:ascii="仿宋_GB2312" w:hAnsi="仿宋_GB2312" w:eastAsia="仿宋_GB2312" w:cs="仿宋_GB2312"/>
          <w:kern w:val="0"/>
          <w:szCs w:val="32"/>
          <w:lang w:eastAsia="zh-CN"/>
        </w:rPr>
        <w:t>、CO、O</w:t>
      </w:r>
      <w:r>
        <w:rPr>
          <w:rFonts w:hint="eastAsia" w:ascii="仿宋_GB2312" w:hAnsi="仿宋_GB2312" w:eastAsia="仿宋_GB2312" w:cs="仿宋_GB2312"/>
          <w:kern w:val="0"/>
          <w:szCs w:val="32"/>
          <w:vertAlign w:val="subscript"/>
          <w:lang w:eastAsia="zh-CN"/>
        </w:rPr>
        <w:t>3</w:t>
      </w:r>
      <w:r>
        <w:rPr>
          <w:rFonts w:hint="eastAsia" w:ascii="仿宋_GB2312" w:hAnsi="仿宋_GB2312" w:eastAsia="仿宋_GB2312" w:cs="仿宋_GB2312"/>
          <w:kern w:val="0"/>
          <w:szCs w:val="32"/>
          <w:lang w:eastAsia="zh-CN"/>
        </w:rPr>
        <w:t>、气象五参数，部分点位开展超细颗粒物（PM</w:t>
      </w:r>
      <w:r>
        <w:rPr>
          <w:rFonts w:hint="eastAsia" w:ascii="仿宋_GB2312" w:hAnsi="仿宋_GB2312" w:eastAsia="仿宋_GB2312" w:cs="仿宋_GB2312"/>
          <w:kern w:val="0"/>
          <w:szCs w:val="32"/>
          <w:vertAlign w:val="subscript"/>
          <w:lang w:eastAsia="zh-CN"/>
        </w:rPr>
        <w:t>1</w:t>
      </w:r>
      <w:r>
        <w:rPr>
          <w:rFonts w:hint="eastAsia" w:ascii="仿宋_GB2312" w:hAnsi="仿宋_GB2312" w:eastAsia="仿宋_GB2312" w:cs="仿宋_GB2312"/>
          <w:kern w:val="0"/>
          <w:szCs w:val="32"/>
          <w:lang w:eastAsia="zh-CN"/>
        </w:rPr>
        <w:t>）、能见度等项目监测。</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val="0"/>
          <w:szCs w:val="30"/>
        </w:rPr>
      </w:pPr>
      <w:r>
        <w:rPr>
          <w:rFonts w:hint="eastAsia" w:ascii="仿宋_GB2312" w:hAnsi="仿宋_GB2312" w:eastAsia="仿宋_GB2312" w:cs="仿宋_GB2312"/>
          <w:b/>
          <w:bCs w:val="0"/>
          <w:szCs w:val="30"/>
          <w:lang w:val="en-US" w:eastAsia="zh-CN"/>
        </w:rPr>
        <w:t>3</w:t>
      </w:r>
      <w:r>
        <w:rPr>
          <w:rFonts w:hint="eastAsia" w:ascii="仿宋_GB2312" w:hAnsi="仿宋_GB2312" w:eastAsia="仿宋_GB2312" w:cs="仿宋_GB2312"/>
          <w:b/>
          <w:bCs w:val="0"/>
          <w:szCs w:val="30"/>
        </w:rPr>
        <w:t>.工作方式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Cs w:val="32"/>
          <w:lang w:eastAsia="zh-CN"/>
        </w:rPr>
        <w:t>省控站</w:t>
      </w:r>
      <w:r>
        <w:rPr>
          <w:rFonts w:hint="eastAsia" w:ascii="仿宋_GB2312" w:hAnsi="仿宋_GB2312" w:cs="仿宋_GB2312"/>
          <w:kern w:val="0"/>
          <w:szCs w:val="32"/>
          <w:lang w:val="en-US" w:eastAsia="zh-CN"/>
        </w:rPr>
        <w:t>的监测和</w:t>
      </w:r>
      <w:r>
        <w:rPr>
          <w:rFonts w:hint="eastAsia" w:ascii="仿宋_GB2312" w:hAnsi="仿宋_GB2312" w:eastAsia="仿宋_GB2312" w:cs="仿宋_GB2312"/>
          <w:kern w:val="0"/>
          <w:szCs w:val="32"/>
          <w:lang w:eastAsia="zh-CN"/>
        </w:rPr>
        <w:t>日常运维为省级事权，由省中心委托社会化运维机构承担，站房用地、站房建设或租赁、安全保障、电力供应、网络通讯和出入站房等日常运行所必需的基础条件保障工作由市生态环境</w:t>
      </w:r>
      <w:r>
        <w:rPr>
          <w:rFonts w:hint="eastAsia" w:ascii="仿宋_GB2312" w:hAnsi="仿宋_GB2312" w:cs="仿宋_GB2312"/>
          <w:kern w:val="0"/>
          <w:szCs w:val="32"/>
          <w:lang w:val="en-US" w:eastAsia="zh-CN"/>
        </w:rPr>
        <w:t>局</w:t>
      </w:r>
      <w:r>
        <w:rPr>
          <w:rFonts w:hint="eastAsia" w:ascii="仿宋_GB2312" w:hAnsi="仿宋_GB2312" w:eastAsia="仿宋_GB2312" w:cs="仿宋_GB2312"/>
          <w:kern w:val="0"/>
          <w:szCs w:val="32"/>
          <w:lang w:eastAsia="zh-CN"/>
        </w:rPr>
        <w:t>负责，县区分局负责配合落实属地内防范人为干扰主体责任。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3"/>
        <w:textAlignment w:val="auto"/>
        <w:outlineLvl w:val="3"/>
        <w:rPr>
          <w:rFonts w:hint="eastAsia" w:ascii="仿宋_GB2312" w:hAnsi="仿宋_GB2312" w:eastAsia="仿宋_GB2312" w:cs="仿宋_GB2312"/>
          <w:kern w:val="0"/>
          <w:szCs w:val="32"/>
          <w:highlight w:val="none"/>
          <w:shd w:val="clear" w:color="auto" w:fill="auto"/>
        </w:rPr>
      </w:pPr>
      <w:r>
        <w:rPr>
          <w:rFonts w:hint="eastAsia" w:ascii="仿宋_GB2312" w:hAnsi="仿宋_GB2312" w:eastAsia="仿宋_GB2312" w:cs="仿宋_GB2312"/>
          <w:kern w:val="0"/>
          <w:szCs w:val="32"/>
          <w:lang w:eastAsia="zh-CN"/>
        </w:rPr>
        <w:t>责任主体：市生态环境局</w:t>
      </w:r>
      <w:r>
        <w:rPr>
          <w:rFonts w:hint="eastAsia" w:ascii="仿宋_GB2312" w:hAnsi="仿宋_GB2312" w:eastAsia="仿宋_GB2312" w:cs="仿宋_GB2312"/>
          <w:kern w:val="0"/>
          <w:szCs w:val="32"/>
        </w:rPr>
        <w:t>大气科</w:t>
      </w:r>
      <w:r>
        <w:rPr>
          <w:rFonts w:hint="eastAsia" w:ascii="仿宋_GB2312" w:hAnsi="仿宋_GB2312" w:cs="仿宋_GB2312"/>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val="0"/>
          <w:szCs w:val="30"/>
          <w:lang w:val="en-US" w:eastAsia="zh-CN"/>
        </w:rPr>
      </w:pPr>
      <w:r>
        <w:rPr>
          <w:rFonts w:hint="eastAsia" w:ascii="仿宋_GB2312" w:hAnsi="仿宋_GB2312" w:eastAsia="仿宋_GB2312" w:cs="仿宋_GB2312"/>
          <w:b/>
          <w:bCs w:val="0"/>
          <w:szCs w:val="30"/>
          <w:lang w:val="en-US" w:eastAsia="zh-CN"/>
        </w:rPr>
        <w:t>3.</w:t>
      </w:r>
      <w:r>
        <w:rPr>
          <w:rFonts w:hint="eastAsia" w:ascii="仿宋_GB2312" w:hAnsi="仿宋_GB2312" w:eastAsia="仿宋_GB2312" w:cs="仿宋_GB2312"/>
          <w:b/>
          <w:bCs w:val="0"/>
          <w:szCs w:val="30"/>
          <w:lang w:eastAsia="zh-CN"/>
        </w:rPr>
        <w:t>数据</w:t>
      </w:r>
      <w:r>
        <w:rPr>
          <w:rFonts w:hint="eastAsia" w:ascii="仿宋_GB2312" w:hAnsi="仿宋_GB2312" w:eastAsia="仿宋_GB2312" w:cs="仿宋_GB2312"/>
          <w:b/>
          <w:bCs w:val="0"/>
          <w:szCs w:val="30"/>
          <w:lang w:val="en-US" w:eastAsia="zh-CN"/>
        </w:rPr>
        <w:t>复核</w:t>
      </w:r>
      <w:r>
        <w:rPr>
          <w:rFonts w:hint="eastAsia" w:ascii="仿宋_GB2312" w:hAnsi="仿宋_GB2312" w:eastAsia="仿宋_GB2312" w:cs="仿宋_GB2312"/>
          <w:b/>
          <w:bCs w:val="0"/>
          <w:szCs w:val="30"/>
          <w:lang w:eastAsia="zh-CN"/>
        </w:rPr>
        <w:t>及</w:t>
      </w:r>
      <w:r>
        <w:rPr>
          <w:rFonts w:hint="eastAsia" w:ascii="仿宋_GB2312" w:hAnsi="仿宋_GB2312" w:eastAsia="仿宋_GB2312" w:cs="仿宋_GB2312"/>
          <w:b/>
          <w:bCs w:val="0"/>
          <w:szCs w:val="30"/>
          <w:lang w:val="en-US" w:eastAsia="zh-CN"/>
        </w:rPr>
        <w:t>转送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驻市分支机构</w:t>
      </w:r>
      <w:r>
        <w:rPr>
          <w:rFonts w:hint="eastAsia" w:ascii="仿宋_GB2312" w:hAnsi="仿宋_GB2312" w:cs="仿宋_GB2312"/>
          <w:kern w:val="0"/>
          <w:szCs w:val="32"/>
          <w:lang w:val="en-US" w:eastAsia="zh-CN"/>
        </w:rPr>
        <w:t>完成</w:t>
      </w:r>
      <w:r>
        <w:rPr>
          <w:rFonts w:hint="eastAsia" w:ascii="仿宋_GB2312" w:hAnsi="仿宋_GB2312" w:eastAsia="仿宋_GB2312" w:cs="仿宋_GB2312"/>
          <w:kern w:val="0"/>
          <w:szCs w:val="32"/>
          <w:lang w:eastAsia="zh-CN"/>
        </w:rPr>
        <w:t>省控站</w:t>
      </w:r>
      <w:r>
        <w:rPr>
          <w:rFonts w:hint="eastAsia" w:ascii="仿宋_GB2312" w:hAnsi="仿宋_GB2312" w:eastAsia="仿宋_GB2312" w:cs="仿宋_GB2312"/>
          <w:kern w:val="0"/>
          <w:szCs w:val="32"/>
          <w:lang w:val="en-US" w:eastAsia="zh-CN"/>
        </w:rPr>
        <w:t>数据复核</w:t>
      </w:r>
      <w:r>
        <w:rPr>
          <w:rFonts w:hint="eastAsia" w:ascii="仿宋_GB2312" w:hAnsi="仿宋_GB2312" w:cs="仿宋_GB2312"/>
          <w:kern w:val="0"/>
          <w:szCs w:val="32"/>
          <w:lang w:val="en-US" w:eastAsia="zh-CN"/>
        </w:rPr>
        <w:t>后及时</w:t>
      </w:r>
      <w:r>
        <w:rPr>
          <w:rFonts w:hint="eastAsia" w:ascii="仿宋_GB2312" w:hAnsi="仿宋_GB2312" w:eastAsia="仿宋_GB2312" w:cs="仿宋_GB2312"/>
          <w:kern w:val="0"/>
          <w:szCs w:val="32"/>
          <w:lang w:val="en-US" w:eastAsia="zh-CN"/>
        </w:rPr>
        <w:t>将月度监测数据转送市生态环境</w:t>
      </w:r>
      <w:r>
        <w:rPr>
          <w:rFonts w:hint="eastAsia" w:ascii="仿宋_GB2312" w:hAnsi="仿宋_GB2312" w:cs="仿宋_GB2312"/>
          <w:kern w:val="0"/>
          <w:szCs w:val="32"/>
          <w:lang w:val="en-US" w:eastAsia="zh-CN"/>
        </w:rPr>
        <w:t>局</w:t>
      </w:r>
      <w:r>
        <w:rPr>
          <w:rFonts w:hint="eastAsia" w:ascii="仿宋_GB2312" w:hAnsi="仿宋_GB2312" w:eastAsia="仿宋_GB2312" w:cs="仿宋_GB2312"/>
          <w:kern w:val="0"/>
          <w:szCs w:val="32"/>
          <w:lang w:val="en-US" w:eastAsia="zh-CN"/>
        </w:rPr>
        <w:t>。</w:t>
      </w:r>
    </w:p>
    <w:p>
      <w:pPr>
        <w:pStyle w:val="3"/>
        <w:keepNext/>
        <w:keepLines/>
        <w:pageBreakBefore w:val="0"/>
        <w:widowControl w:val="0"/>
        <w:numPr>
          <w:ilvl w:val="0"/>
          <w:numId w:val="0"/>
        </w:numPr>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rPr>
      </w:pPr>
      <w:bookmarkStart w:id="42" w:name="_Toc12834"/>
      <w:bookmarkStart w:id="43" w:name="_Toc3171"/>
      <w:bookmarkStart w:id="44" w:name="_Toc3599"/>
      <w:bookmarkStart w:id="45" w:name="_Toc32400"/>
      <w:bookmarkStart w:id="46" w:name="_Toc8085"/>
      <w:bookmarkStart w:id="47" w:name="_Toc30629"/>
      <w:bookmarkStart w:id="48" w:name="_Toc8495"/>
      <w:bookmarkStart w:id="49" w:name="_Toc29385"/>
      <w:bookmarkStart w:id="50" w:name="_Toc407284303"/>
      <w:r>
        <w:rPr>
          <w:rFonts w:hint="eastAsia" w:ascii="楷体_GB2312" w:hAnsi="楷体_GB2312" w:eastAsia="楷体_GB2312" w:cs="楷体_GB2312"/>
          <w:b w:val="0"/>
          <w:lang w:eastAsia="zh-CN"/>
        </w:rPr>
        <w:t>（</w:t>
      </w:r>
      <w:r>
        <w:rPr>
          <w:rFonts w:hint="eastAsia" w:ascii="楷体_GB2312" w:hAnsi="楷体_GB2312" w:eastAsia="楷体_GB2312" w:cs="楷体_GB2312"/>
          <w:b w:val="0"/>
          <w:lang w:val="en-US" w:eastAsia="zh-CN"/>
        </w:rPr>
        <w:t>三）</w:t>
      </w:r>
      <w:r>
        <w:rPr>
          <w:rFonts w:hint="eastAsia" w:ascii="楷体_GB2312" w:hAnsi="楷体_GB2312" w:eastAsia="楷体_GB2312" w:cs="楷体_GB2312"/>
          <w:b w:val="0"/>
        </w:rPr>
        <w:t>降水监测</w:t>
      </w:r>
      <w:bookmarkEnd w:id="42"/>
      <w:bookmarkEnd w:id="43"/>
      <w:bookmarkEnd w:id="44"/>
      <w:bookmarkEnd w:id="45"/>
      <w:bookmarkEnd w:id="46"/>
      <w:bookmarkEnd w:id="47"/>
      <w:bookmarkEnd w:id="48"/>
      <w:bookmarkEnd w:id="49"/>
    </w:p>
    <w:p>
      <w:pPr>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bCs w:val="0"/>
          <w:szCs w:val="30"/>
          <w:lang w:val="en-US" w:eastAsia="zh-CN"/>
        </w:rPr>
      </w:pPr>
      <w:bookmarkStart w:id="51" w:name="_Toc472608027"/>
      <w:bookmarkEnd w:id="51"/>
      <w:bookmarkStart w:id="52" w:name="_Toc27748123"/>
      <w:bookmarkStart w:id="53" w:name="_Toc28694775"/>
      <w:r>
        <w:rPr>
          <w:rFonts w:hint="eastAsia" w:ascii="仿宋_GB2312" w:hAnsi="仿宋_GB2312" w:eastAsia="仿宋_GB2312" w:cs="仿宋_GB2312"/>
          <w:b/>
          <w:bCs w:val="0"/>
          <w:szCs w:val="30"/>
          <w:lang w:val="en-US" w:eastAsia="zh-CN"/>
        </w:rPr>
        <w:t>1.监测范围</w:t>
      </w:r>
    </w:p>
    <w:p>
      <w:pPr>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共计4个监测点位，名单见表1-3。</w:t>
      </w:r>
    </w:p>
    <w:p>
      <w:pPr>
        <w:keepNext/>
        <w:keepLines/>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outlineLvl w:val="9"/>
        <w:rPr>
          <w:rFonts w:hint="eastAsia" w:ascii="仿宋_GB2312" w:hAnsi="仿宋_GB2312" w:eastAsia="仿宋_GB2312" w:cs="仿宋_GB2312"/>
          <w:b/>
          <w:bCs/>
          <w:sz w:val="24"/>
          <w:lang w:eastAsia="zh-CN"/>
        </w:rPr>
      </w:pPr>
      <w:bookmarkStart w:id="54" w:name="_Toc27529"/>
      <w:r>
        <w:rPr>
          <w:rFonts w:hint="eastAsia" w:ascii="仿宋_GB2312" w:hAnsi="仿宋_GB2312" w:eastAsia="仿宋_GB2312" w:cs="仿宋_GB2312"/>
          <w:b/>
          <w:bCs/>
          <w:sz w:val="24"/>
        </w:rPr>
        <w:t>表1-3  降水监测点位名单</w:t>
      </w:r>
      <w:bookmarkEnd w:id="54"/>
    </w:p>
    <w:tbl>
      <w:tblPr>
        <w:tblStyle w:val="56"/>
        <w:tblW w:w="839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73"/>
        <w:gridCol w:w="2177"/>
        <w:gridCol w:w="33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974" w:type="dxa"/>
            <w:tcBorders>
              <w:top w:val="single" w:color="auto" w:sz="8" w:space="0"/>
              <w:bottom w:val="single" w:color="auto" w:sz="8" w:space="0"/>
            </w:tcBorders>
            <w:tcMar>
              <w:left w:w="57"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1873" w:type="dxa"/>
            <w:tcBorders>
              <w:top w:val="single" w:color="auto" w:sz="8" w:space="0"/>
              <w:bottom w:val="single" w:color="auto" w:sz="8" w:space="0"/>
            </w:tcBorders>
            <w:tcMar>
              <w:left w:w="57"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城市</w:t>
            </w:r>
          </w:p>
        </w:tc>
        <w:tc>
          <w:tcPr>
            <w:tcW w:w="2177" w:type="dxa"/>
            <w:tcBorders>
              <w:top w:val="single" w:color="auto" w:sz="8" w:space="0"/>
              <w:bottom w:val="single" w:color="auto" w:sz="8" w:space="0"/>
            </w:tcBorders>
            <w:tcMar>
              <w:left w:w="57"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县区</w:t>
            </w:r>
          </w:p>
        </w:tc>
        <w:tc>
          <w:tcPr>
            <w:tcW w:w="3373" w:type="dxa"/>
            <w:tcBorders>
              <w:top w:val="single" w:color="auto" w:sz="8" w:space="0"/>
              <w:bottom w:val="single" w:color="auto" w:sz="8" w:space="0"/>
            </w:tcBorders>
            <w:tcMar>
              <w:left w:w="57"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点位名称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4" w:type="dxa"/>
            <w:tcMar>
              <w:left w:w="57" w:type="dxa"/>
              <w:right w:w="57" w:type="dxa"/>
            </w:tcMar>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w:t>
            </w:r>
          </w:p>
        </w:tc>
        <w:tc>
          <w:tcPr>
            <w:tcW w:w="1873" w:type="dxa"/>
            <w:vMerge w:val="restart"/>
            <w:tcMar>
              <w:left w:w="57" w:type="dxa"/>
              <w:right w:w="57"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2177" w:type="dxa"/>
            <w:tcMar>
              <w:left w:w="57" w:type="dxa"/>
              <w:right w:w="57"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双台子区</w:t>
            </w:r>
          </w:p>
        </w:tc>
        <w:tc>
          <w:tcPr>
            <w:tcW w:w="3373" w:type="dxa"/>
            <w:tcMar>
              <w:left w:w="57" w:type="dxa"/>
              <w:right w:w="57"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盘山县环保局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4" w:type="dxa"/>
            <w:tcMar>
              <w:left w:w="57" w:type="dxa"/>
              <w:right w:w="57" w:type="dxa"/>
            </w:tcMar>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2</w:t>
            </w:r>
          </w:p>
        </w:tc>
        <w:tc>
          <w:tcPr>
            <w:tcW w:w="1873" w:type="dxa"/>
            <w:vMerge w:val="continue"/>
            <w:tcMar>
              <w:left w:w="57" w:type="dxa"/>
              <w:right w:w="57" w:type="dxa"/>
            </w:tcMar>
            <w:vAlign w:val="center"/>
          </w:tcPr>
          <w:p>
            <w:pPr>
              <w:widowControl/>
              <w:spacing w:line="240" w:lineRule="auto"/>
              <w:ind w:firstLine="0" w:firstLineChars="0"/>
              <w:jc w:val="left"/>
              <w:rPr>
                <w:rFonts w:hint="eastAsia" w:ascii="仿宋_GB2312" w:hAnsi="仿宋_GB2312" w:eastAsia="仿宋_GB2312" w:cs="仿宋_GB2312"/>
                <w:kern w:val="0"/>
                <w:sz w:val="24"/>
              </w:rPr>
            </w:pPr>
          </w:p>
        </w:tc>
        <w:tc>
          <w:tcPr>
            <w:tcW w:w="2177" w:type="dxa"/>
            <w:tcMar>
              <w:left w:w="57" w:type="dxa"/>
              <w:right w:w="57"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兴隆台区</w:t>
            </w:r>
          </w:p>
        </w:tc>
        <w:tc>
          <w:tcPr>
            <w:tcW w:w="3373" w:type="dxa"/>
            <w:tcMar>
              <w:left w:w="57" w:type="dxa"/>
              <w:right w:w="57"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盘锦市站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4" w:type="dxa"/>
            <w:tcMar>
              <w:left w:w="57" w:type="dxa"/>
              <w:right w:w="57" w:type="dxa"/>
            </w:tcMar>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p>
        </w:tc>
        <w:tc>
          <w:tcPr>
            <w:tcW w:w="1873" w:type="dxa"/>
            <w:vMerge w:val="continue"/>
            <w:tcMar>
              <w:left w:w="57" w:type="dxa"/>
              <w:right w:w="57" w:type="dxa"/>
            </w:tcMar>
            <w:vAlign w:val="center"/>
          </w:tcPr>
          <w:p>
            <w:pPr>
              <w:widowControl/>
              <w:spacing w:line="240" w:lineRule="auto"/>
              <w:ind w:firstLine="0" w:firstLineChars="0"/>
              <w:jc w:val="left"/>
              <w:rPr>
                <w:rFonts w:hint="eastAsia" w:ascii="仿宋_GB2312" w:hAnsi="仿宋_GB2312" w:eastAsia="仿宋_GB2312" w:cs="仿宋_GB2312"/>
                <w:kern w:val="0"/>
                <w:sz w:val="24"/>
              </w:rPr>
            </w:pPr>
          </w:p>
        </w:tc>
        <w:tc>
          <w:tcPr>
            <w:tcW w:w="2177" w:type="dxa"/>
            <w:tcMar>
              <w:left w:w="57" w:type="dxa"/>
              <w:right w:w="57"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大洼区</w:t>
            </w:r>
          </w:p>
        </w:tc>
        <w:tc>
          <w:tcPr>
            <w:tcW w:w="3373" w:type="dxa"/>
            <w:tcMar>
              <w:left w:w="57" w:type="dxa"/>
              <w:right w:w="57"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马圈子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4" w:type="dxa"/>
            <w:tcMar>
              <w:left w:w="57" w:type="dxa"/>
              <w:right w:w="57" w:type="dxa"/>
            </w:tcMar>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p>
        </w:tc>
        <w:tc>
          <w:tcPr>
            <w:tcW w:w="1873" w:type="dxa"/>
            <w:vMerge w:val="continue"/>
            <w:tcMar>
              <w:left w:w="57" w:type="dxa"/>
              <w:right w:w="57" w:type="dxa"/>
            </w:tcMar>
            <w:vAlign w:val="center"/>
          </w:tcPr>
          <w:p>
            <w:pPr>
              <w:widowControl/>
              <w:spacing w:line="240" w:lineRule="auto"/>
              <w:ind w:firstLine="0" w:firstLineChars="0"/>
              <w:jc w:val="left"/>
              <w:rPr>
                <w:rFonts w:hint="eastAsia" w:ascii="仿宋_GB2312" w:hAnsi="仿宋_GB2312" w:eastAsia="仿宋_GB2312" w:cs="仿宋_GB2312"/>
                <w:kern w:val="0"/>
                <w:sz w:val="24"/>
              </w:rPr>
            </w:pPr>
          </w:p>
        </w:tc>
        <w:tc>
          <w:tcPr>
            <w:tcW w:w="2177" w:type="dxa"/>
            <w:tcMar>
              <w:left w:w="57" w:type="dxa"/>
              <w:right w:w="57"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大洼区</w:t>
            </w:r>
          </w:p>
        </w:tc>
        <w:tc>
          <w:tcPr>
            <w:tcW w:w="3373" w:type="dxa"/>
            <w:tcMar>
              <w:left w:w="57" w:type="dxa"/>
              <w:right w:w="57" w:type="dxa"/>
            </w:tcMar>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大洼</w:t>
            </w:r>
          </w:p>
        </w:tc>
      </w:tr>
    </w:tbl>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val="0"/>
          <w:szCs w:val="30"/>
          <w:lang w:val="en-US" w:eastAsia="zh-CN"/>
        </w:rPr>
      </w:pPr>
      <w:r>
        <w:rPr>
          <w:rFonts w:hint="eastAsia" w:ascii="仿宋_GB2312" w:hAnsi="仿宋_GB2312" w:eastAsia="仿宋_GB2312" w:cs="仿宋_GB2312"/>
          <w:b/>
          <w:bCs w:val="0"/>
          <w:szCs w:val="30"/>
          <w:lang w:val="en-US" w:eastAsia="zh-CN"/>
        </w:rPr>
        <w:t>2.监测项目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县（市）必测项目3项：pH、电导率、降雨量。选测项9项：硫酸根、硝酸根、氟、氯、铵、钙、镁、钠、钾9种离子浓度，降水pH≤5.6的样品必须测定9种离子浓度。</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val="0"/>
          <w:szCs w:val="30"/>
          <w:lang w:val="en-US" w:eastAsia="zh-CN"/>
        </w:rPr>
      </w:pPr>
      <w:r>
        <w:rPr>
          <w:rFonts w:hint="eastAsia" w:ascii="仿宋_GB2312" w:hAnsi="仿宋_GB2312" w:eastAsia="仿宋_GB2312" w:cs="仿宋_GB2312"/>
          <w:b/>
          <w:bCs w:val="0"/>
          <w:szCs w:val="30"/>
          <w:lang w:val="en-US" w:eastAsia="zh-CN"/>
        </w:rPr>
        <w:t>3.监测频次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逢雨（雪）必测。当连续降雨（雪）超过24h时，则将上午9:00至次日9:00的降水视为一个样品；若一天中有多次降雨（雪）过程，可合并为一个样品。</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val="0"/>
          <w:szCs w:val="30"/>
          <w:lang w:val="en-US" w:eastAsia="zh-CN"/>
        </w:rPr>
      </w:pPr>
      <w:r>
        <w:rPr>
          <w:rFonts w:hint="eastAsia" w:ascii="仿宋_GB2312" w:hAnsi="仿宋_GB2312" w:eastAsia="仿宋_GB2312" w:cs="仿宋_GB2312"/>
          <w:b/>
          <w:bCs w:val="0"/>
          <w:szCs w:val="30"/>
          <w:lang w:val="en-US" w:eastAsia="zh-CN"/>
        </w:rPr>
        <w:t>4.工作方式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rPr>
        <w:t>县（市）降水监测为市级事权，市级财政保障经费，市生态环境</w:t>
      </w:r>
      <w:r>
        <w:rPr>
          <w:rFonts w:hint="eastAsia" w:ascii="仿宋_GB2312" w:hAnsi="仿宋_GB2312" w:cs="仿宋_GB2312"/>
          <w:kern w:val="0"/>
          <w:szCs w:val="32"/>
          <w:lang w:val="en-US" w:eastAsia="zh-CN"/>
        </w:rPr>
        <w:t>局</w:t>
      </w:r>
      <w:r>
        <w:rPr>
          <w:rFonts w:hint="eastAsia" w:ascii="仿宋_GB2312" w:hAnsi="仿宋_GB2312" w:eastAsia="仿宋_GB2312" w:cs="仿宋_GB2312"/>
          <w:kern w:val="0"/>
          <w:szCs w:val="32"/>
        </w:rPr>
        <w:t>负责组织</w:t>
      </w:r>
      <w:r>
        <w:rPr>
          <w:rFonts w:hint="eastAsia" w:ascii="仿宋_GB2312" w:hAnsi="仿宋_GB2312" w:eastAsia="仿宋_GB2312" w:cs="仿宋_GB2312"/>
          <w:kern w:val="0"/>
          <w:szCs w:val="32"/>
          <w:lang w:eastAsia="zh-CN"/>
        </w:rPr>
        <w:t>实施，</w:t>
      </w:r>
      <w:r>
        <w:rPr>
          <w:rFonts w:hint="eastAsia" w:ascii="仿宋_GB2312" w:hAnsi="仿宋_GB2312" w:cs="仿宋_GB2312"/>
          <w:kern w:val="0"/>
          <w:szCs w:val="32"/>
          <w:highlight w:val="none"/>
          <w:lang w:val="en-US" w:eastAsia="zh-CN"/>
        </w:rPr>
        <w:t>在盘锦市环境监测站具备监测能力前，暂由驻市分支机构</w:t>
      </w:r>
      <w:r>
        <w:rPr>
          <w:rFonts w:hint="eastAsia" w:ascii="仿宋_GB2312" w:hAnsi="仿宋_GB2312" w:eastAsia="仿宋_GB2312" w:cs="仿宋_GB2312"/>
          <w:kern w:val="0"/>
          <w:szCs w:val="32"/>
          <w:highlight w:val="none"/>
          <w:lang w:eastAsia="zh-CN"/>
        </w:rPr>
        <w:t>代为开展监测，县区分局负责送样</w:t>
      </w:r>
      <w:r>
        <w:rPr>
          <w:rFonts w:hint="eastAsia" w:ascii="仿宋_GB2312" w:hAnsi="仿宋_GB2312" w:eastAsia="仿宋_GB2312" w:cs="仿宋_GB2312"/>
          <w:kern w:val="0"/>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textAlignment w:val="auto"/>
        <w:outlineLvl w:val="3"/>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责任主体：</w:t>
      </w:r>
      <w:r>
        <w:rPr>
          <w:rFonts w:hint="eastAsia" w:ascii="仿宋_GB2312" w:hAnsi="仿宋_GB2312" w:cs="仿宋_GB2312"/>
          <w:kern w:val="0"/>
          <w:szCs w:val="32"/>
          <w:lang w:eastAsia="zh-CN"/>
        </w:rPr>
        <w:t>市生态环境局</w:t>
      </w:r>
      <w:r>
        <w:rPr>
          <w:rFonts w:hint="eastAsia" w:ascii="仿宋_GB2312" w:hAnsi="仿宋_GB2312" w:eastAsia="仿宋_GB2312" w:cs="仿宋_GB2312"/>
          <w:kern w:val="0"/>
          <w:szCs w:val="32"/>
        </w:rPr>
        <w:t>大气科</w:t>
      </w:r>
      <w:r>
        <w:rPr>
          <w:rFonts w:hint="eastAsia" w:ascii="仿宋_GB2312" w:hAnsi="仿宋_GB2312" w:cs="仿宋_GB2312"/>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bCs w:val="0"/>
          <w:szCs w:val="30"/>
          <w:lang w:val="en-US" w:eastAsia="zh-CN"/>
        </w:rPr>
      </w:pPr>
      <w:r>
        <w:rPr>
          <w:rFonts w:hint="eastAsia" w:ascii="仿宋_GB2312" w:hAnsi="仿宋_GB2312" w:eastAsia="仿宋_GB2312" w:cs="仿宋_GB2312"/>
          <w:b/>
          <w:bCs w:val="0"/>
          <w:szCs w:val="30"/>
          <w:lang w:val="en-US" w:eastAsia="zh-CN"/>
        </w:rPr>
        <w:t>5.数据核校及报送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驻市分支机构汇总县（市）降水监测数据后，每月6日前报送上月（整个自然月）监测数据，</w:t>
      </w:r>
      <w:r>
        <w:rPr>
          <w:rFonts w:hint="eastAsia" w:ascii="仿宋_GB2312" w:hAnsi="仿宋_GB2312" w:eastAsia="仿宋_GB2312" w:cs="仿宋_GB2312"/>
          <w:kern w:val="0"/>
          <w:szCs w:val="32"/>
          <w:lang w:eastAsia="zh-CN"/>
        </w:rPr>
        <w:t>同时转送市生态环境</w:t>
      </w:r>
      <w:r>
        <w:rPr>
          <w:rFonts w:hint="eastAsia" w:ascii="仿宋_GB2312" w:hAnsi="仿宋_GB2312" w:cs="仿宋_GB2312"/>
          <w:kern w:val="0"/>
          <w:szCs w:val="32"/>
          <w:lang w:val="en-US" w:eastAsia="zh-CN"/>
        </w:rPr>
        <w:t>局</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rPr>
        <w:t>如遇见节假日，上报日期顺延一周。</w:t>
      </w:r>
    </w:p>
    <w:p>
      <w:pPr>
        <w:keepNext/>
        <w:keepLines/>
        <w:adjustRightInd w:val="0"/>
        <w:snapToGrid w:val="0"/>
        <w:spacing w:before="217" w:beforeLines="50" w:after="217" w:afterLines="50" w:line="240" w:lineRule="auto"/>
        <w:ind w:left="0" w:leftChars="0" w:firstLine="0" w:firstLineChars="0"/>
        <w:jc w:val="center"/>
        <w:outlineLvl w:val="9"/>
        <w:rPr>
          <w:rFonts w:hint="eastAsia" w:ascii="仿宋_GB2312" w:hAnsi="仿宋_GB2312" w:eastAsia="仿宋_GB2312" w:cs="仿宋_GB2312"/>
          <w:b/>
          <w:bCs/>
          <w:sz w:val="24"/>
        </w:rPr>
      </w:pPr>
      <w:bookmarkStart w:id="55" w:name="_Toc13264"/>
      <w:r>
        <w:rPr>
          <w:rFonts w:hint="eastAsia" w:ascii="仿宋_GB2312" w:hAnsi="仿宋_GB2312" w:eastAsia="仿宋_GB2312" w:cs="仿宋_GB2312"/>
          <w:b/>
          <w:bCs/>
          <w:sz w:val="24"/>
        </w:rPr>
        <w:t>表1-</w:t>
      </w:r>
      <w:r>
        <w:rPr>
          <w:rFonts w:hint="eastAsia" w:ascii="仿宋_GB2312" w:hAnsi="仿宋_GB2312" w:eastAsia="仿宋_GB2312" w:cs="仿宋_GB2312"/>
          <w:b/>
          <w:bCs/>
          <w:sz w:val="24"/>
          <w:lang w:val="en-US" w:eastAsia="zh-CN"/>
        </w:rPr>
        <w:t>4</w:t>
      </w:r>
      <w:r>
        <w:rPr>
          <w:rFonts w:hint="eastAsia" w:ascii="仿宋_GB2312" w:hAnsi="仿宋_GB2312" w:eastAsia="仿宋_GB2312" w:cs="仿宋_GB2312"/>
          <w:b/>
          <w:bCs/>
          <w:sz w:val="24"/>
        </w:rPr>
        <w:t xml:space="preserve">  降水监测数据各指标浓度范围值</w:t>
      </w:r>
    </w:p>
    <w:tbl>
      <w:tblPr>
        <w:tblStyle w:val="57"/>
        <w:tblW w:w="901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
        <w:gridCol w:w="961"/>
        <w:gridCol w:w="669"/>
        <w:gridCol w:w="669"/>
        <w:gridCol w:w="669"/>
        <w:gridCol w:w="667"/>
        <w:gridCol w:w="658"/>
        <w:gridCol w:w="657"/>
        <w:gridCol w:w="651"/>
        <w:gridCol w:w="644"/>
        <w:gridCol w:w="637"/>
        <w:gridCol w:w="631"/>
        <w:gridCol w:w="6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4" w:type="dxa"/>
            <w:vMerge w:val="restart"/>
            <w:tcBorders>
              <w:tl2br w:val="nil"/>
              <w:tr2bl w:val="nil"/>
            </w:tcBorders>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项目</w:t>
            </w:r>
          </w:p>
        </w:tc>
        <w:tc>
          <w:tcPr>
            <w:tcW w:w="961" w:type="dxa"/>
            <w:tcBorders>
              <w:tl2br w:val="nil"/>
              <w:tr2bl w:val="nil"/>
            </w:tcBorders>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降雨量</w:t>
            </w:r>
          </w:p>
        </w:tc>
        <w:tc>
          <w:tcPr>
            <w:tcW w:w="669" w:type="dxa"/>
            <w:tcBorders>
              <w:tl2br w:val="nil"/>
              <w:tr2bl w:val="nil"/>
            </w:tcBorders>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pH</w:t>
            </w:r>
          </w:p>
        </w:tc>
        <w:tc>
          <w:tcPr>
            <w:tcW w:w="669" w:type="dxa"/>
            <w:tcBorders>
              <w:tl2br w:val="nil"/>
              <w:tr2bl w:val="nil"/>
            </w:tcBorders>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EC</w:t>
            </w:r>
          </w:p>
        </w:tc>
        <w:tc>
          <w:tcPr>
            <w:tcW w:w="669" w:type="dxa"/>
            <w:tcBorders>
              <w:tl2br w:val="nil"/>
              <w:tr2bl w:val="nil"/>
            </w:tcBorders>
            <w:shd w:val="clear" w:color="auto" w:fill="FFFFFF" w:themeFill="background1"/>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SO</w:t>
            </w:r>
            <w:r>
              <w:rPr>
                <w:rFonts w:hint="eastAsia" w:ascii="仿宋_GB2312" w:hAnsi="仿宋_GB2312" w:eastAsia="仿宋_GB2312" w:cs="仿宋_GB2312"/>
                <w:b/>
                <w:bCs/>
                <w:kern w:val="0"/>
                <w:sz w:val="24"/>
                <w:vertAlign w:val="subscript"/>
              </w:rPr>
              <w:t>4</w:t>
            </w:r>
            <w:r>
              <w:rPr>
                <w:rFonts w:hint="eastAsia" w:ascii="仿宋_GB2312" w:hAnsi="仿宋_GB2312" w:eastAsia="仿宋_GB2312" w:cs="仿宋_GB2312"/>
                <w:b/>
                <w:bCs/>
                <w:kern w:val="0"/>
                <w:sz w:val="24"/>
                <w:vertAlign w:val="superscript"/>
              </w:rPr>
              <w:t>2-</w:t>
            </w:r>
          </w:p>
        </w:tc>
        <w:tc>
          <w:tcPr>
            <w:tcW w:w="667" w:type="dxa"/>
            <w:tcBorders>
              <w:tl2br w:val="nil"/>
              <w:tr2bl w:val="nil"/>
            </w:tcBorders>
            <w:shd w:val="clear" w:color="auto" w:fill="FFFFFF" w:themeFill="background1"/>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NO</w:t>
            </w:r>
            <w:r>
              <w:rPr>
                <w:rFonts w:hint="eastAsia" w:ascii="仿宋_GB2312" w:hAnsi="仿宋_GB2312" w:eastAsia="仿宋_GB2312" w:cs="仿宋_GB2312"/>
                <w:b/>
                <w:bCs/>
                <w:kern w:val="0"/>
                <w:sz w:val="24"/>
                <w:vertAlign w:val="subscript"/>
              </w:rPr>
              <w:t>3</w:t>
            </w:r>
            <w:r>
              <w:rPr>
                <w:rFonts w:hint="eastAsia" w:ascii="仿宋_GB2312" w:hAnsi="仿宋_GB2312" w:eastAsia="仿宋_GB2312" w:cs="仿宋_GB2312"/>
                <w:b/>
                <w:bCs/>
                <w:kern w:val="0"/>
                <w:sz w:val="24"/>
                <w:vertAlign w:val="superscript"/>
              </w:rPr>
              <w:t>-</w:t>
            </w:r>
          </w:p>
        </w:tc>
        <w:tc>
          <w:tcPr>
            <w:tcW w:w="658" w:type="dxa"/>
            <w:tcBorders>
              <w:tl2br w:val="nil"/>
              <w:tr2bl w:val="nil"/>
            </w:tcBorders>
            <w:shd w:val="clear" w:color="auto" w:fill="FFFFFF" w:themeFill="background1"/>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F</w:t>
            </w:r>
            <w:r>
              <w:rPr>
                <w:rFonts w:hint="eastAsia" w:ascii="仿宋_GB2312" w:hAnsi="仿宋_GB2312" w:eastAsia="仿宋_GB2312" w:cs="仿宋_GB2312"/>
                <w:b/>
                <w:bCs/>
                <w:kern w:val="0"/>
                <w:sz w:val="24"/>
                <w:vertAlign w:val="superscript"/>
              </w:rPr>
              <w:t>-</w:t>
            </w:r>
          </w:p>
        </w:tc>
        <w:tc>
          <w:tcPr>
            <w:tcW w:w="657" w:type="dxa"/>
            <w:tcBorders>
              <w:tl2br w:val="nil"/>
              <w:tr2bl w:val="nil"/>
            </w:tcBorders>
            <w:shd w:val="clear" w:color="auto" w:fill="FFFFFF" w:themeFill="background1"/>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Cl</w:t>
            </w:r>
            <w:r>
              <w:rPr>
                <w:rFonts w:hint="eastAsia" w:ascii="仿宋_GB2312" w:hAnsi="仿宋_GB2312" w:eastAsia="仿宋_GB2312" w:cs="仿宋_GB2312"/>
                <w:b/>
                <w:bCs/>
                <w:kern w:val="0"/>
                <w:sz w:val="24"/>
                <w:vertAlign w:val="superscript"/>
              </w:rPr>
              <w:t>-</w:t>
            </w:r>
          </w:p>
        </w:tc>
        <w:tc>
          <w:tcPr>
            <w:tcW w:w="651" w:type="dxa"/>
            <w:tcBorders>
              <w:tl2br w:val="nil"/>
              <w:tr2bl w:val="nil"/>
            </w:tcBorders>
            <w:shd w:val="clear" w:color="auto" w:fill="FFFFFF" w:themeFill="background1"/>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NH</w:t>
            </w:r>
            <w:r>
              <w:rPr>
                <w:rFonts w:hint="eastAsia" w:ascii="仿宋_GB2312" w:hAnsi="仿宋_GB2312" w:eastAsia="仿宋_GB2312" w:cs="仿宋_GB2312"/>
                <w:b/>
                <w:bCs/>
                <w:kern w:val="0"/>
                <w:sz w:val="24"/>
                <w:vertAlign w:val="subscript"/>
              </w:rPr>
              <w:t>4</w:t>
            </w:r>
            <w:r>
              <w:rPr>
                <w:rFonts w:hint="eastAsia" w:ascii="仿宋_GB2312" w:hAnsi="仿宋_GB2312" w:eastAsia="仿宋_GB2312" w:cs="仿宋_GB2312"/>
                <w:b/>
                <w:bCs/>
                <w:kern w:val="0"/>
                <w:sz w:val="24"/>
                <w:vertAlign w:val="superscript"/>
              </w:rPr>
              <w:t>+</w:t>
            </w:r>
          </w:p>
        </w:tc>
        <w:tc>
          <w:tcPr>
            <w:tcW w:w="644" w:type="dxa"/>
            <w:tcBorders>
              <w:tl2br w:val="nil"/>
              <w:tr2bl w:val="nil"/>
            </w:tcBorders>
            <w:shd w:val="clear" w:color="auto" w:fill="FFFFFF" w:themeFill="background1"/>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Ca</w:t>
            </w:r>
            <w:r>
              <w:rPr>
                <w:rFonts w:hint="eastAsia" w:ascii="仿宋_GB2312" w:hAnsi="仿宋_GB2312" w:eastAsia="仿宋_GB2312" w:cs="仿宋_GB2312"/>
                <w:b/>
                <w:bCs/>
                <w:kern w:val="0"/>
                <w:sz w:val="24"/>
                <w:vertAlign w:val="superscript"/>
              </w:rPr>
              <w:t>2+</w:t>
            </w:r>
          </w:p>
        </w:tc>
        <w:tc>
          <w:tcPr>
            <w:tcW w:w="637" w:type="dxa"/>
            <w:tcBorders>
              <w:tl2br w:val="nil"/>
              <w:tr2bl w:val="nil"/>
            </w:tcBorders>
            <w:shd w:val="clear" w:color="auto" w:fill="FFFFFF" w:themeFill="background1"/>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Mg</w:t>
            </w:r>
            <w:r>
              <w:rPr>
                <w:rFonts w:hint="eastAsia" w:ascii="仿宋_GB2312" w:hAnsi="仿宋_GB2312" w:eastAsia="仿宋_GB2312" w:cs="仿宋_GB2312"/>
                <w:b/>
                <w:bCs/>
                <w:kern w:val="0"/>
                <w:sz w:val="24"/>
                <w:vertAlign w:val="superscript"/>
              </w:rPr>
              <w:t>2+</w:t>
            </w:r>
          </w:p>
        </w:tc>
        <w:tc>
          <w:tcPr>
            <w:tcW w:w="631" w:type="dxa"/>
            <w:tcBorders>
              <w:tl2br w:val="nil"/>
              <w:tr2bl w:val="nil"/>
            </w:tcBorders>
            <w:shd w:val="clear" w:color="auto" w:fill="FFFFFF" w:themeFill="background1"/>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Na</w:t>
            </w:r>
            <w:r>
              <w:rPr>
                <w:rFonts w:hint="eastAsia" w:ascii="仿宋_GB2312" w:hAnsi="仿宋_GB2312" w:eastAsia="仿宋_GB2312" w:cs="仿宋_GB2312"/>
                <w:b/>
                <w:bCs/>
                <w:kern w:val="0"/>
                <w:sz w:val="24"/>
                <w:vertAlign w:val="superscript"/>
              </w:rPr>
              <w:t>+</w:t>
            </w:r>
          </w:p>
        </w:tc>
        <w:tc>
          <w:tcPr>
            <w:tcW w:w="608" w:type="dxa"/>
            <w:tcBorders>
              <w:tl2br w:val="nil"/>
              <w:tr2bl w:val="nil"/>
            </w:tcBorders>
            <w:shd w:val="clear" w:color="auto" w:fill="FFFFFF" w:themeFill="background1"/>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K</w:t>
            </w:r>
            <w:r>
              <w:rPr>
                <w:rFonts w:hint="eastAsia" w:ascii="仿宋_GB2312" w:hAnsi="仿宋_GB2312" w:eastAsia="仿宋_GB2312" w:cs="仿宋_GB2312"/>
                <w:b/>
                <w:bCs/>
                <w:kern w:val="0"/>
                <w:sz w:val="24"/>
                <w:vertAlign w:val="superscript"/>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94" w:type="dxa"/>
            <w:vMerge w:val="continue"/>
            <w:tcBorders>
              <w:tl2br w:val="nil"/>
              <w:tr2bl w:val="nil"/>
            </w:tcBorders>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p>
        </w:tc>
        <w:tc>
          <w:tcPr>
            <w:tcW w:w="961" w:type="dxa"/>
            <w:tcBorders>
              <w:tl2br w:val="nil"/>
              <w:tr2bl w:val="nil"/>
            </w:tcBorders>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mm</w:t>
            </w:r>
          </w:p>
        </w:tc>
        <w:tc>
          <w:tcPr>
            <w:tcW w:w="669" w:type="dxa"/>
            <w:tcBorders>
              <w:tl2br w:val="nil"/>
              <w:tr2bl w:val="nil"/>
            </w:tcBorders>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cs="仿宋_GB2312"/>
                <w:b/>
                <w:bCs/>
                <w:kern w:val="0"/>
                <w:sz w:val="24"/>
                <w:lang w:eastAsia="zh-CN"/>
              </w:rPr>
              <w:t>—</w:t>
            </w:r>
          </w:p>
        </w:tc>
        <w:tc>
          <w:tcPr>
            <w:tcW w:w="669" w:type="dxa"/>
            <w:tcBorders>
              <w:tl2br w:val="nil"/>
              <w:tr2bl w:val="nil"/>
            </w:tcBorders>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m</w:t>
            </w:r>
            <w:r>
              <w:rPr>
                <w:rFonts w:hint="eastAsia" w:ascii="仿宋_GB2312" w:hAnsi="仿宋_GB2312" w:cs="仿宋_GB2312"/>
                <w:b/>
                <w:bCs/>
                <w:kern w:val="0"/>
                <w:sz w:val="24"/>
                <w:lang w:val="en-US" w:eastAsia="zh-CN"/>
              </w:rPr>
              <w:t>s</w:t>
            </w:r>
            <w:r>
              <w:rPr>
                <w:rFonts w:hint="eastAsia" w:ascii="仿宋_GB2312" w:hAnsi="仿宋_GB2312" w:eastAsia="仿宋_GB2312" w:cs="仿宋_GB2312"/>
                <w:b/>
                <w:bCs/>
                <w:kern w:val="0"/>
                <w:sz w:val="24"/>
              </w:rPr>
              <w:t>/m</w:t>
            </w:r>
          </w:p>
        </w:tc>
        <w:tc>
          <w:tcPr>
            <w:tcW w:w="669" w:type="dxa"/>
            <w:tcBorders>
              <w:tl2br w:val="nil"/>
              <w:tr2bl w:val="nil"/>
            </w:tcBorders>
            <w:shd w:val="clear" w:color="auto" w:fill="FFFFFF" w:themeFill="background1"/>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mg/L</w:t>
            </w:r>
          </w:p>
        </w:tc>
        <w:tc>
          <w:tcPr>
            <w:tcW w:w="667" w:type="dxa"/>
            <w:tcBorders>
              <w:tl2br w:val="nil"/>
              <w:tr2bl w:val="nil"/>
            </w:tcBorders>
            <w:shd w:val="clear" w:color="auto" w:fill="FFFFFF" w:themeFill="background1"/>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mg/L</w:t>
            </w:r>
          </w:p>
        </w:tc>
        <w:tc>
          <w:tcPr>
            <w:tcW w:w="658" w:type="dxa"/>
            <w:tcBorders>
              <w:tl2br w:val="nil"/>
              <w:tr2bl w:val="nil"/>
            </w:tcBorders>
            <w:shd w:val="clear" w:color="auto" w:fill="FFFFFF" w:themeFill="background1"/>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mg/L</w:t>
            </w:r>
          </w:p>
        </w:tc>
        <w:tc>
          <w:tcPr>
            <w:tcW w:w="657" w:type="dxa"/>
            <w:tcBorders>
              <w:tl2br w:val="nil"/>
              <w:tr2bl w:val="nil"/>
            </w:tcBorders>
            <w:shd w:val="clear" w:color="auto" w:fill="FFFFFF" w:themeFill="background1"/>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mg/L</w:t>
            </w:r>
          </w:p>
        </w:tc>
        <w:tc>
          <w:tcPr>
            <w:tcW w:w="651" w:type="dxa"/>
            <w:tcBorders>
              <w:tl2br w:val="nil"/>
              <w:tr2bl w:val="nil"/>
            </w:tcBorders>
            <w:shd w:val="clear" w:color="auto" w:fill="FFFFFF" w:themeFill="background1"/>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mg/L</w:t>
            </w:r>
          </w:p>
        </w:tc>
        <w:tc>
          <w:tcPr>
            <w:tcW w:w="644" w:type="dxa"/>
            <w:tcBorders>
              <w:tl2br w:val="nil"/>
              <w:tr2bl w:val="nil"/>
            </w:tcBorders>
            <w:shd w:val="clear" w:color="auto" w:fill="FFFFFF" w:themeFill="background1"/>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mg/L</w:t>
            </w:r>
          </w:p>
        </w:tc>
        <w:tc>
          <w:tcPr>
            <w:tcW w:w="637" w:type="dxa"/>
            <w:tcBorders>
              <w:tl2br w:val="nil"/>
              <w:tr2bl w:val="nil"/>
            </w:tcBorders>
            <w:shd w:val="clear" w:color="auto" w:fill="FFFFFF" w:themeFill="background1"/>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mg/L</w:t>
            </w:r>
          </w:p>
        </w:tc>
        <w:tc>
          <w:tcPr>
            <w:tcW w:w="631" w:type="dxa"/>
            <w:tcBorders>
              <w:tl2br w:val="nil"/>
              <w:tr2bl w:val="nil"/>
            </w:tcBorders>
            <w:shd w:val="clear" w:color="auto" w:fill="FFFFFF" w:themeFill="background1"/>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mg/L</w:t>
            </w:r>
          </w:p>
        </w:tc>
        <w:tc>
          <w:tcPr>
            <w:tcW w:w="608" w:type="dxa"/>
            <w:tcBorders>
              <w:tl2br w:val="nil"/>
              <w:tr2bl w:val="nil"/>
            </w:tcBorders>
            <w:shd w:val="clear" w:color="auto" w:fill="FFFFFF" w:themeFill="background1"/>
            <w:tcMar>
              <w:top w:w="0" w:type="dxa"/>
              <w:left w:w="57" w:type="dxa"/>
              <w:bottom w:w="0" w:type="dxa"/>
              <w:right w:w="57" w:type="dxa"/>
            </w:tcMar>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mg/L</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4"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最小值</w:t>
            </w:r>
          </w:p>
        </w:tc>
        <w:tc>
          <w:tcPr>
            <w:tcW w:w="961"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669"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3.0</w:t>
            </w:r>
          </w:p>
        </w:tc>
        <w:tc>
          <w:tcPr>
            <w:tcW w:w="669"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669"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667"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658"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657"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651"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644"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637"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631"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608"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4"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最大值</w:t>
            </w:r>
          </w:p>
        </w:tc>
        <w:tc>
          <w:tcPr>
            <w:tcW w:w="961"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2000</w:t>
            </w:r>
          </w:p>
        </w:tc>
        <w:tc>
          <w:tcPr>
            <w:tcW w:w="669"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9.0</w:t>
            </w:r>
          </w:p>
        </w:tc>
        <w:tc>
          <w:tcPr>
            <w:tcW w:w="669"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w:t>
            </w:r>
          </w:p>
        </w:tc>
        <w:tc>
          <w:tcPr>
            <w:tcW w:w="669"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200</w:t>
            </w:r>
          </w:p>
        </w:tc>
        <w:tc>
          <w:tcPr>
            <w:tcW w:w="667"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658"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w:t>
            </w:r>
          </w:p>
        </w:tc>
        <w:tc>
          <w:tcPr>
            <w:tcW w:w="657"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651"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644"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200</w:t>
            </w:r>
          </w:p>
        </w:tc>
        <w:tc>
          <w:tcPr>
            <w:tcW w:w="637"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631"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608"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100</w:t>
            </w:r>
          </w:p>
        </w:tc>
      </w:tr>
      <w:bookmarkEnd w:id="50"/>
      <w:bookmarkEnd w:id="52"/>
      <w:bookmarkEnd w:id="53"/>
      <w:bookmarkEnd w:id="55"/>
    </w:tbl>
    <w:p>
      <w:pPr>
        <w:pStyle w:val="3"/>
        <w:keepNext/>
        <w:keepLines/>
        <w:pageBreakBefore w:val="0"/>
        <w:widowControl w:val="0"/>
        <w:numPr>
          <w:ilvl w:val="0"/>
          <w:numId w:val="0"/>
        </w:numPr>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rPr>
      </w:pPr>
      <w:bookmarkStart w:id="56" w:name="_Toc472608025"/>
      <w:bookmarkEnd w:id="56"/>
      <w:bookmarkStart w:id="57" w:name="_Toc15145"/>
      <w:bookmarkStart w:id="58" w:name="_Toc29968"/>
      <w:bookmarkStart w:id="59" w:name="_Toc2130755790"/>
      <w:bookmarkStart w:id="60" w:name="_Toc10650"/>
      <w:bookmarkStart w:id="61" w:name="_Toc442488496"/>
      <w:bookmarkStart w:id="62" w:name="_Toc8893"/>
      <w:bookmarkStart w:id="63" w:name="_Toc7450"/>
      <w:bookmarkStart w:id="64" w:name="_Toc510"/>
      <w:bookmarkStart w:id="65" w:name="_Toc30386"/>
      <w:bookmarkStart w:id="66" w:name="_Toc6374"/>
      <w:bookmarkStart w:id="67" w:name="_Toc1663369578"/>
      <w:bookmarkStart w:id="68" w:name="_Toc7839"/>
      <w:bookmarkStart w:id="69" w:name="_Toc16688"/>
      <w:bookmarkStart w:id="70" w:name="_Toc23584"/>
      <w:bookmarkStart w:id="71" w:name="_Toc2145"/>
      <w:bookmarkStart w:id="72" w:name="_Toc28020"/>
      <w:bookmarkStart w:id="73" w:name="_Toc479"/>
      <w:bookmarkStart w:id="74" w:name="_Toc15753"/>
      <w:bookmarkStart w:id="75" w:name="_Toc18724"/>
      <w:bookmarkStart w:id="76" w:name="_Toc4498"/>
      <w:r>
        <w:rPr>
          <w:rFonts w:hint="eastAsia" w:ascii="楷体_GB2312" w:hAnsi="楷体_GB2312" w:eastAsia="楷体_GB2312" w:cs="楷体_GB2312"/>
          <w:b w:val="0"/>
          <w:lang w:eastAsia="zh-CN"/>
        </w:rPr>
        <w:t>（</w:t>
      </w:r>
      <w:r>
        <w:rPr>
          <w:rFonts w:hint="eastAsia" w:ascii="楷体_GB2312" w:hAnsi="楷体_GB2312" w:eastAsia="楷体_GB2312" w:cs="楷体_GB2312"/>
          <w:b w:val="0"/>
          <w:lang w:val="en-US" w:eastAsia="zh-CN"/>
        </w:rPr>
        <w:t>四）</w:t>
      </w:r>
      <w:r>
        <w:rPr>
          <w:rFonts w:hint="eastAsia" w:ascii="楷体_GB2312" w:hAnsi="楷体_GB2312" w:eastAsia="楷体_GB2312" w:cs="楷体_GB2312"/>
          <w:b w:val="0"/>
        </w:rPr>
        <w:t>大气颗粒物组分监测</w:t>
      </w:r>
      <w:bookmarkEnd w:id="57"/>
      <w:bookmarkEnd w:id="58"/>
      <w:bookmarkEnd w:id="59"/>
      <w:bookmarkEnd w:id="60"/>
      <w:bookmarkEnd w:id="61"/>
      <w:bookmarkEnd w:id="62"/>
      <w:bookmarkEnd w:id="63"/>
      <w:bookmarkEnd w:id="64"/>
      <w:bookmarkEnd w:id="65"/>
      <w:bookmarkEnd w:id="66"/>
      <w:bookmarkEnd w:id="67"/>
      <w:bookmarkEnd w:id="68"/>
      <w:bookmarkEnd w:id="69"/>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val="0"/>
          <w:szCs w:val="30"/>
          <w:lang w:val="en-US" w:eastAsia="zh-CN"/>
        </w:rPr>
      </w:pPr>
      <w:r>
        <w:rPr>
          <w:rFonts w:hint="eastAsia" w:ascii="仿宋_GB2312" w:hAnsi="仿宋_GB2312" w:eastAsia="仿宋_GB2312" w:cs="仿宋_GB2312"/>
          <w:b/>
          <w:bCs w:val="0"/>
          <w:szCs w:val="30"/>
          <w:lang w:val="en-US" w:eastAsia="zh-CN"/>
        </w:rPr>
        <w:t>1.监测范围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val="en-US" w:eastAsia="zh-CN"/>
        </w:rPr>
        <w:t>盘锦</w:t>
      </w:r>
      <w:r>
        <w:rPr>
          <w:rFonts w:hint="eastAsia" w:ascii="仿宋_GB2312" w:hAnsi="仿宋_GB2312" w:eastAsia="仿宋_GB2312" w:cs="仿宋_GB2312"/>
          <w:kern w:val="0"/>
          <w:szCs w:val="32"/>
          <w:highlight w:val="none"/>
        </w:rPr>
        <w:t>布设1个点位开展大气颗粒物组分自动监测；鼓励有条件的城市同时开展自动及手工监测，每个城市布设1个点位。</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val="0"/>
          <w:szCs w:val="30"/>
          <w:lang w:val="en-US" w:eastAsia="zh-CN"/>
        </w:rPr>
      </w:pPr>
      <w:r>
        <w:rPr>
          <w:rFonts w:hint="eastAsia" w:ascii="仿宋_GB2312" w:hAnsi="仿宋_GB2312" w:cs="仿宋_GB2312"/>
          <w:b/>
          <w:bCs w:val="0"/>
          <w:szCs w:val="30"/>
          <w:lang w:val="en-US" w:eastAsia="zh-CN"/>
        </w:rPr>
        <w:t>2.</w:t>
      </w:r>
      <w:r>
        <w:rPr>
          <w:rFonts w:hint="eastAsia" w:ascii="仿宋_GB2312" w:hAnsi="仿宋_GB2312" w:eastAsia="仿宋_GB2312" w:cs="仿宋_GB2312"/>
          <w:b/>
          <w:bCs w:val="0"/>
          <w:szCs w:val="30"/>
          <w:lang w:val="en-US" w:eastAsia="zh-CN"/>
        </w:rPr>
        <w:t>监测项目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（1）自动监测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必测：PM</w:t>
      </w:r>
      <w:r>
        <w:rPr>
          <w:rFonts w:hint="eastAsia" w:ascii="仿宋_GB2312" w:hAnsi="仿宋_GB2312" w:eastAsia="仿宋_GB2312" w:cs="仿宋_GB2312"/>
          <w:kern w:val="0"/>
          <w:szCs w:val="32"/>
          <w:highlight w:val="none"/>
          <w:vertAlign w:val="subscript"/>
        </w:rPr>
        <w:t>2.5</w:t>
      </w:r>
      <w:r>
        <w:rPr>
          <w:rFonts w:hint="eastAsia" w:ascii="仿宋_GB2312" w:hAnsi="仿宋_GB2312" w:eastAsia="仿宋_GB2312" w:cs="仿宋_GB2312"/>
          <w:kern w:val="0"/>
          <w:szCs w:val="32"/>
          <w:highlight w:val="none"/>
        </w:rPr>
        <w:t>质量浓度；PM</w:t>
      </w:r>
      <w:r>
        <w:rPr>
          <w:rFonts w:hint="eastAsia" w:ascii="仿宋_GB2312" w:hAnsi="仿宋_GB2312" w:eastAsia="仿宋_GB2312" w:cs="仿宋_GB2312"/>
          <w:kern w:val="0"/>
          <w:szCs w:val="32"/>
          <w:highlight w:val="none"/>
          <w:vertAlign w:val="subscript"/>
        </w:rPr>
        <w:t>2.5</w:t>
      </w:r>
      <w:r>
        <w:rPr>
          <w:rFonts w:hint="eastAsia" w:ascii="仿宋_GB2312" w:hAnsi="仿宋_GB2312" w:eastAsia="仿宋_GB2312" w:cs="仿宋_GB2312"/>
          <w:kern w:val="0"/>
          <w:szCs w:val="32"/>
          <w:highlight w:val="none"/>
        </w:rPr>
        <w:t>中的水溶性离子，包括硫酸根离子、硝酸根离子、氯离子、钠离子、铵根离子、钾离子、镁离子、钙离子等；PM</w:t>
      </w:r>
      <w:r>
        <w:rPr>
          <w:rFonts w:hint="eastAsia" w:ascii="仿宋_GB2312" w:hAnsi="仿宋_GB2312" w:eastAsia="仿宋_GB2312" w:cs="仿宋_GB2312"/>
          <w:kern w:val="0"/>
          <w:szCs w:val="32"/>
          <w:highlight w:val="none"/>
          <w:vertAlign w:val="subscript"/>
        </w:rPr>
        <w:t>2.5</w:t>
      </w:r>
      <w:r>
        <w:rPr>
          <w:rFonts w:hint="eastAsia" w:ascii="仿宋_GB2312" w:hAnsi="仿宋_GB2312" w:eastAsia="仿宋_GB2312" w:cs="仿宋_GB2312"/>
          <w:kern w:val="0"/>
          <w:szCs w:val="32"/>
          <w:highlight w:val="none"/>
        </w:rPr>
        <w:t>中的无机元素，包括硅、锑、砷、钡、钙、铬、钴、铜、铁、铅、锰、镍、硒、锡、钛、钒、锌、钾、铝等；PM</w:t>
      </w:r>
      <w:r>
        <w:rPr>
          <w:rFonts w:hint="eastAsia" w:ascii="仿宋_GB2312" w:hAnsi="仿宋_GB2312" w:eastAsia="仿宋_GB2312" w:cs="仿宋_GB2312"/>
          <w:kern w:val="0"/>
          <w:szCs w:val="32"/>
          <w:highlight w:val="none"/>
          <w:vertAlign w:val="subscript"/>
        </w:rPr>
        <w:t>2.5</w:t>
      </w:r>
      <w:r>
        <w:rPr>
          <w:rFonts w:hint="eastAsia" w:ascii="仿宋_GB2312" w:hAnsi="仿宋_GB2312" w:eastAsia="仿宋_GB2312" w:cs="仿宋_GB2312"/>
          <w:kern w:val="0"/>
          <w:szCs w:val="32"/>
          <w:highlight w:val="none"/>
        </w:rPr>
        <w:t>中的元素碳、有机碳。</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选测：气象五参数；在线来源解析（多种组分数浓度、实时污染来源解析结果）；大气颗粒物垂直分布；温度廓线、风廓线、水汽廓线等。</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rPr>
      </w:pPr>
      <w:r>
        <w:rPr>
          <w:rFonts w:eastAsia="仿宋"/>
          <w:kern w:val="0"/>
          <w:szCs w:val="32"/>
          <w:highlight w:val="none"/>
        </w:rPr>
        <w:t>（</w:t>
      </w:r>
      <w:r>
        <w:rPr>
          <w:rFonts w:hint="eastAsia" w:ascii="仿宋_GB2312" w:hAnsi="仿宋_GB2312" w:eastAsia="仿宋_GB2312" w:cs="仿宋_GB2312"/>
          <w:kern w:val="0"/>
          <w:szCs w:val="32"/>
          <w:highlight w:val="none"/>
        </w:rPr>
        <w:t>2）手工监测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必测：参考自动监测。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选测：PM</w:t>
      </w:r>
      <w:r>
        <w:rPr>
          <w:rFonts w:hint="eastAsia" w:ascii="仿宋_GB2312" w:hAnsi="仿宋_GB2312" w:eastAsia="仿宋_GB2312" w:cs="仿宋_GB2312"/>
          <w:kern w:val="0"/>
          <w:szCs w:val="32"/>
          <w:highlight w:val="none"/>
          <w:vertAlign w:val="subscript"/>
        </w:rPr>
        <w:t>2.5</w:t>
      </w:r>
      <w:r>
        <w:rPr>
          <w:rFonts w:hint="eastAsia" w:ascii="仿宋_GB2312" w:hAnsi="仿宋_GB2312" w:eastAsia="仿宋_GB2312" w:cs="仿宋_GB2312"/>
          <w:kern w:val="0"/>
          <w:szCs w:val="32"/>
          <w:highlight w:val="none"/>
        </w:rPr>
        <w:t>中的水溶性有机碳、二元羧酸、多环芳烃、正构烷烃、左旋葡聚糖等有机化合物。</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bCs w:val="0"/>
          <w:szCs w:val="30"/>
          <w:lang w:val="en-US" w:eastAsia="zh-CN"/>
        </w:rPr>
      </w:pPr>
      <w:r>
        <w:rPr>
          <w:rFonts w:hint="eastAsia" w:ascii="仿宋_GB2312" w:hAnsi="仿宋_GB2312" w:eastAsia="仿宋_GB2312" w:cs="仿宋_GB2312"/>
          <w:b/>
          <w:bCs w:val="0"/>
          <w:szCs w:val="30"/>
          <w:lang w:val="en-US" w:eastAsia="zh-CN"/>
        </w:rPr>
        <w:t>3.监测频次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eastAsia="仿宋"/>
          <w:kern w:val="0"/>
          <w:szCs w:val="32"/>
          <w:highlight w:val="none"/>
        </w:rPr>
      </w:pPr>
      <w:r>
        <w:rPr>
          <w:rFonts w:eastAsia="仿宋"/>
          <w:kern w:val="0"/>
          <w:szCs w:val="32"/>
          <w:highlight w:val="none"/>
        </w:rPr>
        <w:t>（1）自动监测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自动监测仪器全年运行，监测结果时间分辨率不低于每小时一组数据。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（2）手工监测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全年开展监测，监测频次为1次/3天。在以PM</w:t>
      </w:r>
      <w:r>
        <w:rPr>
          <w:rFonts w:hint="eastAsia" w:ascii="仿宋_GB2312" w:hAnsi="仿宋_GB2312" w:eastAsia="仿宋_GB2312" w:cs="仿宋_GB2312"/>
          <w:kern w:val="0"/>
          <w:szCs w:val="32"/>
          <w:highlight w:val="none"/>
          <w:vertAlign w:val="subscript"/>
        </w:rPr>
        <w:t>2.5</w:t>
      </w:r>
      <w:r>
        <w:rPr>
          <w:rFonts w:hint="eastAsia" w:ascii="仿宋_GB2312" w:hAnsi="仿宋_GB2312" w:eastAsia="仿宋_GB2312" w:cs="仿宋_GB2312"/>
          <w:kern w:val="0"/>
          <w:szCs w:val="32"/>
          <w:highlight w:val="none"/>
        </w:rPr>
        <w:t>为首要污染物的重污染过程期间（非沙尘天），可开展加密监测，频次为1次/天。</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val="0"/>
          <w:szCs w:val="30"/>
          <w:lang w:val="en-US" w:eastAsia="zh-CN"/>
        </w:rPr>
      </w:pPr>
      <w:r>
        <w:rPr>
          <w:rFonts w:hint="eastAsia" w:ascii="仿宋_GB2312" w:hAnsi="仿宋_GB2312" w:eastAsia="仿宋_GB2312" w:cs="仿宋_GB2312"/>
          <w:b/>
          <w:bCs w:val="0"/>
          <w:szCs w:val="30"/>
          <w:lang w:val="en-US" w:eastAsia="zh-CN"/>
        </w:rPr>
        <w:t>4.工作方式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颗粒物组分监测为市级事权，市级财政保障经费。省级建设的自动站，由省中心负责组织开展运维，省级财政保障经费。运维单位负责数据初审，</w:t>
      </w:r>
      <w:r>
        <w:rPr>
          <w:rFonts w:hint="eastAsia" w:ascii="仿宋_GB2312" w:hAnsi="仿宋_GB2312" w:cs="仿宋_GB2312"/>
          <w:kern w:val="0"/>
          <w:szCs w:val="32"/>
          <w:highlight w:val="none"/>
          <w:lang w:val="en-US" w:eastAsia="zh-CN"/>
        </w:rPr>
        <w:t>驻市分支机构</w:t>
      </w:r>
      <w:r>
        <w:rPr>
          <w:rFonts w:hint="eastAsia" w:ascii="仿宋_GB2312" w:hAnsi="仿宋_GB2312" w:eastAsia="仿宋_GB2312" w:cs="仿宋_GB2312"/>
          <w:kern w:val="0"/>
          <w:szCs w:val="32"/>
          <w:highlight w:val="none"/>
        </w:rPr>
        <w:t>负责开展辖区内数据审核报送、报告编制等工作。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责任主体：</w:t>
      </w:r>
      <w:r>
        <w:rPr>
          <w:rFonts w:hint="eastAsia" w:ascii="仿宋_GB2312" w:hAnsi="仿宋_GB2312" w:cs="仿宋_GB2312"/>
          <w:kern w:val="0"/>
          <w:szCs w:val="32"/>
          <w:lang w:eastAsia="zh-CN"/>
        </w:rPr>
        <w:t>市生态环境局</w:t>
      </w:r>
      <w:r>
        <w:rPr>
          <w:rFonts w:hint="eastAsia" w:ascii="仿宋_GB2312" w:hAnsi="仿宋_GB2312" w:eastAsia="仿宋_GB2312" w:cs="仿宋_GB2312"/>
          <w:kern w:val="0"/>
          <w:szCs w:val="32"/>
        </w:rPr>
        <w:t>大气科</w:t>
      </w:r>
      <w:r>
        <w:rPr>
          <w:rFonts w:hint="eastAsia" w:ascii="仿宋_GB2312" w:hAnsi="仿宋_GB2312" w:cs="仿宋_GB2312"/>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val="0"/>
          <w:szCs w:val="30"/>
          <w:lang w:val="en-US" w:eastAsia="zh-CN"/>
        </w:rPr>
      </w:pPr>
      <w:r>
        <w:rPr>
          <w:rFonts w:hint="eastAsia" w:ascii="仿宋_GB2312" w:hAnsi="仿宋_GB2312" w:eastAsia="仿宋_GB2312" w:cs="仿宋_GB2312"/>
          <w:b/>
          <w:bCs w:val="0"/>
          <w:szCs w:val="30"/>
          <w:lang w:val="en-US" w:eastAsia="zh-CN"/>
        </w:rPr>
        <w:t>5.数据报送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1）自动监测：数据实时报送至国家大气颗粒物组分及光化学监测数据集成和综合分析平台、辽宁省大气综合观测数据联网分析系统。相关技术框架结构设计、数据交换/共享流程、传输要求等应根据国家大气颗粒物组分自动监测的联网要求开展。运维单位2日内完成数据初审，</w:t>
      </w:r>
      <w:r>
        <w:rPr>
          <w:rFonts w:hint="eastAsia" w:ascii="仿宋_GB2312" w:hAnsi="仿宋_GB2312" w:cs="仿宋_GB2312"/>
          <w:kern w:val="0"/>
          <w:szCs w:val="32"/>
          <w:highlight w:val="none"/>
          <w:lang w:val="en-US" w:eastAsia="zh-CN"/>
        </w:rPr>
        <w:t>驻市分支机构</w:t>
      </w:r>
      <w:r>
        <w:rPr>
          <w:rFonts w:hint="eastAsia" w:ascii="仿宋_GB2312" w:hAnsi="仿宋_GB2312" w:eastAsia="仿宋_GB2312" w:cs="仿宋_GB2312"/>
          <w:kern w:val="0"/>
          <w:szCs w:val="32"/>
        </w:rPr>
        <w:t>3日内完成数据审核。</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（2）手工监测：</w:t>
      </w:r>
      <w:r>
        <w:rPr>
          <w:rFonts w:hint="eastAsia" w:ascii="仿宋_GB2312" w:hAnsi="仿宋_GB2312" w:eastAsia="仿宋_GB2312" w:cs="仿宋_GB2312"/>
          <w:kern w:val="0"/>
          <w:szCs w:val="32"/>
          <w:highlight w:val="none"/>
        </w:rPr>
        <w:t>每月15日前</w:t>
      </w:r>
      <w:r>
        <w:rPr>
          <w:rFonts w:hint="eastAsia" w:ascii="仿宋_GB2312" w:hAnsi="仿宋_GB2312" w:eastAsia="仿宋_GB2312" w:cs="仿宋_GB2312"/>
          <w:kern w:val="0"/>
          <w:szCs w:val="32"/>
        </w:rPr>
        <w:t>向省中心报送上月监测数据，每月18日前向省中心报送上月监测报告。重污染或重大活动期间，按具体时间要求进行数据报送。数据、</w:t>
      </w: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"mailto:报告发送至省中心邮箱lnairnet@126.com" </w:instrText>
      </w:r>
      <w:r>
        <w:rPr>
          <w:rFonts w:hint="eastAsia" w:ascii="仿宋_GB2312" w:hAnsi="仿宋_GB2312" w:eastAsia="仿宋_GB2312" w:cs="仿宋_GB2312"/>
          <w:kern w:val="0"/>
          <w:szCs w:val="32"/>
        </w:rPr>
        <w:fldChar w:fldCharType="separate"/>
      </w:r>
      <w:r>
        <w:rPr>
          <w:rFonts w:hint="eastAsia" w:ascii="仿宋_GB2312" w:hAnsi="仿宋_GB2312" w:eastAsia="仿宋_GB2312" w:cs="仿宋_GB2312"/>
          <w:kern w:val="0"/>
          <w:szCs w:val="32"/>
        </w:rPr>
        <w:t>报告发送至省中心邮箱dq.ssthjt@</w:t>
      </w:r>
      <w:r>
        <w:rPr>
          <w:rFonts w:hint="eastAsia" w:ascii="仿宋_GB2312" w:hAnsi="仿宋_GB2312" w:eastAsia="仿宋_GB2312" w:cs="仿宋_GB2312"/>
          <w:kern w:val="0"/>
          <w:szCs w:val="32"/>
        </w:rPr>
        <w:fldChar w:fldCharType="end"/>
      </w:r>
      <w:r>
        <w:rPr>
          <w:rFonts w:hint="eastAsia" w:ascii="仿宋_GB2312" w:hAnsi="仿宋_GB2312" w:eastAsia="仿宋_GB2312" w:cs="仿宋_GB2312"/>
          <w:kern w:val="0"/>
          <w:szCs w:val="32"/>
        </w:rPr>
        <w:t>ln.gov.cn。</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val="0"/>
          <w:szCs w:val="30"/>
          <w:lang w:val="en-US" w:eastAsia="zh-CN"/>
        </w:rPr>
      </w:pPr>
      <w:r>
        <w:rPr>
          <w:rFonts w:hint="eastAsia" w:ascii="仿宋_GB2312" w:hAnsi="仿宋_GB2312" w:eastAsia="仿宋_GB2312" w:cs="仿宋_GB2312"/>
          <w:b/>
          <w:bCs w:val="0"/>
          <w:szCs w:val="30"/>
          <w:lang w:val="en-US" w:eastAsia="zh-CN"/>
        </w:rPr>
        <w:t>6.质量保证与质量控制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按照《大气颗粒物组分自动监测质量保证与质量控制技术规定（第一版）》（总站气函〔2019〕424号）《大气颗粒物组分手工监测质量保证与质量控制规定（第一版）》（总站气函〔2019〕425号）的要求执行。</w:t>
      </w:r>
    </w:p>
    <w:p>
      <w:pPr>
        <w:pStyle w:val="3"/>
        <w:keepNext/>
        <w:keepLines/>
        <w:pageBreakBefore w:val="0"/>
        <w:widowControl w:val="0"/>
        <w:numPr>
          <w:ilvl w:val="0"/>
          <w:numId w:val="0"/>
        </w:numPr>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rPr>
      </w:pPr>
      <w:bookmarkStart w:id="77" w:name="_Toc32667"/>
      <w:r>
        <w:rPr>
          <w:rFonts w:hint="eastAsia" w:ascii="楷体_GB2312" w:hAnsi="楷体_GB2312" w:eastAsia="楷体_GB2312" w:cs="楷体_GB2312"/>
          <w:b w:val="0"/>
          <w:lang w:eastAsia="zh-CN"/>
        </w:rPr>
        <w:t>（</w:t>
      </w:r>
      <w:r>
        <w:rPr>
          <w:rFonts w:hint="eastAsia" w:ascii="楷体_GB2312" w:hAnsi="楷体_GB2312" w:eastAsia="楷体_GB2312" w:cs="楷体_GB2312"/>
          <w:b w:val="0"/>
          <w:lang w:val="en-US" w:eastAsia="zh-CN"/>
        </w:rPr>
        <w:t>五）</w:t>
      </w:r>
      <w:r>
        <w:rPr>
          <w:rFonts w:hint="eastAsia" w:ascii="楷体_GB2312" w:hAnsi="楷体_GB2312" w:eastAsia="楷体_GB2312" w:cs="楷体_GB2312"/>
          <w:b w:val="0"/>
        </w:rPr>
        <w:t>环境空气挥发性有机物（VOCs）监测</w:t>
      </w:r>
      <w:bookmarkEnd w:id="70"/>
      <w:bookmarkEnd w:id="71"/>
      <w:bookmarkEnd w:id="72"/>
      <w:bookmarkEnd w:id="73"/>
      <w:bookmarkEnd w:id="74"/>
      <w:bookmarkEnd w:id="75"/>
      <w:bookmarkEnd w:id="76"/>
      <w:bookmarkEnd w:id="77"/>
    </w:p>
    <w:p>
      <w:pPr>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1.监测范围及项目</w:t>
      </w:r>
    </w:p>
    <w:p>
      <w:pPr>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开展非甲烷总烃（NMHC）</w:t>
      </w:r>
      <w:r>
        <w:rPr>
          <w:rFonts w:hint="eastAsia" w:ascii="仿宋_GB2312" w:hAnsi="仿宋_GB2312" w:eastAsia="仿宋_GB2312" w:cs="仿宋_GB2312"/>
          <w:kern w:val="0"/>
          <w:szCs w:val="32"/>
          <w:lang w:val="en-US" w:eastAsia="zh-CN"/>
        </w:rPr>
        <w:t>自动</w:t>
      </w:r>
      <w:r>
        <w:rPr>
          <w:rFonts w:hint="eastAsia" w:ascii="仿宋_GB2312" w:hAnsi="仿宋_GB2312" w:eastAsia="仿宋_GB2312" w:cs="仿宋_GB2312"/>
          <w:kern w:val="0"/>
          <w:szCs w:val="32"/>
        </w:rPr>
        <w:t>监测；盘锦</w:t>
      </w:r>
      <w:r>
        <w:rPr>
          <w:rFonts w:hint="eastAsia" w:ascii="仿宋_GB2312" w:hAnsi="仿宋_GB2312" w:eastAsia="仿宋_GB2312" w:cs="仿宋_GB2312"/>
          <w:kern w:val="0"/>
          <w:szCs w:val="32"/>
          <w:lang w:val="en-US" w:eastAsia="zh-CN"/>
        </w:rPr>
        <w:t>开展</w:t>
      </w:r>
      <w:r>
        <w:rPr>
          <w:rFonts w:hint="eastAsia" w:ascii="仿宋_GB2312" w:hAnsi="仿宋_GB2312" w:eastAsia="仿宋_GB2312" w:cs="仿宋_GB2312"/>
          <w:kern w:val="0"/>
          <w:szCs w:val="32"/>
        </w:rPr>
        <w:t>PAMS物质和醛酮类物质监测。</w:t>
      </w:r>
    </w:p>
    <w:p>
      <w:pPr>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2.点位布设要求</w:t>
      </w:r>
    </w:p>
    <w:p>
      <w:pPr>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在人口密集区内的O</w:t>
      </w:r>
      <w:r>
        <w:rPr>
          <w:rFonts w:hint="eastAsia" w:ascii="仿宋_GB2312" w:hAnsi="仿宋_GB2312" w:eastAsia="仿宋_GB2312" w:cs="仿宋_GB2312"/>
          <w:kern w:val="0"/>
          <w:szCs w:val="32"/>
          <w:vertAlign w:val="subscript"/>
        </w:rPr>
        <w:t>3</w:t>
      </w:r>
      <w:r>
        <w:rPr>
          <w:rFonts w:hint="eastAsia" w:ascii="仿宋_GB2312" w:hAnsi="仿宋_GB2312" w:eastAsia="仿宋_GB2312" w:cs="仿宋_GB2312"/>
          <w:kern w:val="0"/>
          <w:szCs w:val="32"/>
        </w:rPr>
        <w:t>高值区域，设置1个监测点位；有条件的城市结合本地区VOC</w:t>
      </w:r>
      <w:r>
        <w:rPr>
          <w:rFonts w:hint="eastAsia" w:ascii="仿宋_GB2312" w:hAnsi="仿宋_GB2312" w:eastAsia="仿宋_GB2312" w:cs="仿宋_GB2312"/>
          <w:kern w:val="0"/>
          <w:szCs w:val="32"/>
          <w:vertAlign w:val="subscript"/>
        </w:rPr>
        <w:t>s</w:t>
      </w:r>
      <w:r>
        <w:rPr>
          <w:rFonts w:hint="eastAsia" w:ascii="仿宋_GB2312" w:hAnsi="仿宋_GB2312" w:eastAsia="仿宋_GB2312" w:cs="仿宋_GB2312"/>
          <w:kern w:val="0"/>
          <w:szCs w:val="32"/>
        </w:rPr>
        <w:t>和O</w:t>
      </w:r>
      <w:r>
        <w:rPr>
          <w:rFonts w:hint="eastAsia" w:ascii="仿宋_GB2312" w:hAnsi="仿宋_GB2312" w:eastAsia="仿宋_GB2312" w:cs="仿宋_GB2312"/>
          <w:kern w:val="0"/>
          <w:szCs w:val="32"/>
          <w:vertAlign w:val="subscript"/>
        </w:rPr>
        <w:t>3</w:t>
      </w:r>
      <w:r>
        <w:rPr>
          <w:rFonts w:hint="eastAsia" w:ascii="仿宋_GB2312" w:hAnsi="仿宋_GB2312" w:eastAsia="仿宋_GB2312" w:cs="仿宋_GB2312"/>
          <w:kern w:val="0"/>
          <w:szCs w:val="32"/>
        </w:rPr>
        <w:t>污染情况，在上风向或者背景点、地区影响边缘（下风向）增设监测点位。光化学手工监测站点优先设置在光化学自动监测站。</w:t>
      </w:r>
    </w:p>
    <w:p>
      <w:pPr>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3.监测时间和频次</w:t>
      </w:r>
    </w:p>
    <w:p>
      <w:pPr>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（1）自动监测</w:t>
      </w:r>
    </w:p>
    <w:p>
      <w:pPr>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highlight w:val="none"/>
        </w:rPr>
        <w:t>盘锦市开展NMHC自动监测</w:t>
      </w:r>
      <w:r>
        <w:rPr>
          <w:rFonts w:hint="eastAsia" w:ascii="仿宋_GB2312" w:hAnsi="仿宋_GB2312" w:eastAsia="仿宋_GB2312" w:cs="仿宋_GB2312"/>
          <w:kern w:val="0"/>
          <w:szCs w:val="32"/>
          <w:highlight w:val="none"/>
          <w:lang w:eastAsia="zh-CN"/>
        </w:rPr>
        <w:t>和</w:t>
      </w:r>
      <w:r>
        <w:rPr>
          <w:rFonts w:hint="eastAsia" w:ascii="仿宋_GB2312" w:hAnsi="仿宋_GB2312" w:eastAsia="仿宋_GB2312" w:cs="仿宋_GB2312"/>
          <w:kern w:val="0"/>
          <w:szCs w:val="32"/>
          <w:highlight w:val="none"/>
        </w:rPr>
        <w:t>PAMS</w:t>
      </w:r>
      <w:r>
        <w:rPr>
          <w:rFonts w:hint="eastAsia" w:ascii="仿宋_GB2312" w:hAnsi="仿宋_GB2312" w:cs="仿宋_GB2312"/>
          <w:kern w:val="0"/>
          <w:szCs w:val="32"/>
          <w:highlight w:val="none"/>
          <w:lang w:val="en-US" w:eastAsia="zh-CN"/>
        </w:rPr>
        <w:t>等</w:t>
      </w:r>
      <w:r>
        <w:rPr>
          <w:rFonts w:hint="eastAsia" w:ascii="仿宋_GB2312" w:hAnsi="仿宋_GB2312" w:eastAsia="仿宋_GB2312" w:cs="仿宋_GB2312"/>
          <w:kern w:val="0"/>
          <w:szCs w:val="32"/>
          <w:highlight w:val="none"/>
        </w:rPr>
        <w:t>物质自动监测</w:t>
      </w:r>
      <w:r>
        <w:rPr>
          <w:rFonts w:hint="eastAsia" w:ascii="仿宋_GB2312" w:hAnsi="仿宋_GB2312" w:eastAsia="仿宋_GB2312" w:cs="仿宋_GB2312"/>
          <w:kern w:val="0"/>
          <w:szCs w:val="32"/>
        </w:rPr>
        <w:t>。仪器全年运行，每小时出具1组监测数据。开展PAMS等物质自动监测的站点同时开展NO-NO</w:t>
      </w:r>
      <w:r>
        <w:rPr>
          <w:rFonts w:hint="eastAsia" w:ascii="仿宋_GB2312" w:hAnsi="仿宋_GB2312" w:eastAsia="仿宋_GB2312" w:cs="仿宋_GB2312"/>
          <w:kern w:val="0"/>
          <w:szCs w:val="32"/>
          <w:vertAlign w:val="subscript"/>
        </w:rPr>
        <w:t>2</w:t>
      </w:r>
      <w:r>
        <w:rPr>
          <w:rFonts w:hint="eastAsia" w:ascii="仿宋_GB2312" w:hAnsi="仿宋_GB2312" w:eastAsia="仿宋_GB2312" w:cs="仿宋_GB2312"/>
          <w:kern w:val="0"/>
          <w:szCs w:val="32"/>
        </w:rPr>
        <w:t>-NO</w:t>
      </w:r>
      <w:r>
        <w:rPr>
          <w:rFonts w:hint="eastAsia" w:ascii="仿宋_GB2312" w:hAnsi="仿宋_GB2312" w:eastAsia="仿宋_GB2312" w:cs="仿宋_GB2312"/>
          <w:kern w:val="0"/>
          <w:szCs w:val="32"/>
          <w:vertAlign w:val="subscript"/>
        </w:rPr>
        <w:t>x</w:t>
      </w:r>
      <w:r>
        <w:rPr>
          <w:rFonts w:hint="eastAsia" w:ascii="仿宋_GB2312" w:hAnsi="仿宋_GB2312" w:eastAsia="仿宋_GB2312" w:cs="仿宋_GB2312"/>
          <w:kern w:val="0"/>
          <w:szCs w:val="32"/>
        </w:rPr>
        <w:t>、O</w:t>
      </w:r>
      <w:r>
        <w:rPr>
          <w:rFonts w:hint="eastAsia" w:ascii="仿宋_GB2312" w:hAnsi="仿宋_GB2312" w:eastAsia="仿宋_GB2312" w:cs="仿宋_GB2312"/>
          <w:kern w:val="0"/>
          <w:szCs w:val="32"/>
          <w:vertAlign w:val="subscript"/>
        </w:rPr>
        <w:t>3</w:t>
      </w:r>
      <w:r>
        <w:rPr>
          <w:rFonts w:hint="eastAsia" w:ascii="仿宋_GB2312" w:hAnsi="仿宋_GB2312" w:eastAsia="仿宋_GB2312" w:cs="仿宋_GB2312"/>
          <w:kern w:val="0"/>
          <w:szCs w:val="32"/>
        </w:rPr>
        <w:t>、CO、紫外辐射强度、气象五参数和降水等监测，若光化学站点在国控站/省控站附近，可使用国控站/省控站已有监测数据；有条件的</w:t>
      </w:r>
      <w:r>
        <w:rPr>
          <w:rFonts w:hint="eastAsia" w:ascii="仿宋_GB2312" w:hAnsi="仿宋_GB2312" w:cs="仿宋_GB2312"/>
          <w:kern w:val="0"/>
          <w:szCs w:val="32"/>
          <w:lang w:val="en-US" w:eastAsia="zh-CN"/>
        </w:rPr>
        <w:t>城市</w:t>
      </w:r>
      <w:r>
        <w:rPr>
          <w:rFonts w:hint="eastAsia" w:ascii="仿宋_GB2312" w:hAnsi="仿宋_GB2312" w:eastAsia="仿宋_GB2312" w:cs="仿宋_GB2312"/>
          <w:kern w:val="0"/>
          <w:szCs w:val="32"/>
        </w:rPr>
        <w:t>可开展甲醛、总氮氧化物（NO</w:t>
      </w:r>
      <w:r>
        <w:rPr>
          <w:rFonts w:hint="eastAsia" w:ascii="仿宋_GB2312" w:hAnsi="仿宋_GB2312" w:eastAsia="仿宋_GB2312" w:cs="仿宋_GB2312"/>
          <w:kern w:val="0"/>
          <w:szCs w:val="32"/>
          <w:vertAlign w:val="subscript"/>
        </w:rPr>
        <w:t>y</w:t>
      </w:r>
      <w:r>
        <w:rPr>
          <w:rFonts w:hint="eastAsia" w:ascii="仿宋_GB2312" w:hAnsi="仿宋_GB2312" w:eastAsia="仿宋_GB2312" w:cs="仿宋_GB2312"/>
          <w:kern w:val="0"/>
          <w:szCs w:val="32"/>
        </w:rPr>
        <w:t>）、气态亚硝酸（HONO）、过氧酰基硝酸酯（PAN</w:t>
      </w:r>
      <w:r>
        <w:rPr>
          <w:rFonts w:hint="eastAsia" w:ascii="仿宋_GB2312" w:hAnsi="仿宋_GB2312" w:eastAsia="仿宋_GB2312" w:cs="仿宋_GB2312"/>
          <w:kern w:val="0"/>
          <w:szCs w:val="32"/>
          <w:vertAlign w:val="subscript"/>
        </w:rPr>
        <w:t>s</w:t>
      </w:r>
      <w:r>
        <w:rPr>
          <w:rFonts w:hint="eastAsia" w:ascii="仿宋_GB2312" w:hAnsi="仿宋_GB2312" w:eastAsia="仿宋_GB2312" w:cs="仿宋_GB2312"/>
          <w:kern w:val="0"/>
          <w:szCs w:val="32"/>
        </w:rPr>
        <w:t>）、光解速率、边界层高度等项目的监测。根据所在区域O</w:t>
      </w:r>
      <w:r>
        <w:rPr>
          <w:rFonts w:hint="eastAsia" w:ascii="仿宋_GB2312" w:hAnsi="仿宋_GB2312" w:eastAsia="仿宋_GB2312" w:cs="仿宋_GB2312"/>
          <w:kern w:val="0"/>
          <w:szCs w:val="32"/>
          <w:vertAlign w:val="subscript"/>
        </w:rPr>
        <w:t>3</w:t>
      </w:r>
      <w:r>
        <w:rPr>
          <w:rFonts w:hint="eastAsia" w:ascii="仿宋_GB2312" w:hAnsi="仿宋_GB2312" w:eastAsia="仿宋_GB2312" w:cs="仿宋_GB2312"/>
          <w:kern w:val="0"/>
          <w:szCs w:val="32"/>
        </w:rPr>
        <w:t>污染及传输情况，鼓励有条件的城市开展市界传输通道区域监测站点建设。</w:t>
      </w:r>
    </w:p>
    <w:p>
      <w:pPr>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（2）手工监测</w:t>
      </w:r>
    </w:p>
    <w:p>
      <w:pPr>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highlight w:val="none"/>
          <w:lang w:eastAsia="zh-CN"/>
        </w:rPr>
        <w:t>在盘锦市暂不具备</w:t>
      </w:r>
      <w:r>
        <w:rPr>
          <w:rFonts w:hint="eastAsia" w:ascii="仿宋_GB2312" w:hAnsi="仿宋_GB2312" w:eastAsia="仿宋_GB2312" w:cs="仿宋_GB2312"/>
          <w:kern w:val="0"/>
          <w:szCs w:val="32"/>
          <w:highlight w:val="none"/>
        </w:rPr>
        <w:t>PAMS</w:t>
      </w:r>
      <w:r>
        <w:rPr>
          <w:rFonts w:hint="eastAsia" w:ascii="仿宋_GB2312" w:hAnsi="仿宋_GB2312" w:eastAsia="仿宋_GB2312" w:cs="仿宋_GB2312"/>
          <w:kern w:val="0"/>
          <w:szCs w:val="32"/>
          <w:highlight w:val="none"/>
          <w:lang w:eastAsia="zh-CN"/>
        </w:rPr>
        <w:t>和醛酮类物质自动监测能力的情况下，</w:t>
      </w:r>
      <w:r>
        <w:rPr>
          <w:rFonts w:hint="eastAsia" w:ascii="仿宋_GB2312" w:hAnsi="仿宋_GB2312" w:eastAsia="仿宋_GB2312" w:cs="仿宋_GB2312"/>
          <w:kern w:val="0"/>
          <w:szCs w:val="32"/>
          <w:highlight w:val="none"/>
        </w:rPr>
        <w:t>继续开展手工监测，具备</w:t>
      </w:r>
      <w:r>
        <w:rPr>
          <w:rFonts w:hint="eastAsia" w:ascii="仿宋_GB2312" w:hAnsi="仿宋_GB2312" w:eastAsia="仿宋_GB2312" w:cs="仿宋_GB2312"/>
          <w:kern w:val="0"/>
          <w:szCs w:val="32"/>
          <w:highlight w:val="none"/>
          <w:lang w:eastAsia="zh-CN"/>
        </w:rPr>
        <w:t>自动</w:t>
      </w:r>
      <w:r>
        <w:rPr>
          <w:rFonts w:hint="eastAsia" w:ascii="仿宋_GB2312" w:hAnsi="仿宋_GB2312" w:eastAsia="仿宋_GB2312" w:cs="仿宋_GB2312"/>
          <w:kern w:val="0"/>
          <w:szCs w:val="32"/>
          <w:highlight w:val="none"/>
        </w:rPr>
        <w:t>监测能力后，在能够充分保障自动监测数据质量前提下，可不开展</w:t>
      </w:r>
      <w:r>
        <w:rPr>
          <w:rFonts w:hint="eastAsia" w:ascii="仿宋_GB2312" w:hAnsi="仿宋_GB2312" w:eastAsia="仿宋_GB2312" w:cs="仿宋_GB2312"/>
          <w:kern w:val="0"/>
          <w:szCs w:val="32"/>
          <w:highlight w:val="none"/>
          <w:lang w:eastAsia="zh-CN"/>
        </w:rPr>
        <w:t>对应的</w:t>
      </w:r>
      <w:r>
        <w:rPr>
          <w:rFonts w:hint="eastAsia" w:ascii="仿宋_GB2312" w:hAnsi="仿宋_GB2312" w:eastAsia="仿宋_GB2312" w:cs="仿宋_GB2312"/>
          <w:kern w:val="0"/>
          <w:szCs w:val="32"/>
          <w:highlight w:val="none"/>
        </w:rPr>
        <w:t>手工监测。NMHC手工监测频次为1次/6天，需全年开展监测，VOCs组分手工监测频次为1次/6天，需4-10月开展监测。</w:t>
      </w:r>
      <w:r>
        <w:rPr>
          <w:rFonts w:hint="eastAsia" w:ascii="仿宋_GB2312" w:hAnsi="仿宋_GB2312" w:eastAsia="仿宋_GB2312" w:cs="仿宋_GB2312"/>
          <w:kern w:val="0"/>
          <w:szCs w:val="32"/>
        </w:rPr>
        <w:t>监测时间和频率见表1-</w:t>
      </w:r>
      <w:r>
        <w:rPr>
          <w:rFonts w:hint="eastAsia" w:ascii="仿宋_GB2312" w:hAnsi="仿宋_GB2312" w:eastAsia="仿宋_GB2312" w:cs="仿宋_GB2312"/>
          <w:kern w:val="0"/>
          <w:szCs w:val="32"/>
          <w:lang w:val="en-US" w:eastAsia="zh-CN"/>
        </w:rPr>
        <w:t>5</w:t>
      </w:r>
      <w:r>
        <w:rPr>
          <w:rFonts w:hint="eastAsia" w:ascii="仿宋_GB2312" w:hAnsi="仿宋_GB2312" w:eastAsia="仿宋_GB2312" w:cs="仿宋_GB2312"/>
          <w:kern w:val="0"/>
          <w:szCs w:val="32"/>
        </w:rPr>
        <w:t>和表1-</w:t>
      </w:r>
      <w:r>
        <w:rPr>
          <w:rFonts w:hint="eastAsia" w:ascii="仿宋_GB2312" w:hAnsi="仿宋_GB2312" w:eastAsia="仿宋_GB2312" w:cs="仿宋_GB2312"/>
          <w:kern w:val="0"/>
          <w:szCs w:val="32"/>
          <w:lang w:val="en-US" w:eastAsia="zh-CN"/>
        </w:rPr>
        <w:t>6</w:t>
      </w:r>
      <w:r>
        <w:rPr>
          <w:rFonts w:hint="eastAsia" w:ascii="仿宋_GB2312" w:hAnsi="仿宋_GB2312" w:eastAsia="仿宋_GB2312" w:cs="仿宋_GB2312"/>
          <w:kern w:val="0"/>
          <w:szCs w:val="32"/>
        </w:rPr>
        <w:t>。</w:t>
      </w:r>
    </w:p>
    <w:p>
      <w:pPr>
        <w:keepNext/>
        <w:keepLines/>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仿宋_GB2312" w:hAnsi="仿宋_GB2312" w:eastAsia="仿宋_GB2312" w:cs="仿宋_GB2312"/>
          <w:b/>
          <w:bCs/>
          <w:sz w:val="24"/>
        </w:rPr>
      </w:pPr>
      <w:r>
        <w:rPr>
          <w:rFonts w:hint="eastAsia" w:ascii="仿宋_GB2312" w:hAnsi="仿宋_GB2312" w:eastAsia="仿宋_GB2312" w:cs="仿宋_GB2312"/>
          <w:b/>
          <w:bCs/>
          <w:sz w:val="24"/>
        </w:rPr>
        <w:t>表1-</w:t>
      </w:r>
      <w:r>
        <w:rPr>
          <w:rFonts w:hint="eastAsia" w:ascii="仿宋_GB2312" w:hAnsi="仿宋_GB2312" w:eastAsia="仿宋_GB2312" w:cs="仿宋_GB2312"/>
          <w:b/>
          <w:bCs/>
          <w:sz w:val="24"/>
          <w:lang w:val="en-US" w:eastAsia="zh-CN"/>
        </w:rPr>
        <w:t>5</w:t>
      </w:r>
      <w:r>
        <w:rPr>
          <w:rFonts w:hint="eastAsia" w:ascii="仿宋_GB2312" w:hAnsi="仿宋_GB2312" w:eastAsia="仿宋_GB2312" w:cs="仿宋_GB2312"/>
          <w:b/>
          <w:bCs/>
          <w:sz w:val="24"/>
        </w:rPr>
        <w:t xml:space="preserve">  手工监测采样时间和频次</w:t>
      </w:r>
    </w:p>
    <w:tbl>
      <w:tblPr>
        <w:tblStyle w:val="56"/>
        <w:tblW w:w="8522"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1222"/>
        <w:gridCol w:w="1276"/>
        <w:gridCol w:w="3109"/>
        <w:gridCol w:w="133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4" w:hRule="atLeast"/>
          <w:tblHeader/>
          <w:jc w:val="center"/>
        </w:trPr>
        <w:tc>
          <w:tcPr>
            <w:tcW w:w="1583" w:type="dxa"/>
            <w:vAlign w:val="center"/>
          </w:tcPr>
          <w:p>
            <w:pPr>
              <w:spacing w:line="240" w:lineRule="auto"/>
              <w:ind w:firstLine="0" w:firstLineChars="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城市</w:t>
            </w:r>
          </w:p>
        </w:tc>
        <w:tc>
          <w:tcPr>
            <w:tcW w:w="1222" w:type="dxa"/>
            <w:vAlign w:val="center"/>
          </w:tcPr>
          <w:p>
            <w:pPr>
              <w:spacing w:line="240" w:lineRule="auto"/>
              <w:ind w:firstLine="0" w:firstLineChars="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监测时段</w:t>
            </w:r>
          </w:p>
        </w:tc>
        <w:tc>
          <w:tcPr>
            <w:tcW w:w="1276" w:type="dxa"/>
            <w:vAlign w:val="center"/>
          </w:tcPr>
          <w:p>
            <w:pPr>
              <w:spacing w:line="240" w:lineRule="auto"/>
              <w:ind w:firstLine="0" w:firstLineChars="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采样频次</w:t>
            </w:r>
          </w:p>
        </w:tc>
        <w:tc>
          <w:tcPr>
            <w:tcW w:w="3109" w:type="dxa"/>
            <w:vAlign w:val="center"/>
          </w:tcPr>
          <w:p>
            <w:pPr>
              <w:spacing w:line="240" w:lineRule="auto"/>
              <w:ind w:firstLine="0" w:firstLineChars="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采样时间</w:t>
            </w:r>
          </w:p>
        </w:tc>
        <w:tc>
          <w:tcPr>
            <w:tcW w:w="1332" w:type="dxa"/>
            <w:vAlign w:val="center"/>
          </w:tcPr>
          <w:p>
            <w:pPr>
              <w:spacing w:line="240" w:lineRule="auto"/>
              <w:ind w:firstLine="0" w:firstLineChars="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监测项目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583" w:type="dxa"/>
            <w:vAlign w:val="center"/>
          </w:tcPr>
          <w:p>
            <w:pPr>
              <w:spacing w:line="300" w:lineRule="exact"/>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不具备NMHC自动监测能力的城市</w:t>
            </w:r>
          </w:p>
        </w:tc>
        <w:tc>
          <w:tcPr>
            <w:tcW w:w="1222" w:type="dxa"/>
            <w:vAlign w:val="center"/>
          </w:tcPr>
          <w:p>
            <w:pPr>
              <w:spacing w:line="300" w:lineRule="exact"/>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1-12月</w:t>
            </w:r>
          </w:p>
        </w:tc>
        <w:tc>
          <w:tcPr>
            <w:tcW w:w="1276" w:type="dxa"/>
            <w:vAlign w:val="center"/>
          </w:tcPr>
          <w:p>
            <w:pPr>
              <w:spacing w:line="300" w:lineRule="exact"/>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1次/6天</w:t>
            </w:r>
          </w:p>
        </w:tc>
        <w:tc>
          <w:tcPr>
            <w:tcW w:w="3109" w:type="dxa"/>
            <w:vAlign w:val="center"/>
          </w:tcPr>
          <w:p>
            <w:pPr>
              <w:spacing w:line="300" w:lineRule="exact"/>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采样当天10:00-次日10:00</w:t>
            </w:r>
          </w:p>
        </w:tc>
        <w:tc>
          <w:tcPr>
            <w:tcW w:w="1332" w:type="dxa"/>
            <w:vAlign w:val="center"/>
          </w:tcPr>
          <w:p>
            <w:pPr>
              <w:spacing w:line="300" w:lineRule="exact"/>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NMHC</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83" w:type="dxa"/>
            <w:vMerge w:val="restart"/>
            <w:vAlign w:val="center"/>
          </w:tcPr>
          <w:p>
            <w:pPr>
              <w:spacing w:line="300" w:lineRule="exact"/>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盘锦</w:t>
            </w:r>
          </w:p>
        </w:tc>
        <w:tc>
          <w:tcPr>
            <w:tcW w:w="1222" w:type="dxa"/>
            <w:vMerge w:val="restart"/>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1-12月</w:t>
            </w:r>
          </w:p>
        </w:tc>
        <w:tc>
          <w:tcPr>
            <w:tcW w:w="1276" w:type="dxa"/>
            <w:vMerge w:val="restart"/>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1次/6天</w:t>
            </w:r>
          </w:p>
        </w:tc>
        <w:tc>
          <w:tcPr>
            <w:tcW w:w="3109" w:type="dxa"/>
            <w:vAlign w:val="center"/>
          </w:tcPr>
          <w:p>
            <w:pPr>
              <w:spacing w:line="300" w:lineRule="exact"/>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采样当天10:00-次日10:00</w:t>
            </w:r>
          </w:p>
        </w:tc>
        <w:tc>
          <w:tcPr>
            <w:tcW w:w="1332"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PAMS</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83" w:type="dxa"/>
            <w:vMerge w:val="continue"/>
            <w:vAlign w:val="center"/>
          </w:tcPr>
          <w:p>
            <w:pPr>
              <w:spacing w:line="300" w:lineRule="exact"/>
              <w:ind w:firstLine="0" w:firstLineChars="0"/>
              <w:jc w:val="center"/>
              <w:rPr>
                <w:rFonts w:hint="eastAsia" w:ascii="仿宋_GB2312" w:hAnsi="仿宋_GB2312" w:eastAsia="仿宋_GB2312" w:cs="仿宋_GB2312"/>
                <w:sz w:val="24"/>
                <w:szCs w:val="24"/>
                <w:highlight w:val="none"/>
              </w:rPr>
            </w:pPr>
          </w:p>
        </w:tc>
        <w:tc>
          <w:tcPr>
            <w:tcW w:w="1222" w:type="dxa"/>
            <w:vMerge w:val="continue"/>
            <w:vAlign w:val="center"/>
          </w:tcPr>
          <w:p>
            <w:pPr>
              <w:spacing w:line="240" w:lineRule="auto"/>
              <w:ind w:firstLine="0" w:firstLineChars="0"/>
              <w:jc w:val="center"/>
              <w:rPr>
                <w:rFonts w:hint="eastAsia" w:ascii="仿宋_GB2312" w:hAnsi="仿宋_GB2312" w:eastAsia="仿宋_GB2312" w:cs="仿宋_GB2312"/>
                <w:sz w:val="24"/>
                <w:szCs w:val="24"/>
                <w:highlight w:val="none"/>
              </w:rPr>
            </w:pPr>
          </w:p>
        </w:tc>
        <w:tc>
          <w:tcPr>
            <w:tcW w:w="1276" w:type="dxa"/>
            <w:vMerge w:val="continue"/>
            <w:vAlign w:val="center"/>
          </w:tcPr>
          <w:p>
            <w:pPr>
              <w:spacing w:line="240" w:lineRule="auto"/>
              <w:ind w:firstLine="0" w:firstLineChars="0"/>
              <w:jc w:val="center"/>
              <w:rPr>
                <w:rFonts w:hint="eastAsia" w:ascii="仿宋_GB2312" w:hAnsi="仿宋_GB2312" w:eastAsia="仿宋_GB2312" w:cs="仿宋_GB2312"/>
                <w:sz w:val="24"/>
                <w:szCs w:val="24"/>
                <w:highlight w:val="none"/>
              </w:rPr>
            </w:pPr>
          </w:p>
        </w:tc>
        <w:tc>
          <w:tcPr>
            <w:tcW w:w="3109"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12:00-15:00</w:t>
            </w:r>
          </w:p>
        </w:tc>
        <w:tc>
          <w:tcPr>
            <w:tcW w:w="1332"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醛酮类</w:t>
            </w:r>
          </w:p>
        </w:tc>
      </w:tr>
    </w:tbl>
    <w:p>
      <w:pPr>
        <w:keepNext/>
        <w:keepLines/>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仿宋_GB2312" w:hAnsi="仿宋_GB2312" w:eastAsia="仿宋_GB2312" w:cs="仿宋_GB2312"/>
          <w:b/>
          <w:bCs/>
          <w:sz w:val="24"/>
          <w:lang w:eastAsia="zh-CN"/>
        </w:rPr>
      </w:pPr>
      <w:bookmarkStart w:id="78" w:name="_Toc11656"/>
      <w:r>
        <w:rPr>
          <w:rFonts w:hint="eastAsia" w:ascii="仿宋_GB2312" w:hAnsi="仿宋_GB2312" w:eastAsia="仿宋_GB2312" w:cs="仿宋_GB2312"/>
          <w:b/>
          <w:bCs/>
          <w:sz w:val="24"/>
        </w:rPr>
        <w:t>表1-</w:t>
      </w:r>
      <w:r>
        <w:rPr>
          <w:rFonts w:hint="eastAsia" w:ascii="仿宋_GB2312" w:hAnsi="仿宋_GB2312" w:eastAsia="仿宋_GB2312" w:cs="仿宋_GB2312"/>
          <w:b/>
          <w:bCs/>
          <w:sz w:val="24"/>
          <w:lang w:val="en-US" w:eastAsia="zh-CN"/>
        </w:rPr>
        <w:t>6</w:t>
      </w:r>
      <w:r>
        <w:rPr>
          <w:rFonts w:hint="eastAsia" w:ascii="仿宋_GB2312" w:hAnsi="仿宋_GB2312" w:eastAsia="仿宋_GB2312" w:cs="仿宋_GB2312"/>
          <w:b/>
          <w:bCs/>
          <w:sz w:val="24"/>
        </w:rPr>
        <w:t xml:space="preserve">  </w:t>
      </w:r>
      <w:r>
        <w:rPr>
          <w:rFonts w:hint="eastAsia" w:ascii="仿宋_GB2312" w:hAnsi="仿宋_GB2312" w:eastAsia="仿宋_GB2312" w:cs="仿宋_GB2312"/>
          <w:b/>
          <w:bCs/>
          <w:sz w:val="24"/>
          <w:lang w:val="en-US" w:eastAsia="zh-CN"/>
        </w:rPr>
        <w:t>NMHC、VOC</w:t>
      </w:r>
      <w:r>
        <w:rPr>
          <w:rFonts w:hint="eastAsia" w:ascii="仿宋_GB2312" w:hAnsi="仿宋_GB2312" w:eastAsia="仿宋_GB2312" w:cs="仿宋_GB2312"/>
          <w:b/>
          <w:bCs/>
          <w:sz w:val="24"/>
          <w:vertAlign w:val="subscript"/>
          <w:lang w:val="en-US" w:eastAsia="zh-CN"/>
        </w:rPr>
        <w:t>S</w:t>
      </w:r>
      <w:r>
        <w:rPr>
          <w:rFonts w:hint="eastAsia" w:ascii="仿宋_GB2312" w:hAnsi="仿宋_GB2312" w:eastAsia="仿宋_GB2312" w:cs="仿宋_GB2312"/>
          <w:b/>
          <w:bCs/>
          <w:sz w:val="24"/>
          <w:lang w:val="en-US" w:eastAsia="zh-CN"/>
        </w:rPr>
        <w:t>手工监测采样日期</w:t>
      </w:r>
      <w:bookmarkEnd w:id="78"/>
    </w:p>
    <w:tbl>
      <w:tblPr>
        <w:tblStyle w:val="56"/>
        <w:tblW w:w="8522" w:type="dxa"/>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17"/>
        <w:gridCol w:w="1217"/>
        <w:gridCol w:w="1217"/>
        <w:gridCol w:w="1217"/>
        <w:gridCol w:w="1217"/>
        <w:gridCol w:w="1217"/>
        <w:gridCol w:w="1220"/>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217" w:type="dxa"/>
            <w:vAlign w:val="center"/>
          </w:tcPr>
          <w:p>
            <w:pPr>
              <w:spacing w:line="240" w:lineRule="auto"/>
              <w:ind w:firstLine="0" w:firstLineChars="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采样月份</w:t>
            </w:r>
          </w:p>
        </w:tc>
        <w:tc>
          <w:tcPr>
            <w:tcW w:w="7305" w:type="dxa"/>
            <w:gridSpan w:val="6"/>
            <w:vAlign w:val="center"/>
          </w:tcPr>
          <w:p>
            <w:pPr>
              <w:spacing w:line="240" w:lineRule="auto"/>
              <w:ind w:firstLine="0" w:firstLineChars="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采样日期</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1月</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1/7</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1/13</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1/19</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1/25</w:t>
            </w:r>
          </w:p>
        </w:tc>
        <w:tc>
          <w:tcPr>
            <w:tcW w:w="1220"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1/31</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2月</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2/6</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2/12</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2/18</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2/24</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p>
        </w:tc>
        <w:tc>
          <w:tcPr>
            <w:tcW w:w="1220"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3月</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3/2</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3/8</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3/14</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3/20</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3/26</w:t>
            </w:r>
          </w:p>
        </w:tc>
        <w:tc>
          <w:tcPr>
            <w:tcW w:w="1220"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4月</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4/1</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4/7</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4/13</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4/19</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4/25</w:t>
            </w:r>
          </w:p>
        </w:tc>
        <w:tc>
          <w:tcPr>
            <w:tcW w:w="1220"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5月</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5/1</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5/7</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5/13</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5/19</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5/25</w:t>
            </w:r>
          </w:p>
        </w:tc>
        <w:tc>
          <w:tcPr>
            <w:tcW w:w="1220"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5/31</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6月</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6/6</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6/12</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6/18</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6/24</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6/30</w:t>
            </w:r>
          </w:p>
        </w:tc>
        <w:tc>
          <w:tcPr>
            <w:tcW w:w="1220"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7月</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7/6</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7/12</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7/18</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7/24</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7/30</w:t>
            </w:r>
          </w:p>
        </w:tc>
        <w:tc>
          <w:tcPr>
            <w:tcW w:w="1220"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8月</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8/5</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8/11</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8/17</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8/23</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8/29</w:t>
            </w:r>
          </w:p>
        </w:tc>
        <w:tc>
          <w:tcPr>
            <w:tcW w:w="1220"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9月</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9/4</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9/10</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9/16</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9/22</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9/28</w:t>
            </w:r>
          </w:p>
        </w:tc>
        <w:tc>
          <w:tcPr>
            <w:tcW w:w="1220"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10月</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10/4</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10/10</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10/16</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10/22</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10/28</w:t>
            </w:r>
          </w:p>
        </w:tc>
        <w:tc>
          <w:tcPr>
            <w:tcW w:w="1220"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11月</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11/3</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11/9</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11/15</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11/21</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11/27</w:t>
            </w:r>
          </w:p>
        </w:tc>
        <w:tc>
          <w:tcPr>
            <w:tcW w:w="1220"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12月</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12/3</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12/9</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12/15</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12/21</w:t>
            </w:r>
          </w:p>
        </w:tc>
        <w:tc>
          <w:tcPr>
            <w:tcW w:w="12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12/27</w:t>
            </w:r>
          </w:p>
        </w:tc>
        <w:tc>
          <w:tcPr>
            <w:tcW w:w="1220"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p>
        </w:tc>
      </w:tr>
    </w:tbl>
    <w:p>
      <w:pPr>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4.监测方法</w:t>
      </w:r>
    </w:p>
    <w:p>
      <w:pPr>
        <w:pageBreakBefore w:val="0"/>
        <w:widowControl w:val="0"/>
        <w:kinsoku/>
        <w:wordWrap/>
        <w:overflowPunct/>
        <w:topLinePunct w:val="0"/>
        <w:autoSpaceDE/>
        <w:autoSpaceDN/>
        <w:bidi w:val="0"/>
        <w:spacing w:line="600" w:lineRule="exact"/>
        <w:ind w:firstLine="624"/>
        <w:textAlignment w:val="auto"/>
        <w:rPr>
          <w:rFonts w:hint="eastAsia" w:ascii="仿宋_GB2312" w:hAnsi="仿宋_GB2312" w:eastAsia="仿宋_GB2312" w:cs="仿宋_GB2312"/>
          <w:spacing w:val="-8"/>
          <w:kern w:val="0"/>
          <w:szCs w:val="32"/>
        </w:rPr>
      </w:pPr>
      <w:r>
        <w:rPr>
          <w:rFonts w:hint="eastAsia" w:ascii="仿宋_GB2312" w:hAnsi="仿宋_GB2312" w:eastAsia="仿宋_GB2312" w:cs="仿宋_GB2312"/>
          <w:spacing w:val="-8"/>
          <w:kern w:val="0"/>
          <w:szCs w:val="32"/>
        </w:rPr>
        <w:t>环境空气中NMHC、VOCs组分指标监测方法见表1-</w:t>
      </w:r>
      <w:r>
        <w:rPr>
          <w:rFonts w:hint="eastAsia" w:ascii="仿宋_GB2312" w:hAnsi="仿宋_GB2312" w:eastAsia="仿宋_GB2312" w:cs="仿宋_GB2312"/>
          <w:spacing w:val="-8"/>
          <w:kern w:val="0"/>
          <w:szCs w:val="32"/>
          <w:lang w:val="en-US" w:eastAsia="zh-CN"/>
        </w:rPr>
        <w:t>7</w:t>
      </w:r>
      <w:r>
        <w:rPr>
          <w:rFonts w:hint="eastAsia" w:ascii="仿宋_GB2312" w:hAnsi="仿宋_GB2312" w:eastAsia="仿宋_GB2312" w:cs="仿宋_GB2312"/>
          <w:spacing w:val="-8"/>
          <w:kern w:val="0"/>
          <w:szCs w:val="32"/>
        </w:rPr>
        <w:t>。</w:t>
      </w:r>
    </w:p>
    <w:p>
      <w:pPr>
        <w:keepNext/>
        <w:keepLines/>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仿宋_GB2312" w:hAnsi="仿宋_GB2312" w:eastAsia="仿宋_GB2312" w:cs="仿宋_GB2312"/>
          <w:b/>
          <w:bCs/>
          <w:sz w:val="24"/>
        </w:rPr>
      </w:pPr>
      <w:bookmarkStart w:id="79" w:name="_Toc7198"/>
      <w:r>
        <w:rPr>
          <w:rFonts w:hint="eastAsia" w:ascii="仿宋_GB2312" w:hAnsi="仿宋_GB2312" w:eastAsia="仿宋_GB2312" w:cs="仿宋_GB2312"/>
          <w:b/>
          <w:bCs/>
          <w:sz w:val="24"/>
        </w:rPr>
        <w:t>表1-</w:t>
      </w:r>
      <w:r>
        <w:rPr>
          <w:rFonts w:hint="eastAsia" w:ascii="仿宋_GB2312" w:hAnsi="仿宋_GB2312" w:eastAsia="仿宋_GB2312" w:cs="仿宋_GB2312"/>
          <w:b/>
          <w:bCs/>
          <w:sz w:val="24"/>
          <w:lang w:val="en-US" w:eastAsia="zh-CN"/>
        </w:rPr>
        <w:t>7</w:t>
      </w:r>
      <w:r>
        <w:rPr>
          <w:rFonts w:hint="eastAsia" w:ascii="仿宋_GB2312" w:hAnsi="仿宋_GB2312" w:eastAsia="仿宋_GB2312" w:cs="仿宋_GB2312"/>
          <w:b/>
          <w:bCs/>
          <w:sz w:val="24"/>
        </w:rPr>
        <w:t xml:space="preserve">  </w:t>
      </w:r>
      <w:r>
        <w:rPr>
          <w:rFonts w:hint="eastAsia" w:ascii="仿宋_GB2312" w:hAnsi="仿宋_GB2312" w:eastAsia="仿宋_GB2312" w:cs="仿宋_GB2312"/>
          <w:b/>
          <w:bCs/>
          <w:sz w:val="24"/>
          <w:lang w:val="en-US" w:eastAsia="zh-CN"/>
        </w:rPr>
        <w:t>NMHC、VOC</w:t>
      </w:r>
      <w:r>
        <w:rPr>
          <w:rFonts w:hint="eastAsia" w:ascii="仿宋_GB2312" w:hAnsi="仿宋_GB2312" w:eastAsia="仿宋_GB2312" w:cs="仿宋_GB2312"/>
          <w:b/>
          <w:bCs/>
          <w:sz w:val="24"/>
          <w:vertAlign w:val="subscript"/>
          <w:lang w:val="en-US" w:eastAsia="zh-CN"/>
        </w:rPr>
        <w:t>S</w:t>
      </w:r>
      <w:r>
        <w:rPr>
          <w:rFonts w:hint="eastAsia" w:ascii="仿宋_GB2312" w:hAnsi="仿宋_GB2312" w:eastAsia="仿宋_GB2312" w:cs="仿宋_GB2312"/>
          <w:b/>
          <w:bCs/>
          <w:sz w:val="24"/>
          <w:lang w:eastAsia="zh-CN"/>
        </w:rPr>
        <w:t>组分指标监测方法</w:t>
      </w:r>
    </w:p>
    <w:tbl>
      <w:tblPr>
        <w:tblStyle w:val="56"/>
        <w:tblW w:w="852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2325"/>
        <w:gridCol w:w="1870"/>
        <w:gridCol w:w="27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610" w:type="dxa"/>
            <w:tcBorders>
              <w:top w:val="single" w:color="auto" w:sz="8" w:space="0"/>
            </w:tcBorders>
            <w:vAlign w:val="center"/>
          </w:tcPr>
          <w:p>
            <w:pPr>
              <w:spacing w:line="240" w:lineRule="auto"/>
              <w:ind w:firstLine="0" w:firstLineChars="0"/>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物种</w:t>
            </w:r>
          </w:p>
        </w:tc>
        <w:tc>
          <w:tcPr>
            <w:tcW w:w="2325" w:type="dxa"/>
            <w:tcBorders>
              <w:top w:val="single" w:color="auto" w:sz="8" w:space="0"/>
            </w:tcBorders>
            <w:vAlign w:val="center"/>
          </w:tcPr>
          <w:p>
            <w:pPr>
              <w:spacing w:line="240" w:lineRule="auto"/>
              <w:ind w:firstLine="0" w:firstLineChars="0"/>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物种名录来源</w:t>
            </w:r>
          </w:p>
        </w:tc>
        <w:tc>
          <w:tcPr>
            <w:tcW w:w="1870" w:type="dxa"/>
            <w:tcBorders>
              <w:top w:val="single" w:color="auto" w:sz="8" w:space="0"/>
            </w:tcBorders>
            <w:vAlign w:val="center"/>
          </w:tcPr>
          <w:p>
            <w:pPr>
              <w:spacing w:line="240" w:lineRule="auto"/>
              <w:ind w:firstLine="0" w:firstLineChars="0"/>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监测方法原理</w:t>
            </w:r>
          </w:p>
        </w:tc>
        <w:tc>
          <w:tcPr>
            <w:tcW w:w="2717" w:type="dxa"/>
            <w:tcBorders>
              <w:top w:val="single" w:color="auto" w:sz="8" w:space="0"/>
            </w:tcBorders>
            <w:vAlign w:val="center"/>
          </w:tcPr>
          <w:p>
            <w:pPr>
              <w:spacing w:line="240" w:lineRule="auto"/>
              <w:ind w:firstLine="0" w:firstLineChars="0"/>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方法依据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610"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非甲烷总烃</w:t>
            </w:r>
          </w:p>
        </w:tc>
        <w:tc>
          <w:tcPr>
            <w:tcW w:w="2325"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从总烃中扣除甲烷以后其他气态有机化合物的总和</w:t>
            </w:r>
          </w:p>
        </w:tc>
        <w:tc>
          <w:tcPr>
            <w:tcW w:w="1870"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气相色谱法</w:t>
            </w:r>
          </w:p>
        </w:tc>
        <w:tc>
          <w:tcPr>
            <w:tcW w:w="27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《环境空气总烃、甲烷和非甲烷总烃的测定直接进样-气相色谱法》</w:t>
            </w:r>
          </w:p>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（HJ 604-2017）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0" w:type="dxa"/>
            <w:vMerge w:val="restart"/>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57 种非甲烷烃组分</w:t>
            </w:r>
          </w:p>
        </w:tc>
        <w:tc>
          <w:tcPr>
            <w:tcW w:w="2325" w:type="dxa"/>
            <w:vMerge w:val="restart"/>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PAMS 清单</w:t>
            </w:r>
          </w:p>
        </w:tc>
        <w:tc>
          <w:tcPr>
            <w:tcW w:w="1870"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气相色谱-氢火焰离子化检测器/质谱检测器联用法</w:t>
            </w:r>
          </w:p>
        </w:tc>
        <w:tc>
          <w:tcPr>
            <w:tcW w:w="2717" w:type="dxa"/>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《环境空气臭氧前体有机物手工监测技术要求（试行）》（环办监测函〔2018〕240 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0" w:type="dxa"/>
            <w:vMerge w:val="continue"/>
            <w:tcBorders>
              <w:bottom w:val="single" w:color="auto" w:sz="4" w:space="0"/>
            </w:tcBorders>
            <w:vAlign w:val="center"/>
          </w:tcPr>
          <w:p>
            <w:pPr>
              <w:widowControl/>
              <w:spacing w:line="240" w:lineRule="auto"/>
              <w:ind w:firstLine="0" w:firstLineChars="0"/>
              <w:jc w:val="left"/>
              <w:rPr>
                <w:rFonts w:hint="eastAsia" w:ascii="仿宋_GB2312" w:hAnsi="仿宋_GB2312" w:eastAsia="仿宋_GB2312" w:cs="仿宋_GB2312"/>
                <w:sz w:val="24"/>
                <w:szCs w:val="24"/>
                <w:highlight w:val="none"/>
              </w:rPr>
            </w:pPr>
          </w:p>
        </w:tc>
        <w:tc>
          <w:tcPr>
            <w:tcW w:w="2325" w:type="dxa"/>
            <w:vMerge w:val="continue"/>
            <w:tcBorders>
              <w:bottom w:val="single" w:color="auto" w:sz="4" w:space="0"/>
            </w:tcBorders>
            <w:vAlign w:val="center"/>
          </w:tcPr>
          <w:p>
            <w:pPr>
              <w:widowControl/>
              <w:spacing w:line="240" w:lineRule="auto"/>
              <w:ind w:firstLine="0" w:firstLineChars="0"/>
              <w:jc w:val="left"/>
              <w:rPr>
                <w:rFonts w:hint="eastAsia" w:ascii="仿宋_GB2312" w:hAnsi="仿宋_GB2312" w:eastAsia="仿宋_GB2312" w:cs="仿宋_GB2312"/>
                <w:sz w:val="24"/>
                <w:szCs w:val="24"/>
                <w:highlight w:val="none"/>
              </w:rPr>
            </w:pPr>
          </w:p>
        </w:tc>
        <w:tc>
          <w:tcPr>
            <w:tcW w:w="1870" w:type="dxa"/>
            <w:tcBorders>
              <w:bottom w:val="single" w:color="auto" w:sz="4" w:space="0"/>
            </w:tcBorders>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气相色谱-氢火焰离子化检测器法</w:t>
            </w:r>
          </w:p>
        </w:tc>
        <w:tc>
          <w:tcPr>
            <w:tcW w:w="2717" w:type="dxa"/>
            <w:tcBorders>
              <w:bottom w:val="single" w:color="auto" w:sz="4" w:space="0"/>
            </w:tcBorders>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Technical Assistance Document Ozone Precursors（EPA/600-R-98/161）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0" w:type="dxa"/>
            <w:tcBorders>
              <w:bottom w:val="single" w:color="auto" w:sz="8" w:space="0"/>
            </w:tcBorders>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 种含氧挥发性有机物组分（醛酮类物质，含氧挥发性有机物OVOCs）</w:t>
            </w:r>
          </w:p>
        </w:tc>
        <w:tc>
          <w:tcPr>
            <w:tcW w:w="2325" w:type="dxa"/>
            <w:tcBorders>
              <w:bottom w:val="single" w:color="auto" w:sz="8" w:space="0"/>
            </w:tcBorders>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排放量较大或对光化学污染产生重要影响的OVOCs</w:t>
            </w:r>
          </w:p>
        </w:tc>
        <w:tc>
          <w:tcPr>
            <w:tcW w:w="1870" w:type="dxa"/>
            <w:tcBorders>
              <w:bottom w:val="single" w:color="auto" w:sz="8" w:space="0"/>
            </w:tcBorders>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高效液相</w:t>
            </w:r>
          </w:p>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色谱法*</w:t>
            </w:r>
          </w:p>
        </w:tc>
        <w:tc>
          <w:tcPr>
            <w:tcW w:w="2717" w:type="dxa"/>
            <w:tcBorders>
              <w:bottom w:val="single" w:color="auto" w:sz="8" w:space="0"/>
            </w:tcBorders>
            <w:vAlign w:val="center"/>
          </w:tcPr>
          <w:p>
            <w:pPr>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《环境空气醛、酮类化合物的测定高效液相色谱法》（HJ 683-2014）</w:t>
            </w:r>
          </w:p>
        </w:tc>
      </w:tr>
    </w:tbl>
    <w:p>
      <w:pPr>
        <w:adjustRightInd w:val="0"/>
        <w:snapToGrid w:val="0"/>
        <w:spacing w:line="240" w:lineRule="auto"/>
        <w:ind w:firstLine="0" w:firstLineChars="0"/>
        <w:rPr>
          <w:rFonts w:hint="eastAsia" w:ascii="仿宋_GB2312" w:hAnsi="仿宋_GB2312" w:eastAsia="仿宋_GB2312" w:cs="仿宋_GB2312"/>
          <w:sz w:val="20"/>
          <w:szCs w:val="22"/>
          <w:highlight w:val="none"/>
        </w:rPr>
      </w:pPr>
      <w:r>
        <w:rPr>
          <w:rFonts w:hint="eastAsia" w:ascii="仿宋_GB2312" w:hAnsi="仿宋_GB2312" w:eastAsia="仿宋_GB2312" w:cs="仿宋_GB2312"/>
          <w:sz w:val="20"/>
          <w:szCs w:val="22"/>
          <w:highlight w:val="none"/>
        </w:rPr>
        <w:t>注：手工采样及测试方法可参照《环境空气臭氧前体有机物手工监测技术要求（试行）》（环办监测函〔2018〕240号）执行。VOCs自动监测方法参照《国家环境空气监测网环境空气挥发性有机物连续自动监测质量控制技术规定（试行）》（总站气函〔2019〕785号）执行。</w:t>
      </w:r>
    </w:p>
    <w:p>
      <w:pPr>
        <w:adjustRightInd w:val="0"/>
        <w:snapToGrid w:val="0"/>
        <w:spacing w:line="240" w:lineRule="auto"/>
        <w:ind w:firstLine="400"/>
        <w:rPr>
          <w:rFonts w:hint="eastAsia" w:ascii="仿宋_GB2312" w:hAnsi="仿宋_GB2312" w:eastAsia="仿宋_GB2312" w:cs="仿宋_GB2312"/>
          <w:sz w:val="20"/>
          <w:szCs w:val="22"/>
          <w:highlight w:val="none"/>
        </w:rPr>
      </w:pPr>
      <w:r>
        <w:rPr>
          <w:rFonts w:hint="eastAsia" w:ascii="仿宋_GB2312" w:hAnsi="仿宋_GB2312" w:eastAsia="仿宋_GB2312" w:cs="仿宋_GB2312"/>
          <w:sz w:val="20"/>
          <w:szCs w:val="22"/>
          <w:highlight w:val="none"/>
        </w:rPr>
        <w:t>*为提高醛酮类数据可比性，原则上醛酮类手工监测统一使用“高效液相色谱法”，若采用“气相色谱-质谱法”，须经过实验室充分验证，确保目标化合物浓度与高效液相色谱法具有可比性。</w:t>
      </w:r>
    </w:p>
    <w:bookmarkEnd w:id="79"/>
    <w:p>
      <w:pPr>
        <w:keepNext w:val="0"/>
        <w:keepLines w:val="0"/>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5.工作方式</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VOCs自动监测为市级事权，市级财政保障经费</w:t>
      </w:r>
      <w:r>
        <w:rPr>
          <w:rFonts w:hint="eastAsia" w:ascii="仿宋_GB2312" w:hAnsi="仿宋_GB2312" w:cs="仿宋_GB2312"/>
          <w:kern w:val="0"/>
          <w:szCs w:val="32"/>
          <w:lang w:eastAsia="zh-CN"/>
        </w:rPr>
        <w:t>；</w:t>
      </w:r>
      <w:r>
        <w:rPr>
          <w:rFonts w:hint="eastAsia" w:ascii="仿宋_GB2312" w:hAnsi="仿宋_GB2312" w:eastAsia="仿宋_GB2312" w:cs="仿宋_GB2312"/>
          <w:kern w:val="0"/>
          <w:szCs w:val="32"/>
        </w:rPr>
        <w:t>省级建设的自动站，由省中心负责组织开展运维，省级财政保障经费。</w:t>
      </w:r>
      <w:r>
        <w:rPr>
          <w:rFonts w:hint="eastAsia" w:ascii="仿宋_GB2312" w:hAnsi="仿宋_GB2312" w:eastAsia="仿宋_GB2312" w:cs="仿宋_GB2312"/>
          <w:kern w:val="0"/>
          <w:szCs w:val="32"/>
          <w:lang w:eastAsia="zh-CN"/>
        </w:rPr>
        <w:t>手工监测</w:t>
      </w:r>
      <w:r>
        <w:rPr>
          <w:rFonts w:hint="eastAsia" w:ascii="仿宋_GB2312" w:hAnsi="仿宋_GB2312" w:cs="仿宋_GB2312"/>
          <w:kern w:val="0"/>
          <w:szCs w:val="32"/>
          <w:lang w:val="en-US" w:eastAsia="zh-CN"/>
        </w:rPr>
        <w:t>商情</w:t>
      </w:r>
      <w:r>
        <w:rPr>
          <w:rFonts w:hint="eastAsia" w:ascii="仿宋_GB2312" w:hAnsi="仿宋_GB2312" w:cs="仿宋_GB2312"/>
          <w:kern w:val="0"/>
          <w:szCs w:val="32"/>
          <w:highlight w:val="none"/>
          <w:lang w:val="en-US" w:eastAsia="zh-CN"/>
        </w:rPr>
        <w:t>驻市分支机构</w:t>
      </w:r>
      <w:r>
        <w:rPr>
          <w:rFonts w:hint="eastAsia" w:ascii="仿宋_GB2312" w:hAnsi="仿宋_GB2312" w:eastAsia="仿宋_GB2312" w:cs="仿宋_GB2312"/>
          <w:kern w:val="0"/>
          <w:szCs w:val="32"/>
          <w:lang w:eastAsia="zh-CN"/>
        </w:rPr>
        <w:t>代为开展</w:t>
      </w:r>
      <w:r>
        <w:rPr>
          <w:rFonts w:hint="eastAsia" w:ascii="仿宋_GB2312" w:hAnsi="仿宋_GB2312" w:cs="仿宋_GB2312"/>
          <w:kern w:val="0"/>
          <w:szCs w:val="32"/>
          <w:lang w:val="en-US" w:eastAsia="zh-CN"/>
        </w:rPr>
        <w:t>手工</w:t>
      </w:r>
      <w:r>
        <w:rPr>
          <w:rFonts w:hint="eastAsia" w:ascii="仿宋_GB2312" w:hAnsi="仿宋_GB2312" w:eastAsia="仿宋_GB2312" w:cs="仿宋_GB2312"/>
          <w:kern w:val="0"/>
          <w:szCs w:val="32"/>
          <w:lang w:eastAsia="zh-CN"/>
        </w:rPr>
        <w:t>监测。</w:t>
      </w:r>
      <w:r>
        <w:rPr>
          <w:rFonts w:hint="eastAsia" w:ascii="仿宋_GB2312" w:hAnsi="仿宋_GB2312" w:eastAsia="仿宋_GB2312" w:cs="仿宋_GB2312"/>
          <w:kern w:val="0"/>
          <w:szCs w:val="32"/>
        </w:rPr>
        <w:t>运维单位负责数据初审，</w:t>
      </w:r>
      <w:r>
        <w:rPr>
          <w:rFonts w:hint="eastAsia" w:ascii="仿宋_GB2312" w:hAnsi="仿宋_GB2312" w:cs="仿宋_GB2312"/>
          <w:kern w:val="0"/>
          <w:szCs w:val="32"/>
          <w:highlight w:val="none"/>
          <w:lang w:val="en-US" w:eastAsia="zh-CN"/>
        </w:rPr>
        <w:t>驻市分支机构</w:t>
      </w:r>
      <w:r>
        <w:rPr>
          <w:rFonts w:hint="eastAsia" w:ascii="仿宋_GB2312" w:hAnsi="仿宋_GB2312" w:eastAsia="仿宋_GB2312" w:cs="仿宋_GB2312"/>
          <w:kern w:val="0"/>
          <w:szCs w:val="32"/>
        </w:rPr>
        <w:t>负责开展监测数据审核报送、报告编制等工作。</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Cs w:val="32"/>
          <w:lang w:eastAsia="zh-CN"/>
        </w:rPr>
        <w:t>责任主体：</w:t>
      </w:r>
      <w:r>
        <w:rPr>
          <w:rFonts w:hint="eastAsia" w:ascii="仿宋_GB2312" w:hAnsi="仿宋_GB2312" w:cs="仿宋_GB2312"/>
          <w:kern w:val="0"/>
          <w:szCs w:val="32"/>
          <w:lang w:eastAsia="zh-CN"/>
        </w:rPr>
        <w:t>市生态环境局</w:t>
      </w:r>
      <w:r>
        <w:rPr>
          <w:rFonts w:hint="eastAsia" w:ascii="仿宋_GB2312" w:hAnsi="仿宋_GB2312" w:eastAsia="仿宋_GB2312" w:cs="仿宋_GB2312"/>
          <w:kern w:val="0"/>
          <w:szCs w:val="32"/>
        </w:rPr>
        <w:t>大气科</w:t>
      </w:r>
      <w:r>
        <w:rPr>
          <w:rFonts w:hint="eastAsia" w:ascii="仿宋_GB2312" w:hAnsi="仿宋_GB2312" w:cs="仿宋_GB2312"/>
          <w:kern w:val="0"/>
          <w:szCs w:val="32"/>
          <w:lang w:eastAsia="zh-CN"/>
        </w:rPr>
        <w:t>。</w:t>
      </w:r>
    </w:p>
    <w:p>
      <w:pPr>
        <w:keepNext w:val="0"/>
        <w:keepLines w:val="0"/>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6.数据联网及报送</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kern w:val="0"/>
          <w:szCs w:val="32"/>
          <w:highlight w:val="none"/>
          <w:lang w:val="en-US" w:eastAsia="zh-CN"/>
        </w:rPr>
        <w:t>驻市分支机构于《辽宁省生态环境监测方案》发布后的10个工作日内</w:t>
      </w:r>
      <w:r>
        <w:rPr>
          <w:rFonts w:hint="eastAsia" w:ascii="仿宋_GB2312" w:hAnsi="仿宋_GB2312" w:cs="仿宋_GB2312"/>
          <w:kern w:val="0"/>
          <w:szCs w:val="32"/>
          <w:highlight w:val="none"/>
          <w:lang w:val="en-US" w:eastAsia="zh-CN"/>
        </w:rPr>
        <w:t>将</w:t>
      </w:r>
      <w:r>
        <w:rPr>
          <w:rFonts w:hint="eastAsia" w:ascii="仿宋_GB2312" w:hAnsi="仿宋_GB2312" w:eastAsia="仿宋_GB2312" w:cs="仿宋_GB2312"/>
          <w:kern w:val="0"/>
          <w:szCs w:val="32"/>
          <w:lang w:eastAsia="zh-CN"/>
        </w:rPr>
        <w:t>辖区内监测点位信息</w:t>
      </w:r>
      <w:r>
        <w:rPr>
          <w:rFonts w:hint="eastAsia" w:ascii="仿宋_GB2312" w:hAnsi="仿宋_GB2312" w:cs="仿宋_GB2312"/>
          <w:kern w:val="0"/>
          <w:szCs w:val="32"/>
          <w:lang w:eastAsia="zh-CN"/>
        </w:rPr>
        <w:t>（</w:t>
      </w:r>
      <w:r>
        <w:rPr>
          <w:rFonts w:hint="eastAsia" w:ascii="仿宋_GB2312" w:hAnsi="仿宋_GB2312" w:eastAsia="仿宋_GB2312" w:cs="仿宋_GB2312"/>
          <w:kern w:val="0"/>
          <w:szCs w:val="32"/>
          <w:lang w:val="en-US" w:eastAsia="zh-CN"/>
        </w:rPr>
        <w:t>格式见表1-8</w:t>
      </w:r>
      <w:r>
        <w:rPr>
          <w:rFonts w:hint="eastAsia" w:ascii="仿宋_GB2312" w:hAnsi="仿宋_GB2312" w:cs="仿宋_GB2312"/>
          <w:kern w:val="0"/>
          <w:szCs w:val="32"/>
          <w:lang w:eastAsia="zh-CN"/>
        </w:rPr>
        <w:t>）</w:t>
      </w:r>
      <w:r>
        <w:rPr>
          <w:rFonts w:hint="eastAsia" w:ascii="仿宋_GB2312" w:hAnsi="仿宋_GB2312" w:eastAsia="仿宋_GB2312" w:cs="仿宋_GB2312"/>
          <w:kern w:val="0"/>
          <w:szCs w:val="32"/>
          <w:lang w:eastAsia="zh-CN"/>
        </w:rPr>
        <w:t>报送至省中心</w:t>
      </w:r>
      <w:r>
        <w:rPr>
          <w:rFonts w:hint="eastAsia" w:ascii="仿宋_GB2312" w:hAnsi="仿宋_GB2312" w:eastAsia="仿宋_GB2312" w:cs="仿宋_GB2312"/>
          <w:kern w:val="0"/>
          <w:szCs w:val="32"/>
          <w:highlight w:val="none"/>
        </w:rPr>
        <w:fldChar w:fldCharType="begin"/>
      </w:r>
      <w:r>
        <w:rPr>
          <w:rFonts w:hint="eastAsia" w:ascii="仿宋_GB2312" w:hAnsi="仿宋_GB2312" w:eastAsia="仿宋_GB2312" w:cs="仿宋_GB2312"/>
          <w:kern w:val="0"/>
          <w:szCs w:val="32"/>
          <w:highlight w:val="none"/>
        </w:rPr>
        <w:instrText xml:space="preserve"> HYPERLINK "mailto:报告发送至省中心邮箱lnairnet@126.com" </w:instrText>
      </w:r>
      <w:r>
        <w:rPr>
          <w:rFonts w:hint="eastAsia" w:ascii="仿宋_GB2312" w:hAnsi="仿宋_GB2312" w:eastAsia="仿宋_GB2312" w:cs="仿宋_GB2312"/>
          <w:kern w:val="0"/>
          <w:szCs w:val="32"/>
          <w:highlight w:val="none"/>
        </w:rPr>
        <w:fldChar w:fldCharType="separate"/>
      </w:r>
      <w:r>
        <w:rPr>
          <w:rStyle w:val="70"/>
          <w:rFonts w:hint="eastAsia" w:ascii="仿宋_GB2312" w:hAnsi="仿宋_GB2312" w:eastAsia="仿宋_GB2312" w:cs="仿宋_GB2312"/>
          <w:color w:val="auto"/>
          <w:kern w:val="0"/>
          <w:szCs w:val="32"/>
          <w:highlight w:val="none"/>
          <w:u w:val="none"/>
        </w:rPr>
        <w:t>邮箱dq.ssthjt@</w:t>
      </w:r>
      <w:r>
        <w:rPr>
          <w:rFonts w:hint="eastAsia" w:ascii="仿宋_GB2312" w:hAnsi="仿宋_GB2312" w:eastAsia="仿宋_GB2312" w:cs="仿宋_GB2312"/>
          <w:kern w:val="0"/>
          <w:szCs w:val="32"/>
          <w:highlight w:val="none"/>
        </w:rPr>
        <w:fldChar w:fldCharType="end"/>
      </w:r>
      <w:r>
        <w:rPr>
          <w:rStyle w:val="70"/>
          <w:rFonts w:hint="eastAsia" w:ascii="仿宋_GB2312" w:hAnsi="仿宋_GB2312" w:eastAsia="仿宋_GB2312" w:cs="仿宋_GB2312"/>
          <w:color w:val="auto"/>
          <w:kern w:val="0"/>
          <w:szCs w:val="32"/>
          <w:highlight w:val="none"/>
          <w:u w:val="none"/>
        </w:rPr>
        <w:t>ln.gov.cn</w:t>
      </w:r>
      <w:r>
        <w:rPr>
          <w:rFonts w:hint="eastAsia" w:ascii="仿宋_GB2312" w:hAnsi="仿宋_GB2312" w:eastAsia="仿宋_GB2312" w:cs="仿宋_GB2312"/>
          <w:kern w:val="0"/>
          <w:szCs w:val="32"/>
          <w:lang w:eastAsia="zh-CN"/>
        </w:rPr>
        <w:t>。</w:t>
      </w:r>
      <w:bookmarkStart w:id="80" w:name="_Toc22030"/>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表1-</w:t>
      </w:r>
      <w:r>
        <w:rPr>
          <w:rFonts w:hint="eastAsia" w:ascii="仿宋_GB2312" w:hAnsi="仿宋_GB2312" w:cs="仿宋_GB2312"/>
          <w:b/>
          <w:sz w:val="24"/>
          <w:szCs w:val="24"/>
          <w:highlight w:val="none"/>
          <w:lang w:val="en-US" w:eastAsia="zh-CN"/>
        </w:rPr>
        <w:t>8</w:t>
      </w:r>
      <w:r>
        <w:rPr>
          <w:rFonts w:hint="eastAsia" w:ascii="仿宋_GB2312" w:hAnsi="仿宋_GB2312" w:eastAsia="仿宋_GB2312" w:cs="仿宋_GB2312"/>
          <w:b/>
          <w:sz w:val="24"/>
          <w:szCs w:val="24"/>
          <w:highlight w:val="none"/>
        </w:rPr>
        <w:t xml:space="preserve">  VOCs监测点位登记表</w:t>
      </w:r>
    </w:p>
    <w:tbl>
      <w:tblPr>
        <w:tblStyle w:val="56"/>
        <w:tblW w:w="8326" w:type="dxa"/>
        <w:jc w:val="center"/>
        <w:tblBorders>
          <w:top w:val="single" w:color="000000" w:sz="8" w:space="0"/>
          <w:left w:val="single" w:color="auto" w:sz="4" w:space="0"/>
          <w:bottom w:val="single" w:color="000000" w:sz="8"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1007"/>
        <w:gridCol w:w="783"/>
        <w:gridCol w:w="1080"/>
        <w:gridCol w:w="1233"/>
        <w:gridCol w:w="971"/>
        <w:gridCol w:w="1113"/>
        <w:gridCol w:w="754"/>
        <w:gridCol w:w="698"/>
      </w:tblGrid>
      <w:tr>
        <w:tblPrEx>
          <w:tblBorders>
            <w:top w:val="single" w:color="000000" w:sz="8" w:space="0"/>
            <w:left w:val="single" w:color="auto" w:sz="4" w:space="0"/>
            <w:bottom w:val="single" w:color="000000" w:sz="8"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8326" w:type="dxa"/>
            <w:gridSpan w:val="9"/>
            <w:vAlign w:val="center"/>
          </w:tcPr>
          <w:p>
            <w:pPr>
              <w:tabs>
                <w:tab w:val="left" w:pos="636"/>
                <w:tab w:val="left" w:pos="1891"/>
              </w:tabs>
              <w:spacing w:line="240" w:lineRule="auto"/>
              <w:ind w:firstLine="228" w:firstLineChars="100"/>
              <w:jc w:val="left"/>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w w:val="95"/>
                <w:kern w:val="0"/>
                <w:sz w:val="24"/>
                <w:szCs w:val="24"/>
                <w:highlight w:val="none"/>
                <w:lang w:eastAsia="en-US"/>
              </w:rPr>
              <w:t>城市名</w:t>
            </w:r>
            <w:r>
              <w:rPr>
                <w:rFonts w:hint="eastAsia" w:ascii="仿宋_GB2312" w:hAnsi="仿宋_GB2312" w:eastAsia="仿宋_GB2312" w:cs="仿宋_GB2312"/>
                <w:kern w:val="0"/>
                <w:sz w:val="24"/>
                <w:szCs w:val="24"/>
                <w:highlight w:val="none"/>
                <w:lang w:eastAsia="en-US"/>
              </w:rPr>
              <w:t>称：</w:t>
            </w:r>
          </w:p>
        </w:tc>
      </w:tr>
      <w:tr>
        <w:tblPrEx>
          <w:tblBorders>
            <w:top w:val="single" w:color="000000" w:sz="8" w:space="0"/>
            <w:left w:val="single" w:color="auto" w:sz="4" w:space="0"/>
            <w:bottom w:val="single" w:color="000000" w:sz="8"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003" w:hRule="exact"/>
          <w:jc w:val="center"/>
        </w:trPr>
        <w:tc>
          <w:tcPr>
            <w:tcW w:w="687" w:type="dxa"/>
            <w:vAlign w:val="center"/>
          </w:tcPr>
          <w:p>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kern w:val="0"/>
                <w:sz w:val="24"/>
                <w:szCs w:val="24"/>
                <w:highlight w:val="none"/>
                <w:lang w:eastAsia="en-US"/>
              </w:rPr>
              <w:t>点位</w:t>
            </w:r>
          </w:p>
          <w:p>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kern w:val="0"/>
                <w:sz w:val="24"/>
                <w:szCs w:val="24"/>
                <w:highlight w:val="none"/>
                <w:lang w:eastAsia="en-US"/>
              </w:rPr>
              <w:t>名称</w:t>
            </w:r>
          </w:p>
        </w:tc>
        <w:tc>
          <w:tcPr>
            <w:tcW w:w="1007" w:type="dxa"/>
            <w:vAlign w:val="center"/>
          </w:tcPr>
          <w:p>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kern w:val="0"/>
                <w:sz w:val="24"/>
                <w:szCs w:val="24"/>
                <w:highlight w:val="none"/>
                <w:lang w:eastAsia="en-US"/>
              </w:rPr>
              <w:t>自动/手工点位</w:t>
            </w:r>
          </w:p>
        </w:tc>
        <w:tc>
          <w:tcPr>
            <w:tcW w:w="783" w:type="dxa"/>
            <w:vAlign w:val="center"/>
          </w:tcPr>
          <w:p>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kern w:val="0"/>
                <w:sz w:val="24"/>
                <w:szCs w:val="24"/>
                <w:highlight w:val="none"/>
                <w:lang w:eastAsia="en-US"/>
              </w:rPr>
              <w:t>点位</w:t>
            </w:r>
          </w:p>
          <w:p>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kern w:val="0"/>
                <w:sz w:val="24"/>
                <w:szCs w:val="24"/>
                <w:highlight w:val="none"/>
                <w:lang w:eastAsia="en-US"/>
              </w:rPr>
              <w:t>经纬度</w:t>
            </w:r>
          </w:p>
        </w:tc>
        <w:tc>
          <w:tcPr>
            <w:tcW w:w="1080" w:type="dxa"/>
            <w:vAlign w:val="center"/>
          </w:tcPr>
          <w:p>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spacing w:val="-11"/>
                <w:kern w:val="0"/>
                <w:sz w:val="24"/>
                <w:szCs w:val="24"/>
                <w:highlight w:val="none"/>
                <w:lang w:eastAsia="en-US"/>
              </w:rPr>
              <w:t>采样高度（米）</w:t>
            </w:r>
          </w:p>
        </w:tc>
        <w:tc>
          <w:tcPr>
            <w:tcW w:w="1233" w:type="dxa"/>
            <w:vAlign w:val="center"/>
          </w:tcPr>
          <w:p>
            <w:pPr>
              <w:spacing w:line="240" w:lineRule="auto"/>
              <w:ind w:firstLine="0" w:firstLineChars="0"/>
              <w:jc w:val="center"/>
              <w:rPr>
                <w:rFonts w:hint="eastAsia" w:ascii="仿宋_GB2312" w:hAnsi="仿宋_GB2312" w:eastAsia="仿宋_GB2312" w:cs="仿宋_GB2312"/>
                <w:spacing w:val="-7"/>
                <w:kern w:val="0"/>
                <w:sz w:val="24"/>
                <w:szCs w:val="24"/>
                <w:highlight w:val="none"/>
                <w:lang w:eastAsia="en-US"/>
              </w:rPr>
            </w:pPr>
            <w:r>
              <w:rPr>
                <w:rFonts w:hint="eastAsia" w:ascii="仿宋_GB2312" w:hAnsi="仿宋_GB2312" w:eastAsia="仿宋_GB2312" w:cs="仿宋_GB2312"/>
                <w:spacing w:val="-7"/>
                <w:kern w:val="0"/>
                <w:sz w:val="24"/>
                <w:szCs w:val="24"/>
                <w:highlight w:val="none"/>
                <w:lang w:eastAsia="en-US"/>
              </w:rPr>
              <w:t>地面海拔</w:t>
            </w:r>
          </w:p>
          <w:p>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spacing w:val="-7"/>
                <w:kern w:val="0"/>
                <w:sz w:val="24"/>
                <w:szCs w:val="24"/>
                <w:highlight w:val="none"/>
                <w:lang w:eastAsia="en-US"/>
              </w:rPr>
              <w:t>高度（米）</w:t>
            </w:r>
          </w:p>
        </w:tc>
        <w:tc>
          <w:tcPr>
            <w:tcW w:w="971" w:type="dxa"/>
            <w:vAlign w:val="center"/>
          </w:tcPr>
          <w:p>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kern w:val="0"/>
                <w:sz w:val="24"/>
                <w:szCs w:val="24"/>
                <w:highlight w:val="none"/>
                <w:lang w:eastAsia="en-US"/>
              </w:rPr>
              <w:t>点位</w:t>
            </w:r>
          </w:p>
          <w:p>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kern w:val="0"/>
                <w:sz w:val="24"/>
                <w:szCs w:val="24"/>
                <w:highlight w:val="none"/>
                <w:lang w:eastAsia="en-US"/>
              </w:rPr>
              <w:t>类型</w:t>
            </w:r>
          </w:p>
        </w:tc>
        <w:tc>
          <w:tcPr>
            <w:tcW w:w="1113" w:type="dxa"/>
            <w:vAlign w:val="center"/>
          </w:tcPr>
          <w:p>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kern w:val="0"/>
                <w:sz w:val="24"/>
                <w:szCs w:val="24"/>
                <w:highlight w:val="none"/>
                <w:lang w:eastAsia="en-US"/>
              </w:rPr>
              <w:t>点位具体</w:t>
            </w:r>
          </w:p>
          <w:p>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kern w:val="0"/>
                <w:sz w:val="24"/>
                <w:szCs w:val="24"/>
                <w:highlight w:val="none"/>
                <w:lang w:eastAsia="en-US"/>
              </w:rPr>
              <w:t>位置</w:t>
            </w:r>
          </w:p>
        </w:tc>
        <w:tc>
          <w:tcPr>
            <w:tcW w:w="754" w:type="dxa"/>
            <w:vAlign w:val="center"/>
          </w:tcPr>
          <w:p>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kern w:val="0"/>
                <w:sz w:val="24"/>
                <w:szCs w:val="24"/>
                <w:highlight w:val="none"/>
                <w:lang w:eastAsia="en-US"/>
              </w:rPr>
              <w:t>所属区</w:t>
            </w:r>
          </w:p>
        </w:tc>
        <w:tc>
          <w:tcPr>
            <w:tcW w:w="698" w:type="dxa"/>
            <w:vAlign w:val="center"/>
          </w:tcPr>
          <w:p>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kern w:val="0"/>
                <w:sz w:val="24"/>
                <w:szCs w:val="24"/>
                <w:highlight w:val="none"/>
                <w:lang w:eastAsia="en-US"/>
              </w:rPr>
              <w:t>仪器</w:t>
            </w:r>
          </w:p>
          <w:p>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kern w:val="0"/>
                <w:sz w:val="24"/>
                <w:szCs w:val="24"/>
                <w:highlight w:val="none"/>
                <w:lang w:eastAsia="en-US"/>
              </w:rPr>
              <w:t>型号</w:t>
            </w:r>
          </w:p>
        </w:tc>
      </w:tr>
      <w:tr>
        <w:tblPrEx>
          <w:tblBorders>
            <w:top w:val="single" w:color="000000" w:sz="8" w:space="0"/>
            <w:left w:val="single" w:color="auto" w:sz="4" w:space="0"/>
            <w:bottom w:val="single" w:color="000000" w:sz="8"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687" w:type="dxa"/>
            <w:vAlign w:val="center"/>
          </w:tcPr>
          <w:p>
            <w:pPr>
              <w:spacing w:line="240" w:lineRule="auto"/>
              <w:ind w:firstLine="640"/>
              <w:rPr>
                <w:rFonts w:hint="eastAsia" w:ascii="仿宋_GB2312" w:hAnsi="仿宋_GB2312" w:eastAsia="仿宋_GB2312" w:cs="仿宋_GB2312"/>
                <w:sz w:val="24"/>
                <w:szCs w:val="24"/>
                <w:highlight w:val="none"/>
              </w:rPr>
            </w:pPr>
          </w:p>
        </w:tc>
        <w:tc>
          <w:tcPr>
            <w:tcW w:w="1007" w:type="dxa"/>
            <w:vAlign w:val="center"/>
          </w:tcPr>
          <w:p>
            <w:pPr>
              <w:spacing w:line="240" w:lineRule="auto"/>
              <w:ind w:firstLine="640"/>
              <w:rPr>
                <w:rFonts w:hint="eastAsia" w:ascii="仿宋_GB2312" w:hAnsi="仿宋_GB2312" w:eastAsia="仿宋_GB2312" w:cs="仿宋_GB2312"/>
                <w:sz w:val="24"/>
                <w:szCs w:val="24"/>
                <w:highlight w:val="none"/>
              </w:rPr>
            </w:pPr>
          </w:p>
        </w:tc>
        <w:tc>
          <w:tcPr>
            <w:tcW w:w="783" w:type="dxa"/>
            <w:vAlign w:val="center"/>
          </w:tcPr>
          <w:p>
            <w:pPr>
              <w:spacing w:line="240" w:lineRule="auto"/>
              <w:ind w:firstLine="640"/>
              <w:rPr>
                <w:rFonts w:hint="eastAsia" w:ascii="仿宋_GB2312" w:hAnsi="仿宋_GB2312" w:eastAsia="仿宋_GB2312" w:cs="仿宋_GB2312"/>
                <w:sz w:val="24"/>
                <w:szCs w:val="24"/>
                <w:highlight w:val="none"/>
              </w:rPr>
            </w:pPr>
          </w:p>
        </w:tc>
        <w:tc>
          <w:tcPr>
            <w:tcW w:w="1080" w:type="dxa"/>
            <w:vAlign w:val="center"/>
          </w:tcPr>
          <w:p>
            <w:pPr>
              <w:spacing w:line="240" w:lineRule="auto"/>
              <w:ind w:firstLine="640"/>
              <w:rPr>
                <w:rFonts w:hint="eastAsia" w:ascii="仿宋_GB2312" w:hAnsi="仿宋_GB2312" w:eastAsia="仿宋_GB2312" w:cs="仿宋_GB2312"/>
                <w:sz w:val="24"/>
                <w:szCs w:val="24"/>
                <w:highlight w:val="none"/>
              </w:rPr>
            </w:pPr>
          </w:p>
        </w:tc>
        <w:tc>
          <w:tcPr>
            <w:tcW w:w="1233" w:type="dxa"/>
            <w:vAlign w:val="center"/>
          </w:tcPr>
          <w:p>
            <w:pPr>
              <w:spacing w:line="240" w:lineRule="auto"/>
              <w:ind w:firstLine="640"/>
              <w:rPr>
                <w:rFonts w:hint="eastAsia" w:ascii="仿宋_GB2312" w:hAnsi="仿宋_GB2312" w:eastAsia="仿宋_GB2312" w:cs="仿宋_GB2312"/>
                <w:sz w:val="24"/>
                <w:szCs w:val="24"/>
                <w:highlight w:val="none"/>
              </w:rPr>
            </w:pPr>
          </w:p>
        </w:tc>
        <w:tc>
          <w:tcPr>
            <w:tcW w:w="971" w:type="dxa"/>
            <w:vAlign w:val="center"/>
          </w:tcPr>
          <w:p>
            <w:pPr>
              <w:spacing w:line="240" w:lineRule="auto"/>
              <w:ind w:firstLine="640"/>
              <w:rPr>
                <w:rFonts w:hint="eastAsia" w:ascii="仿宋_GB2312" w:hAnsi="仿宋_GB2312" w:eastAsia="仿宋_GB2312" w:cs="仿宋_GB2312"/>
                <w:sz w:val="24"/>
                <w:szCs w:val="24"/>
                <w:highlight w:val="none"/>
              </w:rPr>
            </w:pPr>
          </w:p>
        </w:tc>
        <w:tc>
          <w:tcPr>
            <w:tcW w:w="1113" w:type="dxa"/>
            <w:vAlign w:val="center"/>
          </w:tcPr>
          <w:p>
            <w:pPr>
              <w:spacing w:line="240" w:lineRule="auto"/>
              <w:ind w:firstLine="640"/>
              <w:rPr>
                <w:rFonts w:hint="eastAsia" w:ascii="仿宋_GB2312" w:hAnsi="仿宋_GB2312" w:eastAsia="仿宋_GB2312" w:cs="仿宋_GB2312"/>
                <w:sz w:val="24"/>
                <w:szCs w:val="24"/>
                <w:highlight w:val="none"/>
              </w:rPr>
            </w:pPr>
          </w:p>
        </w:tc>
        <w:tc>
          <w:tcPr>
            <w:tcW w:w="754" w:type="dxa"/>
            <w:vAlign w:val="center"/>
          </w:tcPr>
          <w:p>
            <w:pPr>
              <w:spacing w:line="240" w:lineRule="auto"/>
              <w:ind w:firstLine="640"/>
              <w:rPr>
                <w:rFonts w:hint="eastAsia" w:ascii="仿宋_GB2312" w:hAnsi="仿宋_GB2312" w:eastAsia="仿宋_GB2312" w:cs="仿宋_GB2312"/>
                <w:sz w:val="24"/>
                <w:szCs w:val="24"/>
                <w:highlight w:val="none"/>
              </w:rPr>
            </w:pPr>
          </w:p>
        </w:tc>
        <w:tc>
          <w:tcPr>
            <w:tcW w:w="698" w:type="dxa"/>
            <w:vAlign w:val="center"/>
          </w:tcPr>
          <w:p>
            <w:pPr>
              <w:spacing w:line="240" w:lineRule="auto"/>
              <w:ind w:firstLine="640"/>
              <w:rPr>
                <w:rFonts w:hint="eastAsia" w:ascii="仿宋_GB2312" w:hAnsi="仿宋_GB2312" w:eastAsia="仿宋_GB2312" w:cs="仿宋_GB2312"/>
                <w:sz w:val="24"/>
                <w:szCs w:val="24"/>
                <w:highlight w:val="none"/>
              </w:rPr>
            </w:pPr>
          </w:p>
        </w:tc>
      </w:tr>
      <w:tr>
        <w:tblPrEx>
          <w:tblBorders>
            <w:top w:val="single" w:color="000000" w:sz="8" w:space="0"/>
            <w:left w:val="single" w:color="auto" w:sz="4" w:space="0"/>
            <w:bottom w:val="single" w:color="000000" w:sz="8"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687" w:type="dxa"/>
            <w:tcBorders>
              <w:bottom w:val="single" w:color="000000" w:sz="4" w:space="0"/>
            </w:tcBorders>
            <w:vAlign w:val="center"/>
          </w:tcPr>
          <w:p>
            <w:pPr>
              <w:spacing w:line="240" w:lineRule="auto"/>
              <w:ind w:firstLine="640"/>
              <w:rPr>
                <w:rFonts w:hint="eastAsia" w:ascii="仿宋_GB2312" w:hAnsi="仿宋_GB2312" w:eastAsia="仿宋_GB2312" w:cs="仿宋_GB2312"/>
                <w:sz w:val="24"/>
                <w:szCs w:val="24"/>
                <w:highlight w:val="none"/>
              </w:rPr>
            </w:pPr>
          </w:p>
        </w:tc>
        <w:tc>
          <w:tcPr>
            <w:tcW w:w="1007" w:type="dxa"/>
            <w:tcBorders>
              <w:bottom w:val="single" w:color="000000" w:sz="4" w:space="0"/>
            </w:tcBorders>
            <w:vAlign w:val="center"/>
          </w:tcPr>
          <w:p>
            <w:pPr>
              <w:spacing w:line="240" w:lineRule="auto"/>
              <w:ind w:firstLine="640"/>
              <w:rPr>
                <w:rFonts w:hint="eastAsia" w:ascii="仿宋_GB2312" w:hAnsi="仿宋_GB2312" w:eastAsia="仿宋_GB2312" w:cs="仿宋_GB2312"/>
                <w:sz w:val="24"/>
                <w:szCs w:val="24"/>
                <w:highlight w:val="none"/>
              </w:rPr>
            </w:pPr>
          </w:p>
        </w:tc>
        <w:tc>
          <w:tcPr>
            <w:tcW w:w="783" w:type="dxa"/>
            <w:tcBorders>
              <w:bottom w:val="single" w:color="000000" w:sz="4" w:space="0"/>
            </w:tcBorders>
            <w:vAlign w:val="center"/>
          </w:tcPr>
          <w:p>
            <w:pPr>
              <w:spacing w:line="240" w:lineRule="auto"/>
              <w:ind w:firstLine="640"/>
              <w:rPr>
                <w:rFonts w:hint="eastAsia" w:ascii="仿宋_GB2312" w:hAnsi="仿宋_GB2312" w:eastAsia="仿宋_GB2312" w:cs="仿宋_GB2312"/>
                <w:sz w:val="24"/>
                <w:szCs w:val="24"/>
                <w:highlight w:val="none"/>
              </w:rPr>
            </w:pPr>
          </w:p>
        </w:tc>
        <w:tc>
          <w:tcPr>
            <w:tcW w:w="1080" w:type="dxa"/>
            <w:tcBorders>
              <w:bottom w:val="single" w:color="000000" w:sz="4" w:space="0"/>
            </w:tcBorders>
            <w:vAlign w:val="center"/>
          </w:tcPr>
          <w:p>
            <w:pPr>
              <w:spacing w:line="240" w:lineRule="auto"/>
              <w:ind w:firstLine="640"/>
              <w:rPr>
                <w:rFonts w:hint="eastAsia" w:ascii="仿宋_GB2312" w:hAnsi="仿宋_GB2312" w:eastAsia="仿宋_GB2312" w:cs="仿宋_GB2312"/>
                <w:sz w:val="24"/>
                <w:szCs w:val="24"/>
                <w:highlight w:val="none"/>
              </w:rPr>
            </w:pPr>
          </w:p>
        </w:tc>
        <w:tc>
          <w:tcPr>
            <w:tcW w:w="1233" w:type="dxa"/>
            <w:tcBorders>
              <w:bottom w:val="single" w:color="000000" w:sz="4" w:space="0"/>
            </w:tcBorders>
            <w:vAlign w:val="center"/>
          </w:tcPr>
          <w:p>
            <w:pPr>
              <w:spacing w:line="240" w:lineRule="auto"/>
              <w:ind w:firstLine="640"/>
              <w:rPr>
                <w:rFonts w:hint="eastAsia" w:ascii="仿宋_GB2312" w:hAnsi="仿宋_GB2312" w:eastAsia="仿宋_GB2312" w:cs="仿宋_GB2312"/>
                <w:sz w:val="24"/>
                <w:szCs w:val="24"/>
                <w:highlight w:val="none"/>
              </w:rPr>
            </w:pPr>
          </w:p>
        </w:tc>
        <w:tc>
          <w:tcPr>
            <w:tcW w:w="971" w:type="dxa"/>
            <w:tcBorders>
              <w:bottom w:val="single" w:color="000000" w:sz="4" w:space="0"/>
            </w:tcBorders>
            <w:vAlign w:val="center"/>
          </w:tcPr>
          <w:p>
            <w:pPr>
              <w:spacing w:line="240" w:lineRule="auto"/>
              <w:ind w:firstLine="640"/>
              <w:rPr>
                <w:rFonts w:hint="eastAsia" w:ascii="仿宋_GB2312" w:hAnsi="仿宋_GB2312" w:eastAsia="仿宋_GB2312" w:cs="仿宋_GB2312"/>
                <w:sz w:val="24"/>
                <w:szCs w:val="24"/>
                <w:highlight w:val="none"/>
              </w:rPr>
            </w:pPr>
          </w:p>
        </w:tc>
        <w:tc>
          <w:tcPr>
            <w:tcW w:w="1113" w:type="dxa"/>
            <w:tcBorders>
              <w:bottom w:val="single" w:color="000000" w:sz="4" w:space="0"/>
            </w:tcBorders>
            <w:vAlign w:val="center"/>
          </w:tcPr>
          <w:p>
            <w:pPr>
              <w:spacing w:line="240" w:lineRule="auto"/>
              <w:ind w:firstLine="640"/>
              <w:rPr>
                <w:rFonts w:hint="eastAsia" w:ascii="仿宋_GB2312" w:hAnsi="仿宋_GB2312" w:eastAsia="仿宋_GB2312" w:cs="仿宋_GB2312"/>
                <w:sz w:val="24"/>
                <w:szCs w:val="24"/>
                <w:highlight w:val="none"/>
              </w:rPr>
            </w:pPr>
          </w:p>
        </w:tc>
        <w:tc>
          <w:tcPr>
            <w:tcW w:w="754" w:type="dxa"/>
            <w:tcBorders>
              <w:bottom w:val="single" w:color="000000" w:sz="4" w:space="0"/>
            </w:tcBorders>
            <w:vAlign w:val="center"/>
          </w:tcPr>
          <w:p>
            <w:pPr>
              <w:spacing w:line="240" w:lineRule="auto"/>
              <w:ind w:firstLine="640"/>
              <w:rPr>
                <w:rFonts w:hint="eastAsia" w:ascii="仿宋_GB2312" w:hAnsi="仿宋_GB2312" w:eastAsia="仿宋_GB2312" w:cs="仿宋_GB2312"/>
                <w:sz w:val="24"/>
                <w:szCs w:val="24"/>
                <w:highlight w:val="none"/>
              </w:rPr>
            </w:pPr>
          </w:p>
        </w:tc>
        <w:tc>
          <w:tcPr>
            <w:tcW w:w="698" w:type="dxa"/>
            <w:tcBorders>
              <w:bottom w:val="single" w:color="000000" w:sz="4" w:space="0"/>
            </w:tcBorders>
            <w:vAlign w:val="center"/>
          </w:tcPr>
          <w:p>
            <w:pPr>
              <w:spacing w:line="240" w:lineRule="auto"/>
              <w:ind w:firstLine="640"/>
              <w:rPr>
                <w:rFonts w:hint="eastAsia" w:ascii="仿宋_GB2312" w:hAnsi="仿宋_GB2312" w:eastAsia="仿宋_GB2312" w:cs="仿宋_GB2312"/>
                <w:sz w:val="24"/>
                <w:szCs w:val="24"/>
                <w:highlight w:val="none"/>
              </w:rPr>
            </w:pPr>
          </w:p>
        </w:tc>
      </w:tr>
      <w:tr>
        <w:tblPrEx>
          <w:tblBorders>
            <w:top w:val="single" w:color="000000" w:sz="8" w:space="0"/>
            <w:left w:val="single" w:color="auto" w:sz="4" w:space="0"/>
            <w:bottom w:val="single" w:color="000000" w:sz="8"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687" w:type="dxa"/>
            <w:tcBorders>
              <w:top w:val="single" w:color="000000" w:sz="4" w:space="0"/>
              <w:bottom w:val="single" w:color="000000" w:sz="8" w:space="0"/>
            </w:tcBorders>
            <w:vAlign w:val="center"/>
          </w:tcPr>
          <w:p>
            <w:pPr>
              <w:spacing w:line="240" w:lineRule="auto"/>
              <w:ind w:firstLine="640"/>
              <w:rPr>
                <w:rFonts w:hint="eastAsia" w:ascii="仿宋_GB2312" w:hAnsi="仿宋_GB2312" w:eastAsia="仿宋_GB2312" w:cs="仿宋_GB2312"/>
                <w:sz w:val="24"/>
                <w:szCs w:val="24"/>
                <w:highlight w:val="none"/>
              </w:rPr>
            </w:pPr>
          </w:p>
        </w:tc>
        <w:tc>
          <w:tcPr>
            <w:tcW w:w="1007" w:type="dxa"/>
            <w:tcBorders>
              <w:top w:val="single" w:color="000000" w:sz="4" w:space="0"/>
              <w:bottom w:val="single" w:color="000000" w:sz="8" w:space="0"/>
            </w:tcBorders>
            <w:vAlign w:val="center"/>
          </w:tcPr>
          <w:p>
            <w:pPr>
              <w:spacing w:line="240" w:lineRule="auto"/>
              <w:ind w:firstLine="640"/>
              <w:rPr>
                <w:rFonts w:hint="eastAsia" w:ascii="仿宋_GB2312" w:hAnsi="仿宋_GB2312" w:eastAsia="仿宋_GB2312" w:cs="仿宋_GB2312"/>
                <w:sz w:val="24"/>
                <w:szCs w:val="24"/>
                <w:highlight w:val="none"/>
              </w:rPr>
            </w:pPr>
          </w:p>
        </w:tc>
        <w:tc>
          <w:tcPr>
            <w:tcW w:w="783" w:type="dxa"/>
            <w:tcBorders>
              <w:top w:val="single" w:color="000000" w:sz="4" w:space="0"/>
              <w:bottom w:val="single" w:color="000000" w:sz="8" w:space="0"/>
            </w:tcBorders>
            <w:vAlign w:val="center"/>
          </w:tcPr>
          <w:p>
            <w:pPr>
              <w:spacing w:line="240" w:lineRule="auto"/>
              <w:ind w:firstLine="640"/>
              <w:rPr>
                <w:rFonts w:hint="eastAsia" w:ascii="仿宋_GB2312" w:hAnsi="仿宋_GB2312" w:eastAsia="仿宋_GB2312" w:cs="仿宋_GB2312"/>
                <w:sz w:val="24"/>
                <w:szCs w:val="24"/>
                <w:highlight w:val="none"/>
              </w:rPr>
            </w:pPr>
          </w:p>
        </w:tc>
        <w:tc>
          <w:tcPr>
            <w:tcW w:w="1080" w:type="dxa"/>
            <w:tcBorders>
              <w:top w:val="single" w:color="000000" w:sz="4" w:space="0"/>
              <w:bottom w:val="single" w:color="000000" w:sz="8" w:space="0"/>
            </w:tcBorders>
            <w:vAlign w:val="center"/>
          </w:tcPr>
          <w:p>
            <w:pPr>
              <w:spacing w:line="240" w:lineRule="auto"/>
              <w:ind w:firstLine="640"/>
              <w:rPr>
                <w:rFonts w:hint="eastAsia" w:ascii="仿宋_GB2312" w:hAnsi="仿宋_GB2312" w:eastAsia="仿宋_GB2312" w:cs="仿宋_GB2312"/>
                <w:sz w:val="24"/>
                <w:szCs w:val="24"/>
                <w:highlight w:val="none"/>
              </w:rPr>
            </w:pPr>
          </w:p>
        </w:tc>
        <w:tc>
          <w:tcPr>
            <w:tcW w:w="1233" w:type="dxa"/>
            <w:tcBorders>
              <w:top w:val="single" w:color="000000" w:sz="4" w:space="0"/>
              <w:bottom w:val="single" w:color="000000" w:sz="8" w:space="0"/>
            </w:tcBorders>
            <w:vAlign w:val="center"/>
          </w:tcPr>
          <w:p>
            <w:pPr>
              <w:spacing w:line="240" w:lineRule="auto"/>
              <w:ind w:firstLine="640"/>
              <w:rPr>
                <w:rFonts w:hint="eastAsia" w:ascii="仿宋_GB2312" w:hAnsi="仿宋_GB2312" w:eastAsia="仿宋_GB2312" w:cs="仿宋_GB2312"/>
                <w:sz w:val="24"/>
                <w:szCs w:val="24"/>
                <w:highlight w:val="none"/>
              </w:rPr>
            </w:pPr>
          </w:p>
        </w:tc>
        <w:tc>
          <w:tcPr>
            <w:tcW w:w="971" w:type="dxa"/>
            <w:tcBorders>
              <w:top w:val="single" w:color="000000" w:sz="4" w:space="0"/>
              <w:bottom w:val="single" w:color="000000" w:sz="8" w:space="0"/>
            </w:tcBorders>
            <w:vAlign w:val="center"/>
          </w:tcPr>
          <w:p>
            <w:pPr>
              <w:spacing w:line="240" w:lineRule="auto"/>
              <w:ind w:firstLine="640"/>
              <w:rPr>
                <w:rFonts w:hint="eastAsia" w:ascii="仿宋_GB2312" w:hAnsi="仿宋_GB2312" w:eastAsia="仿宋_GB2312" w:cs="仿宋_GB2312"/>
                <w:sz w:val="24"/>
                <w:szCs w:val="24"/>
                <w:highlight w:val="none"/>
              </w:rPr>
            </w:pPr>
          </w:p>
        </w:tc>
        <w:tc>
          <w:tcPr>
            <w:tcW w:w="1113" w:type="dxa"/>
            <w:tcBorders>
              <w:top w:val="single" w:color="000000" w:sz="4" w:space="0"/>
              <w:bottom w:val="single" w:color="000000" w:sz="8" w:space="0"/>
            </w:tcBorders>
            <w:vAlign w:val="center"/>
          </w:tcPr>
          <w:p>
            <w:pPr>
              <w:spacing w:line="240" w:lineRule="auto"/>
              <w:ind w:firstLine="640"/>
              <w:rPr>
                <w:rFonts w:hint="eastAsia" w:ascii="仿宋_GB2312" w:hAnsi="仿宋_GB2312" w:eastAsia="仿宋_GB2312" w:cs="仿宋_GB2312"/>
                <w:sz w:val="24"/>
                <w:szCs w:val="24"/>
                <w:highlight w:val="none"/>
              </w:rPr>
            </w:pPr>
          </w:p>
        </w:tc>
        <w:tc>
          <w:tcPr>
            <w:tcW w:w="754" w:type="dxa"/>
            <w:tcBorders>
              <w:top w:val="single" w:color="000000" w:sz="4" w:space="0"/>
              <w:bottom w:val="single" w:color="000000" w:sz="8" w:space="0"/>
            </w:tcBorders>
            <w:vAlign w:val="center"/>
          </w:tcPr>
          <w:p>
            <w:pPr>
              <w:spacing w:line="240" w:lineRule="auto"/>
              <w:ind w:firstLine="640"/>
              <w:rPr>
                <w:rFonts w:hint="eastAsia" w:ascii="仿宋_GB2312" w:hAnsi="仿宋_GB2312" w:eastAsia="仿宋_GB2312" w:cs="仿宋_GB2312"/>
                <w:sz w:val="24"/>
                <w:szCs w:val="24"/>
                <w:highlight w:val="none"/>
              </w:rPr>
            </w:pPr>
          </w:p>
        </w:tc>
        <w:tc>
          <w:tcPr>
            <w:tcW w:w="698" w:type="dxa"/>
            <w:tcBorders>
              <w:top w:val="single" w:color="000000" w:sz="4" w:space="0"/>
              <w:bottom w:val="single" w:color="000000" w:sz="8" w:space="0"/>
            </w:tcBorders>
            <w:vAlign w:val="center"/>
          </w:tcPr>
          <w:p>
            <w:pPr>
              <w:spacing w:line="240" w:lineRule="auto"/>
              <w:ind w:firstLine="640"/>
              <w:rPr>
                <w:rFonts w:hint="eastAsia" w:ascii="仿宋_GB2312" w:hAnsi="仿宋_GB2312" w:eastAsia="仿宋_GB2312" w:cs="仿宋_GB2312"/>
                <w:sz w:val="24"/>
                <w:szCs w:val="24"/>
                <w:highlight w:val="none"/>
              </w:rPr>
            </w:pPr>
          </w:p>
        </w:tc>
      </w:tr>
    </w:tbl>
    <w:p>
      <w:pPr>
        <w:adjustRightInd w:val="0"/>
        <w:snapToGrid w:val="0"/>
        <w:spacing w:line="240" w:lineRule="auto"/>
        <w:ind w:firstLine="0" w:firstLineChars="0"/>
        <w:rPr>
          <w:rFonts w:hint="eastAsia" w:ascii="仿宋_GB2312" w:hAnsi="仿宋_GB2312" w:eastAsia="仿宋_GB2312" w:cs="仿宋_GB2312"/>
          <w:sz w:val="20"/>
          <w:szCs w:val="22"/>
          <w:highlight w:val="none"/>
        </w:rPr>
      </w:pPr>
      <w:r>
        <w:rPr>
          <w:rFonts w:hint="eastAsia" w:ascii="仿宋_GB2312" w:hAnsi="仿宋_GB2312" w:eastAsia="仿宋_GB2312" w:cs="仿宋_GB2312"/>
          <w:sz w:val="20"/>
          <w:szCs w:val="22"/>
          <w:highlight w:val="none"/>
        </w:rPr>
        <w:t>注：1.采样高度指采样口离地面距离；2.点位类型按方案中的4种类型填写：①上风向和背景监测点②VOCs 高浓度点位③城市人口密集区内的O3 高值点④地区影响边缘监测点（下风向点位）；3.仪器型号包括 VOCs、NO、O3、CO、气象等设备的型号。</w:t>
      </w:r>
    </w:p>
    <w:bookmarkEnd w:id="80"/>
    <w:p>
      <w:pPr>
        <w:keepNext w:val="0"/>
        <w:keepLines w:val="0"/>
        <w:pageBreakBefore w:val="0"/>
        <w:widowControl w:val="0"/>
        <w:kinsoku/>
        <w:wordWrap/>
        <w:overflowPunct/>
        <w:topLinePunct w:val="0"/>
        <w:autoSpaceDE/>
        <w:autoSpaceDN/>
        <w:bidi w:val="0"/>
        <w:adjustRightInd/>
        <w:snapToGrid/>
        <w:spacing w:line="600" w:lineRule="exact"/>
        <w:ind w:left="119" w:firstLine="643"/>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b/>
          <w:kern w:val="0"/>
          <w:szCs w:val="32"/>
          <w:highlight w:val="none"/>
        </w:rPr>
        <w:t>自动监测数据：</w:t>
      </w:r>
      <w:r>
        <w:rPr>
          <w:rFonts w:hint="eastAsia" w:ascii="仿宋_GB2312" w:hAnsi="仿宋_GB2312" w:eastAsia="仿宋_GB2312" w:cs="仿宋_GB2312"/>
          <w:kern w:val="0"/>
          <w:szCs w:val="32"/>
          <w:highlight w:val="none"/>
        </w:rPr>
        <w:t>数据实时报送至国家大气颗粒物组分及光化学监测数据集成和综合分析平台、辽宁省大气综合观测数据联网分析系统。相关技术框架结构设计、数据交换/共享流程、传输要求等应根据国家大气光化学自动监测的联网要求开展。实时报送至国家光化学分析平台的监测数据，运维单位需于每周二10时前完成数据初审，驻市分支机构每周二15时前完成数据复核。参照《国家光化学监测网自动监测数据审核技术指南（2021版）（试行）》，运维单位2日内完成数据初审，驻市分支机构3日内完成数据复核。同时段的NO-NO</w:t>
      </w:r>
      <w:r>
        <w:rPr>
          <w:rFonts w:hint="eastAsia" w:ascii="仿宋_GB2312" w:hAnsi="仿宋_GB2312" w:eastAsia="仿宋_GB2312" w:cs="仿宋_GB2312"/>
          <w:kern w:val="0"/>
          <w:szCs w:val="32"/>
          <w:highlight w:val="none"/>
          <w:vertAlign w:val="subscript"/>
        </w:rPr>
        <w:t>2</w:t>
      </w:r>
      <w:r>
        <w:rPr>
          <w:rFonts w:hint="eastAsia" w:ascii="仿宋_GB2312" w:hAnsi="仿宋_GB2312" w:eastAsia="仿宋_GB2312" w:cs="仿宋_GB2312"/>
          <w:kern w:val="0"/>
          <w:szCs w:val="32"/>
          <w:highlight w:val="none"/>
        </w:rPr>
        <w:t>-NO</w:t>
      </w:r>
      <w:r>
        <w:rPr>
          <w:rFonts w:hint="eastAsia" w:ascii="仿宋_GB2312" w:hAnsi="仿宋_GB2312" w:eastAsia="仿宋_GB2312" w:cs="仿宋_GB2312"/>
          <w:kern w:val="0"/>
          <w:szCs w:val="32"/>
          <w:highlight w:val="none"/>
          <w:vertAlign w:val="subscript"/>
        </w:rPr>
        <w:t>x</w:t>
      </w:r>
      <w:r>
        <w:rPr>
          <w:rFonts w:hint="eastAsia" w:ascii="仿宋_GB2312" w:hAnsi="仿宋_GB2312" w:eastAsia="仿宋_GB2312" w:cs="仿宋_GB2312"/>
          <w:kern w:val="0"/>
          <w:szCs w:val="32"/>
          <w:highlight w:val="none"/>
        </w:rPr>
        <w:t>、O</w:t>
      </w:r>
      <w:r>
        <w:rPr>
          <w:rFonts w:hint="eastAsia" w:ascii="仿宋_GB2312" w:hAnsi="仿宋_GB2312" w:eastAsia="仿宋_GB2312" w:cs="仿宋_GB2312"/>
          <w:kern w:val="0"/>
          <w:szCs w:val="32"/>
          <w:highlight w:val="none"/>
          <w:vertAlign w:val="subscript"/>
        </w:rPr>
        <w:t>3</w:t>
      </w:r>
      <w:r>
        <w:rPr>
          <w:rFonts w:hint="eastAsia" w:ascii="仿宋_GB2312" w:hAnsi="仿宋_GB2312" w:eastAsia="仿宋_GB2312" w:cs="仿宋_GB2312"/>
          <w:kern w:val="0"/>
          <w:szCs w:val="32"/>
          <w:highlight w:val="none"/>
        </w:rPr>
        <w:t>、CO、气象五参数、降水、紫外辐射强度等审核数据一并报送。重污染天气期间按相关要求报送数据。</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eastAsia="仿宋"/>
          <w:kern w:val="0"/>
          <w:szCs w:val="32"/>
        </w:rPr>
      </w:pPr>
      <w:r>
        <w:rPr>
          <w:rFonts w:hint="eastAsia" w:ascii="仿宋_GB2312" w:hAnsi="仿宋_GB2312" w:eastAsia="仿宋_GB2312" w:cs="仿宋_GB2312"/>
          <w:b/>
          <w:kern w:val="0"/>
          <w:szCs w:val="32"/>
        </w:rPr>
        <w:t>手工监测数据：</w:t>
      </w:r>
      <w:r>
        <w:rPr>
          <w:rFonts w:hint="eastAsia" w:ascii="仿宋_GB2312" w:hAnsi="仿宋_GB2312" w:eastAsia="仿宋_GB2312" w:cs="仿宋_GB2312"/>
          <w:kern w:val="0"/>
          <w:szCs w:val="32"/>
        </w:rPr>
        <w:t>当月6日前将上月审核后的监测数据报送至省中心邮箱</w:t>
      </w: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"mailto:报告发送至省中心邮箱lnairnet@126.com" </w:instrText>
      </w:r>
      <w:r>
        <w:rPr>
          <w:rFonts w:hint="eastAsia" w:ascii="仿宋_GB2312" w:hAnsi="仿宋_GB2312" w:eastAsia="仿宋_GB2312" w:cs="仿宋_GB2312"/>
          <w:kern w:val="0"/>
          <w:szCs w:val="32"/>
        </w:rPr>
        <w:fldChar w:fldCharType="separate"/>
      </w:r>
      <w:r>
        <w:rPr>
          <w:rStyle w:val="70"/>
          <w:rFonts w:hint="eastAsia" w:ascii="仿宋_GB2312" w:hAnsi="仿宋_GB2312" w:eastAsia="仿宋_GB2312" w:cs="仿宋_GB2312"/>
          <w:color w:val="auto"/>
          <w:kern w:val="0"/>
          <w:szCs w:val="32"/>
          <w:u w:val="none"/>
        </w:rPr>
        <w:t>dq.ssthjt@</w:t>
      </w:r>
      <w:r>
        <w:rPr>
          <w:rFonts w:hint="eastAsia" w:ascii="仿宋_GB2312" w:hAnsi="仿宋_GB2312" w:eastAsia="仿宋_GB2312" w:cs="仿宋_GB2312"/>
          <w:kern w:val="0"/>
          <w:szCs w:val="32"/>
        </w:rPr>
        <w:fldChar w:fldCharType="end"/>
      </w:r>
      <w:r>
        <w:rPr>
          <w:rStyle w:val="70"/>
          <w:rFonts w:hint="eastAsia" w:ascii="仿宋_GB2312" w:hAnsi="仿宋_GB2312" w:eastAsia="仿宋_GB2312" w:cs="仿宋_GB2312"/>
          <w:color w:val="auto"/>
          <w:kern w:val="0"/>
          <w:szCs w:val="32"/>
          <w:u w:val="none"/>
        </w:rPr>
        <w:t>ln.gov.cn</w:t>
      </w:r>
      <w:r>
        <w:rPr>
          <w:rFonts w:hint="eastAsia" w:ascii="仿宋_GB2312" w:hAnsi="仿宋_GB2312" w:eastAsia="仿宋_GB2312" w:cs="仿宋_GB2312"/>
          <w:kern w:val="0"/>
          <w:szCs w:val="32"/>
        </w:rPr>
        <w:t>，监测数据经省中心审定后，由驻市分支机构于当月10日前上传至总站数据业务平台</w:t>
      </w:r>
      <w:r>
        <w:rPr>
          <w:rFonts w:hint="eastAsia" w:ascii="仿宋_GB2312" w:hAnsi="仿宋_GB2312" w:eastAsia="仿宋_GB2312" w:cs="仿宋_GB2312"/>
          <w:kern w:val="0"/>
          <w:szCs w:val="32"/>
          <w:lang w:eastAsia="zh-CN"/>
        </w:rPr>
        <w:t>，同时转送市生态环境</w:t>
      </w:r>
      <w:r>
        <w:rPr>
          <w:rFonts w:hint="eastAsia" w:ascii="仿宋_GB2312" w:hAnsi="仿宋_GB2312" w:cs="仿宋_GB2312"/>
          <w:kern w:val="0"/>
          <w:szCs w:val="32"/>
          <w:lang w:val="en-US" w:eastAsia="zh-CN"/>
        </w:rPr>
        <w:t>局</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rPr>
        <w:t>数据单位统一为体积浓度（nmol/mol），数据保留小数点后两位。</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b/>
          <w:kern w:val="0"/>
          <w:szCs w:val="32"/>
        </w:rPr>
        <w:t>分析报告要求：</w:t>
      </w:r>
      <w:r>
        <w:rPr>
          <w:rFonts w:hint="eastAsia" w:ascii="仿宋_GB2312" w:hAnsi="仿宋_GB2312" w:eastAsia="仿宋_GB2312" w:cs="仿宋_GB2312"/>
          <w:kern w:val="0"/>
          <w:szCs w:val="32"/>
          <w:highlight w:val="none"/>
        </w:rPr>
        <w:t>当月15日前报上月数据分析报告，报告内容可包含监测工作完成情况、VOCs浓度水平、时间变化、化学组成、O</w:t>
      </w:r>
      <w:r>
        <w:rPr>
          <w:rFonts w:hint="eastAsia" w:ascii="仿宋_GB2312" w:hAnsi="仿宋_GB2312" w:eastAsia="仿宋_GB2312" w:cs="仿宋_GB2312"/>
          <w:kern w:val="0"/>
          <w:szCs w:val="32"/>
          <w:highlight w:val="none"/>
          <w:vertAlign w:val="subscript"/>
        </w:rPr>
        <w:t>3</w:t>
      </w:r>
      <w:r>
        <w:rPr>
          <w:rFonts w:hint="eastAsia" w:ascii="仿宋_GB2312" w:hAnsi="仿宋_GB2312" w:eastAsia="仿宋_GB2312" w:cs="仿宋_GB2312"/>
          <w:kern w:val="0"/>
          <w:szCs w:val="32"/>
          <w:highlight w:val="none"/>
        </w:rPr>
        <w:t>生成潜势分析、O</w:t>
      </w:r>
      <w:r>
        <w:rPr>
          <w:rFonts w:hint="eastAsia" w:ascii="仿宋_GB2312" w:hAnsi="仿宋_GB2312" w:eastAsia="仿宋_GB2312" w:cs="仿宋_GB2312"/>
          <w:kern w:val="0"/>
          <w:szCs w:val="32"/>
          <w:highlight w:val="none"/>
          <w:vertAlign w:val="subscript"/>
        </w:rPr>
        <w:t>3</w:t>
      </w:r>
      <w:r>
        <w:rPr>
          <w:rFonts w:hint="eastAsia" w:ascii="仿宋_GB2312" w:hAnsi="仿宋_GB2312" w:eastAsia="仿宋_GB2312" w:cs="仿宋_GB2312"/>
          <w:kern w:val="0"/>
          <w:szCs w:val="32"/>
          <w:highlight w:val="none"/>
        </w:rPr>
        <w:t>敏感性分析和VOCs来源解析等。</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eastAsia" w:ascii="仿宋_GB2312" w:hAnsi="仿宋_GB2312" w:eastAsia="仿宋_GB2312" w:cs="仿宋_GB2312"/>
          <w:kern w:val="0"/>
          <w:szCs w:val="32"/>
        </w:rPr>
      </w:pPr>
      <w:r>
        <w:rPr>
          <w:rFonts w:hint="eastAsia" w:ascii="仿宋_GB2312" w:hAnsi="仿宋_GB2312" w:eastAsia="仿宋_GB2312" w:cs="仿宋_GB2312"/>
          <w:b/>
          <w:kern w:val="0"/>
          <w:szCs w:val="32"/>
        </w:rPr>
        <w:t>质控报告要求：</w:t>
      </w:r>
      <w:r>
        <w:rPr>
          <w:rFonts w:hint="eastAsia" w:ascii="仿宋_GB2312" w:hAnsi="仿宋_GB2312" w:eastAsia="仿宋_GB2312" w:cs="仿宋_GB2312"/>
          <w:kern w:val="0"/>
          <w:szCs w:val="32"/>
        </w:rPr>
        <w:t>于当月6日前报上月质控报告（含质控数据），包含标气证书以及校准曲线、检出限、连续校准、实验室空白、运输空白、平行样。</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7.质量保证与质量控制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严格按照相关监测标准或技术规定要求开展监测质量保证与质量控制工作。省中心组织开展质量监督检查，接受总站组织开展的质控抽查。</w:t>
      </w:r>
    </w:p>
    <w:p>
      <w:pPr>
        <w:pStyle w:val="3"/>
        <w:keepNext/>
        <w:keepLines/>
        <w:pageBreakBefore w:val="0"/>
        <w:widowControl w:val="0"/>
        <w:numPr>
          <w:ilvl w:val="0"/>
          <w:numId w:val="0"/>
        </w:numPr>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rPr>
      </w:pPr>
      <w:bookmarkStart w:id="81" w:name="_Toc28329"/>
      <w:bookmarkStart w:id="82" w:name="_Toc21798"/>
      <w:bookmarkStart w:id="83" w:name="_Toc25830"/>
      <w:bookmarkStart w:id="84" w:name="_Toc8404"/>
      <w:bookmarkStart w:id="85" w:name="_Toc7279"/>
      <w:bookmarkStart w:id="86" w:name="_Toc10918"/>
      <w:bookmarkStart w:id="87" w:name="_Toc5162"/>
      <w:bookmarkStart w:id="88" w:name="_Toc14148"/>
      <w:r>
        <w:rPr>
          <w:rFonts w:hint="eastAsia" w:ascii="楷体_GB2312" w:hAnsi="楷体_GB2312" w:eastAsia="楷体_GB2312" w:cs="楷体_GB2312"/>
          <w:b w:val="0"/>
          <w:lang w:eastAsia="zh-CN"/>
        </w:rPr>
        <w:t>（</w:t>
      </w:r>
      <w:r>
        <w:rPr>
          <w:rFonts w:hint="eastAsia" w:ascii="楷体_GB2312" w:hAnsi="楷体_GB2312" w:eastAsia="楷体_GB2312" w:cs="楷体_GB2312"/>
          <w:b w:val="0"/>
          <w:lang w:val="en-US" w:eastAsia="zh-CN"/>
        </w:rPr>
        <w:t>六）</w:t>
      </w:r>
      <w:r>
        <w:rPr>
          <w:rFonts w:hint="eastAsia" w:ascii="楷体_GB2312" w:hAnsi="楷体_GB2312" w:eastAsia="楷体_GB2312" w:cs="楷体_GB2312"/>
          <w:b w:val="0"/>
        </w:rPr>
        <w:t>交通</w:t>
      </w:r>
      <w:r>
        <w:rPr>
          <w:rFonts w:hint="eastAsia" w:ascii="楷体_GB2312" w:hAnsi="楷体_GB2312" w:eastAsia="楷体_GB2312" w:cs="楷体_GB2312"/>
          <w:b w:val="0"/>
          <w:lang w:val="en-US" w:eastAsia="zh-CN"/>
        </w:rPr>
        <w:t>污染专项</w:t>
      </w:r>
      <w:r>
        <w:rPr>
          <w:rFonts w:hint="eastAsia" w:ascii="楷体_GB2312" w:hAnsi="楷体_GB2312" w:eastAsia="楷体_GB2312" w:cs="楷体_GB2312"/>
          <w:b w:val="0"/>
        </w:rPr>
        <w:t>监测</w:t>
      </w:r>
      <w:bookmarkEnd w:id="81"/>
    </w:p>
    <w:p>
      <w:pPr>
        <w:keepNext w:val="0"/>
        <w:keepLines w:val="0"/>
        <w:pageBreakBefore w:val="0"/>
        <w:widowControl w:val="0"/>
        <w:kinsoku/>
        <w:wordWrap/>
        <w:overflowPunct/>
        <w:autoSpaceDE/>
        <w:autoSpaceDN/>
        <w:bidi w:val="0"/>
        <w:spacing w:line="600" w:lineRule="exact"/>
        <w:ind w:firstLine="643"/>
        <w:textAlignment w:val="auto"/>
        <w:outlineLvl w:val="9"/>
        <w:rPr>
          <w:rFonts w:eastAsia="仿宋"/>
        </w:rPr>
      </w:pPr>
      <w:r>
        <w:rPr>
          <w:rFonts w:hint="eastAsia" w:ascii="仿宋_GB2312" w:hAnsi="仿宋_GB2312" w:eastAsia="仿宋_GB2312" w:cs="仿宋_GB2312"/>
          <w:b/>
          <w:szCs w:val="30"/>
        </w:rPr>
        <w:t>1.监测范围</w:t>
      </w:r>
    </w:p>
    <w:p>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依据《“十四五”全国细颗粒物与臭氧协同控制监测网络能力建设方案》和省</w:t>
      </w:r>
      <w:r>
        <w:rPr>
          <w:rFonts w:hint="eastAsia" w:ascii="仿宋_GB2312" w:hAnsi="仿宋_GB2312" w:cs="仿宋_GB2312"/>
          <w:lang w:val="en-US" w:eastAsia="zh-CN"/>
        </w:rPr>
        <w:t>生态环境</w:t>
      </w:r>
      <w:r>
        <w:rPr>
          <w:rFonts w:hint="eastAsia" w:ascii="仿宋_GB2312" w:hAnsi="仿宋_GB2312" w:eastAsia="仿宋_GB2312" w:cs="仿宋_GB2312"/>
        </w:rPr>
        <w:t>厅《关于进一步做好细颗粒物和臭氧协同控制监测网络建设的通知》（辽环综函〔2022〕330号），盘锦市应建设交通污染监测站（点）并开展监测。</w:t>
      </w:r>
    </w:p>
    <w:p>
      <w:pPr>
        <w:pageBreakBefore w:val="0"/>
        <w:widowControl w:val="0"/>
        <w:kinsoku/>
        <w:wordWrap/>
        <w:overflowPunct/>
        <w:autoSpaceDE/>
        <w:autoSpaceDN/>
        <w:bidi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2.监测项目</w:t>
      </w:r>
    </w:p>
    <w:p>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交通污染监测点位监测项目见表1-</w:t>
      </w:r>
      <w:r>
        <w:rPr>
          <w:rFonts w:hint="eastAsia" w:ascii="仿宋_GB2312" w:hAnsi="仿宋_GB2312" w:eastAsia="仿宋_GB2312" w:cs="仿宋_GB2312"/>
          <w:lang w:val="en-US" w:eastAsia="zh-CN"/>
        </w:rPr>
        <w:t>9</w:t>
      </w:r>
      <w:r>
        <w:rPr>
          <w:rFonts w:hint="eastAsia" w:ascii="仿宋_GB2312" w:hAnsi="仿宋_GB2312" w:eastAsia="仿宋_GB2312" w:cs="仿宋_GB2312"/>
        </w:rPr>
        <w:t>。</w:t>
      </w:r>
    </w:p>
    <w:p>
      <w:pPr>
        <w:keepNext/>
        <w:keepLines/>
        <w:pageBreakBefore w:val="0"/>
        <w:widowControl w:val="0"/>
        <w:kinsoku/>
        <w:wordWrap/>
        <w:overflowPunct/>
        <w:autoSpaceDE/>
        <w:autoSpaceDN/>
        <w:bidi w:val="0"/>
        <w:adjustRightInd w:val="0"/>
        <w:snapToGrid w:val="0"/>
        <w:spacing w:line="600" w:lineRule="exact"/>
        <w:ind w:firstLine="0" w:firstLineChars="0"/>
        <w:jc w:val="center"/>
        <w:textAlignment w:val="auto"/>
        <w:outlineLvl w:val="9"/>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表1-9  各类交通大气环境自动监测站点监测指标</w:t>
      </w:r>
    </w:p>
    <w:tbl>
      <w:tblPr>
        <w:tblStyle w:val="56"/>
        <w:tblW w:w="8522"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452"/>
        <w:gridCol w:w="3850"/>
        <w:gridCol w:w="322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452" w:type="dxa"/>
            <w:tcBorders>
              <w:top w:val="single" w:color="auto" w:sz="8" w:space="0"/>
              <w:left w:val="nil"/>
              <w:bottom w:val="single" w:color="auto" w:sz="8" w:space="0"/>
              <w:right w:val="single" w:color="000000" w:sz="4" w:space="0"/>
            </w:tcBorders>
            <w:vAlign w:val="center"/>
          </w:tcPr>
          <w:p>
            <w:pPr>
              <w:topLinePunct/>
              <w:spacing w:line="240" w:lineRule="auto"/>
              <w:ind w:firstLine="0" w:firstLineChars="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类别</w:t>
            </w:r>
          </w:p>
        </w:tc>
        <w:tc>
          <w:tcPr>
            <w:tcW w:w="3850" w:type="dxa"/>
            <w:tcBorders>
              <w:top w:val="single" w:color="auto" w:sz="8" w:space="0"/>
              <w:left w:val="nil"/>
              <w:bottom w:val="single" w:color="auto" w:sz="8" w:space="0"/>
              <w:right w:val="single" w:color="000000" w:sz="4" w:space="0"/>
            </w:tcBorders>
            <w:vAlign w:val="center"/>
          </w:tcPr>
          <w:p>
            <w:pPr>
              <w:topLinePunct/>
              <w:spacing w:line="240" w:lineRule="auto"/>
              <w:ind w:firstLine="0" w:firstLineChars="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必测项目</w:t>
            </w:r>
          </w:p>
        </w:tc>
        <w:tc>
          <w:tcPr>
            <w:tcW w:w="3220" w:type="dxa"/>
            <w:tcBorders>
              <w:top w:val="single" w:color="auto" w:sz="8" w:space="0"/>
              <w:left w:val="nil"/>
              <w:bottom w:val="single" w:color="auto" w:sz="8" w:space="0"/>
              <w:right w:val="nil"/>
            </w:tcBorders>
            <w:vAlign w:val="center"/>
          </w:tcPr>
          <w:p>
            <w:pPr>
              <w:topLinePunct/>
              <w:spacing w:line="240" w:lineRule="auto"/>
              <w:ind w:firstLine="0" w:firstLineChars="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选测项目</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52" w:type="dxa"/>
            <w:tcBorders>
              <w:top w:val="single" w:color="auto" w:sz="8" w:space="0"/>
              <w:left w:val="nil"/>
              <w:bottom w:val="single" w:color="000000" w:sz="4" w:space="0"/>
              <w:right w:val="single" w:color="000000" w:sz="4" w:space="0"/>
            </w:tcBorders>
            <w:vAlign w:val="center"/>
          </w:tcPr>
          <w:p>
            <w:pPr>
              <w:topLinePunct/>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城市道路点</w:t>
            </w:r>
          </w:p>
        </w:tc>
        <w:tc>
          <w:tcPr>
            <w:tcW w:w="3850" w:type="dxa"/>
            <w:tcBorders>
              <w:top w:val="single" w:color="auto" w:sz="8" w:space="0"/>
              <w:left w:val="nil"/>
              <w:bottom w:val="single" w:color="000000" w:sz="4" w:space="0"/>
              <w:right w:val="single" w:color="000000" w:sz="4" w:space="0"/>
            </w:tcBorders>
            <w:vAlign w:val="center"/>
          </w:tcPr>
          <w:p>
            <w:pPr>
              <w:topLinePunct/>
              <w:spacing w:line="240" w:lineRule="auto"/>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NO-NO</w:t>
            </w:r>
            <w:r>
              <w:rPr>
                <w:rFonts w:hint="eastAsia" w:ascii="仿宋_GB2312" w:hAnsi="仿宋_GB2312" w:eastAsia="仿宋_GB2312" w:cs="仿宋_GB2312"/>
                <w:sz w:val="24"/>
                <w:szCs w:val="24"/>
                <w:highlight w:val="none"/>
                <w:vertAlign w:val="subscript"/>
              </w:rPr>
              <w:t>2</w:t>
            </w:r>
            <w:r>
              <w:rPr>
                <w:rFonts w:hint="eastAsia" w:ascii="仿宋_GB2312" w:hAnsi="仿宋_GB2312" w:eastAsia="仿宋_GB2312" w:cs="仿宋_GB2312"/>
                <w:sz w:val="24"/>
                <w:szCs w:val="24"/>
                <w:highlight w:val="none"/>
              </w:rPr>
              <w:t>-NOx、CO、PM</w:t>
            </w:r>
            <w:r>
              <w:rPr>
                <w:rFonts w:hint="eastAsia" w:ascii="仿宋_GB2312" w:hAnsi="仿宋_GB2312" w:eastAsia="仿宋_GB2312" w:cs="仿宋_GB2312"/>
                <w:sz w:val="24"/>
                <w:szCs w:val="24"/>
                <w:highlight w:val="none"/>
                <w:vertAlign w:val="subscript"/>
              </w:rPr>
              <w:t>10</w:t>
            </w:r>
            <w:r>
              <w:rPr>
                <w:rFonts w:hint="eastAsia" w:ascii="仿宋_GB2312" w:hAnsi="仿宋_GB2312" w:eastAsia="仿宋_GB2312" w:cs="仿宋_GB2312"/>
                <w:sz w:val="24"/>
                <w:szCs w:val="24"/>
                <w:highlight w:val="none"/>
              </w:rPr>
              <w:t>、PM</w:t>
            </w:r>
            <w:r>
              <w:rPr>
                <w:rFonts w:hint="eastAsia" w:ascii="仿宋_GB2312" w:hAnsi="仿宋_GB2312" w:eastAsia="仿宋_GB2312" w:cs="仿宋_GB2312"/>
                <w:sz w:val="24"/>
                <w:szCs w:val="24"/>
                <w:highlight w:val="none"/>
                <w:vertAlign w:val="subscript"/>
              </w:rPr>
              <w:t>2.5</w:t>
            </w:r>
            <w:r>
              <w:rPr>
                <w:rFonts w:hint="eastAsia" w:ascii="仿宋_GB2312" w:hAnsi="仿宋_GB2312" w:eastAsia="仿宋_GB2312" w:cs="仿宋_GB2312"/>
                <w:sz w:val="24"/>
                <w:szCs w:val="24"/>
                <w:highlight w:val="none"/>
              </w:rPr>
              <w:t>、NMHC、气象五参数、汽车流量等其他交通污染相关因子</w:t>
            </w:r>
          </w:p>
        </w:tc>
        <w:tc>
          <w:tcPr>
            <w:tcW w:w="3220" w:type="dxa"/>
            <w:tcBorders>
              <w:top w:val="single" w:color="auto" w:sz="8" w:space="0"/>
              <w:left w:val="nil"/>
              <w:bottom w:val="single" w:color="000000" w:sz="4" w:space="0"/>
              <w:right w:val="nil"/>
            </w:tcBorders>
            <w:vAlign w:val="center"/>
          </w:tcPr>
          <w:p>
            <w:pPr>
              <w:topLinePunct/>
              <w:spacing w:line="240" w:lineRule="auto"/>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VOCs（至少PAMS 57种组分），黑碳（BC），每个城市至少一个城市道路点选测VOCs</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52" w:type="dxa"/>
            <w:tcBorders>
              <w:top w:val="single" w:color="auto" w:sz="8" w:space="0"/>
              <w:left w:val="nil"/>
              <w:bottom w:val="single" w:color="000000" w:sz="4" w:space="0"/>
              <w:right w:val="single" w:color="000000" w:sz="4" w:space="0"/>
            </w:tcBorders>
            <w:vAlign w:val="center"/>
          </w:tcPr>
          <w:p>
            <w:pPr>
              <w:topLinePunct/>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公路点、物流货场点</w:t>
            </w:r>
          </w:p>
        </w:tc>
        <w:tc>
          <w:tcPr>
            <w:tcW w:w="3850" w:type="dxa"/>
            <w:tcBorders>
              <w:top w:val="single" w:color="auto" w:sz="8" w:space="0"/>
              <w:left w:val="nil"/>
              <w:bottom w:val="single" w:color="000000" w:sz="4" w:space="0"/>
              <w:right w:val="single" w:color="000000" w:sz="4" w:space="0"/>
            </w:tcBorders>
            <w:vAlign w:val="center"/>
          </w:tcPr>
          <w:p>
            <w:pPr>
              <w:topLinePunct/>
              <w:spacing w:line="240" w:lineRule="auto"/>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NO-NO</w:t>
            </w:r>
            <w:r>
              <w:rPr>
                <w:rFonts w:hint="eastAsia" w:ascii="仿宋_GB2312" w:hAnsi="仿宋_GB2312" w:eastAsia="仿宋_GB2312" w:cs="仿宋_GB2312"/>
                <w:sz w:val="24"/>
                <w:szCs w:val="24"/>
                <w:highlight w:val="none"/>
                <w:vertAlign w:val="subscript"/>
              </w:rPr>
              <w:t>2</w:t>
            </w:r>
            <w:r>
              <w:rPr>
                <w:rFonts w:hint="eastAsia" w:ascii="仿宋_GB2312" w:hAnsi="仿宋_GB2312" w:eastAsia="仿宋_GB2312" w:cs="仿宋_GB2312"/>
                <w:sz w:val="24"/>
                <w:szCs w:val="24"/>
                <w:highlight w:val="none"/>
              </w:rPr>
              <w:t>-NOx、CO、PM</w:t>
            </w:r>
            <w:r>
              <w:rPr>
                <w:rFonts w:hint="eastAsia" w:ascii="仿宋_GB2312" w:hAnsi="仿宋_GB2312" w:eastAsia="仿宋_GB2312" w:cs="仿宋_GB2312"/>
                <w:sz w:val="24"/>
                <w:szCs w:val="24"/>
                <w:highlight w:val="none"/>
                <w:vertAlign w:val="subscript"/>
              </w:rPr>
              <w:t>10</w:t>
            </w:r>
            <w:r>
              <w:rPr>
                <w:rFonts w:hint="eastAsia" w:ascii="仿宋_GB2312" w:hAnsi="仿宋_GB2312" w:eastAsia="仿宋_GB2312" w:cs="仿宋_GB2312"/>
                <w:sz w:val="24"/>
                <w:szCs w:val="24"/>
                <w:highlight w:val="none"/>
              </w:rPr>
              <w:t>、PM</w:t>
            </w:r>
            <w:r>
              <w:rPr>
                <w:rFonts w:hint="eastAsia" w:ascii="仿宋_GB2312" w:hAnsi="仿宋_GB2312" w:eastAsia="仿宋_GB2312" w:cs="仿宋_GB2312"/>
                <w:sz w:val="24"/>
                <w:szCs w:val="24"/>
                <w:highlight w:val="none"/>
                <w:vertAlign w:val="subscript"/>
              </w:rPr>
              <w:t>2.5</w:t>
            </w:r>
            <w:r>
              <w:rPr>
                <w:rFonts w:hint="eastAsia" w:ascii="仿宋_GB2312" w:hAnsi="仿宋_GB2312" w:eastAsia="仿宋_GB2312" w:cs="仿宋_GB2312"/>
                <w:sz w:val="24"/>
                <w:szCs w:val="24"/>
                <w:highlight w:val="none"/>
              </w:rPr>
              <w:t>、NMHC、气象五参数、BC、汽车流量等其他交通污染相关因子</w:t>
            </w:r>
          </w:p>
        </w:tc>
        <w:tc>
          <w:tcPr>
            <w:tcW w:w="3220" w:type="dxa"/>
            <w:tcBorders>
              <w:top w:val="single" w:color="auto" w:sz="8" w:space="0"/>
              <w:left w:val="nil"/>
              <w:bottom w:val="single" w:color="000000" w:sz="4" w:space="0"/>
              <w:right w:val="nil"/>
            </w:tcBorders>
            <w:vAlign w:val="center"/>
          </w:tcPr>
          <w:p>
            <w:pPr>
              <w:topLinePunct/>
              <w:spacing w:line="240" w:lineRule="auto"/>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VOCs（至少PAMS 57种组分）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52" w:type="dxa"/>
            <w:tcBorders>
              <w:top w:val="single" w:color="000000" w:sz="4" w:space="0"/>
              <w:left w:val="nil"/>
              <w:bottom w:val="single" w:color="000000" w:sz="4" w:space="0"/>
              <w:right w:val="single" w:color="000000" w:sz="4" w:space="0"/>
            </w:tcBorders>
            <w:vAlign w:val="center"/>
          </w:tcPr>
          <w:p>
            <w:pPr>
              <w:topLinePunct/>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港口点</w:t>
            </w:r>
          </w:p>
        </w:tc>
        <w:tc>
          <w:tcPr>
            <w:tcW w:w="3850" w:type="dxa"/>
            <w:tcBorders>
              <w:top w:val="single" w:color="000000" w:sz="4" w:space="0"/>
              <w:left w:val="nil"/>
              <w:bottom w:val="single" w:color="000000" w:sz="4" w:space="0"/>
              <w:right w:val="single" w:color="000000" w:sz="4" w:space="0"/>
            </w:tcBorders>
            <w:vAlign w:val="center"/>
          </w:tcPr>
          <w:p>
            <w:pPr>
              <w:topLinePunct/>
              <w:spacing w:line="240" w:lineRule="auto"/>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NO-NO</w:t>
            </w:r>
            <w:r>
              <w:rPr>
                <w:rFonts w:hint="eastAsia" w:ascii="仿宋_GB2312" w:hAnsi="仿宋_GB2312" w:eastAsia="仿宋_GB2312" w:cs="仿宋_GB2312"/>
                <w:sz w:val="24"/>
                <w:szCs w:val="24"/>
                <w:highlight w:val="none"/>
                <w:vertAlign w:val="subscript"/>
              </w:rPr>
              <w:t>2</w:t>
            </w:r>
            <w:r>
              <w:rPr>
                <w:rFonts w:hint="eastAsia" w:ascii="仿宋_GB2312" w:hAnsi="仿宋_GB2312" w:eastAsia="仿宋_GB2312" w:cs="仿宋_GB2312"/>
                <w:sz w:val="24"/>
                <w:szCs w:val="24"/>
                <w:highlight w:val="none"/>
              </w:rPr>
              <w:t>-NOx、CO、SO</w:t>
            </w:r>
            <w:r>
              <w:rPr>
                <w:rFonts w:hint="eastAsia" w:ascii="仿宋_GB2312" w:hAnsi="仿宋_GB2312" w:eastAsia="仿宋_GB2312" w:cs="仿宋_GB2312"/>
                <w:sz w:val="24"/>
                <w:szCs w:val="24"/>
                <w:highlight w:val="none"/>
                <w:vertAlign w:val="subscript"/>
              </w:rPr>
              <w:t>2</w:t>
            </w:r>
            <w:r>
              <w:rPr>
                <w:rFonts w:hint="eastAsia" w:ascii="仿宋_GB2312" w:hAnsi="仿宋_GB2312" w:eastAsia="仿宋_GB2312" w:cs="仿宋_GB2312"/>
                <w:sz w:val="24"/>
                <w:szCs w:val="24"/>
                <w:highlight w:val="none"/>
              </w:rPr>
              <w:t>、PM</w:t>
            </w:r>
            <w:r>
              <w:rPr>
                <w:rFonts w:hint="eastAsia" w:ascii="仿宋_GB2312" w:hAnsi="仿宋_GB2312" w:eastAsia="仿宋_GB2312" w:cs="仿宋_GB2312"/>
                <w:sz w:val="24"/>
                <w:szCs w:val="24"/>
                <w:highlight w:val="none"/>
                <w:vertAlign w:val="subscript"/>
              </w:rPr>
              <w:t>2.5</w:t>
            </w:r>
            <w:r>
              <w:rPr>
                <w:rFonts w:hint="eastAsia" w:ascii="仿宋_GB2312" w:hAnsi="仿宋_GB2312" w:eastAsia="仿宋_GB2312" w:cs="仿宋_GB2312"/>
                <w:sz w:val="24"/>
                <w:szCs w:val="24"/>
                <w:highlight w:val="none"/>
              </w:rPr>
              <w:t>、NMHC、BC、气象五参数</w:t>
            </w:r>
          </w:p>
        </w:tc>
        <w:tc>
          <w:tcPr>
            <w:tcW w:w="3220" w:type="dxa"/>
            <w:tcBorders>
              <w:top w:val="single" w:color="000000" w:sz="4" w:space="0"/>
              <w:left w:val="nil"/>
              <w:bottom w:val="single" w:color="000000" w:sz="4" w:space="0"/>
              <w:right w:val="nil"/>
            </w:tcBorders>
            <w:vAlign w:val="center"/>
          </w:tcPr>
          <w:p>
            <w:pPr>
              <w:topLinePunct/>
              <w:spacing w:line="240" w:lineRule="auto"/>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VOCs（至少PAMS 57种组分）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52" w:type="dxa"/>
            <w:tcBorders>
              <w:top w:val="single" w:color="000000" w:sz="4" w:space="0"/>
              <w:left w:val="nil"/>
              <w:bottom w:val="single" w:color="auto" w:sz="8" w:space="0"/>
              <w:right w:val="single" w:color="000000" w:sz="4" w:space="0"/>
            </w:tcBorders>
            <w:vAlign w:val="center"/>
          </w:tcPr>
          <w:p>
            <w:pPr>
              <w:topLinePunct/>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机场点</w:t>
            </w:r>
          </w:p>
        </w:tc>
        <w:tc>
          <w:tcPr>
            <w:tcW w:w="3850" w:type="dxa"/>
            <w:tcBorders>
              <w:top w:val="single" w:color="000000" w:sz="4" w:space="0"/>
              <w:left w:val="nil"/>
              <w:bottom w:val="single" w:color="auto" w:sz="8" w:space="0"/>
              <w:right w:val="single" w:color="000000" w:sz="4" w:space="0"/>
            </w:tcBorders>
            <w:vAlign w:val="center"/>
          </w:tcPr>
          <w:p>
            <w:pPr>
              <w:topLinePunct/>
              <w:spacing w:line="240" w:lineRule="auto"/>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NO-NO</w:t>
            </w:r>
            <w:r>
              <w:rPr>
                <w:rFonts w:hint="eastAsia" w:ascii="仿宋_GB2312" w:hAnsi="仿宋_GB2312" w:eastAsia="仿宋_GB2312" w:cs="仿宋_GB2312"/>
                <w:sz w:val="24"/>
                <w:szCs w:val="24"/>
                <w:highlight w:val="none"/>
                <w:vertAlign w:val="subscript"/>
              </w:rPr>
              <w:t>2</w:t>
            </w:r>
            <w:r>
              <w:rPr>
                <w:rFonts w:hint="eastAsia" w:ascii="仿宋_GB2312" w:hAnsi="仿宋_GB2312" w:eastAsia="仿宋_GB2312" w:cs="仿宋_GB2312"/>
                <w:sz w:val="24"/>
                <w:szCs w:val="24"/>
                <w:highlight w:val="none"/>
              </w:rPr>
              <w:t>-NOx、CO、O</w:t>
            </w:r>
            <w:r>
              <w:rPr>
                <w:rFonts w:hint="eastAsia" w:ascii="仿宋_GB2312" w:hAnsi="仿宋_GB2312" w:eastAsia="仿宋_GB2312" w:cs="仿宋_GB2312"/>
                <w:sz w:val="24"/>
                <w:szCs w:val="24"/>
                <w:highlight w:val="none"/>
                <w:vertAlign w:val="subscript"/>
              </w:rPr>
              <w:t>3</w:t>
            </w:r>
            <w:r>
              <w:rPr>
                <w:rFonts w:hint="eastAsia" w:ascii="仿宋_GB2312" w:hAnsi="仿宋_GB2312" w:eastAsia="仿宋_GB2312" w:cs="仿宋_GB2312"/>
                <w:sz w:val="24"/>
                <w:szCs w:val="24"/>
                <w:highlight w:val="none"/>
              </w:rPr>
              <w:t>、SO</w:t>
            </w:r>
            <w:r>
              <w:rPr>
                <w:rFonts w:hint="eastAsia" w:ascii="仿宋_GB2312" w:hAnsi="仿宋_GB2312" w:eastAsia="仿宋_GB2312" w:cs="仿宋_GB2312"/>
                <w:sz w:val="24"/>
                <w:szCs w:val="24"/>
                <w:highlight w:val="none"/>
                <w:vertAlign w:val="subscript"/>
              </w:rPr>
              <w:t>2</w:t>
            </w:r>
            <w:r>
              <w:rPr>
                <w:rFonts w:hint="eastAsia" w:ascii="仿宋_GB2312" w:hAnsi="仿宋_GB2312" w:eastAsia="仿宋_GB2312" w:cs="仿宋_GB2312"/>
                <w:sz w:val="24"/>
                <w:szCs w:val="24"/>
                <w:highlight w:val="none"/>
              </w:rPr>
              <w:t>、PM</w:t>
            </w:r>
            <w:r>
              <w:rPr>
                <w:rFonts w:hint="eastAsia" w:ascii="仿宋_GB2312" w:hAnsi="仿宋_GB2312" w:eastAsia="仿宋_GB2312" w:cs="仿宋_GB2312"/>
                <w:sz w:val="24"/>
                <w:szCs w:val="24"/>
                <w:highlight w:val="none"/>
                <w:vertAlign w:val="subscript"/>
              </w:rPr>
              <w:t>10</w:t>
            </w:r>
            <w:r>
              <w:rPr>
                <w:rFonts w:hint="eastAsia" w:ascii="仿宋_GB2312" w:hAnsi="仿宋_GB2312" w:eastAsia="仿宋_GB2312" w:cs="仿宋_GB2312"/>
                <w:sz w:val="24"/>
                <w:szCs w:val="24"/>
                <w:highlight w:val="none"/>
              </w:rPr>
              <w:t>、PM</w:t>
            </w:r>
            <w:r>
              <w:rPr>
                <w:rFonts w:hint="eastAsia" w:ascii="仿宋_GB2312" w:hAnsi="仿宋_GB2312" w:eastAsia="仿宋_GB2312" w:cs="仿宋_GB2312"/>
                <w:sz w:val="24"/>
                <w:szCs w:val="24"/>
                <w:highlight w:val="none"/>
                <w:vertAlign w:val="subscript"/>
              </w:rPr>
              <w:t>2.5</w:t>
            </w:r>
            <w:r>
              <w:rPr>
                <w:rFonts w:hint="eastAsia" w:ascii="仿宋_GB2312" w:hAnsi="仿宋_GB2312" w:eastAsia="仿宋_GB2312" w:cs="仿宋_GB2312"/>
                <w:sz w:val="24"/>
                <w:szCs w:val="24"/>
                <w:highlight w:val="none"/>
              </w:rPr>
              <w:t>、NMHC、气象五参数</w:t>
            </w:r>
          </w:p>
        </w:tc>
        <w:tc>
          <w:tcPr>
            <w:tcW w:w="3220" w:type="dxa"/>
            <w:tcBorders>
              <w:top w:val="single" w:color="000000" w:sz="4" w:space="0"/>
              <w:left w:val="nil"/>
              <w:bottom w:val="single" w:color="auto" w:sz="8" w:space="0"/>
              <w:right w:val="nil"/>
            </w:tcBorders>
            <w:vAlign w:val="center"/>
          </w:tcPr>
          <w:p>
            <w:pPr>
              <w:topLinePunct/>
              <w:spacing w:line="240" w:lineRule="auto"/>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BC，VOCs（至少PAMS 57种组分）</w:t>
            </w:r>
          </w:p>
        </w:tc>
      </w:tr>
    </w:tbl>
    <w:p>
      <w:pPr>
        <w:keepNext w:val="0"/>
        <w:keepLines w:val="0"/>
        <w:pageBreakBefore w:val="0"/>
        <w:widowControl w:val="0"/>
        <w:kinsoku/>
        <w:wordWrap/>
        <w:overflowPunct/>
        <w:autoSpaceDE/>
        <w:autoSpaceDN/>
        <w:bidi w:val="0"/>
        <w:spacing w:line="600" w:lineRule="exact"/>
        <w:ind w:left="0" w:leftChars="0" w:firstLine="643" w:firstLineChars="200"/>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3.监测方式及频次</w:t>
      </w:r>
    </w:p>
    <w:p>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24小时连续自动监测。</w:t>
      </w:r>
    </w:p>
    <w:p>
      <w:pPr>
        <w:keepNext w:val="0"/>
        <w:keepLines w:val="0"/>
        <w:pageBreakBefore w:val="0"/>
        <w:widowControl w:val="0"/>
        <w:kinsoku/>
        <w:wordWrap/>
        <w:overflowPunct/>
        <w:autoSpaceDE/>
        <w:autoSpaceDN/>
        <w:bidi w:val="0"/>
        <w:spacing w:line="600" w:lineRule="exact"/>
        <w:ind w:firstLine="643"/>
        <w:textAlignment w:val="auto"/>
        <w:outlineLvl w:val="9"/>
        <w:rPr>
          <w:rFonts w:eastAsia="仿宋"/>
        </w:rPr>
      </w:pPr>
      <w:r>
        <w:rPr>
          <w:rFonts w:hint="eastAsia" w:ascii="仿宋_GB2312" w:hAnsi="仿宋_GB2312" w:eastAsia="仿宋_GB2312" w:cs="仿宋_GB2312"/>
          <w:b/>
          <w:szCs w:val="30"/>
        </w:rPr>
        <w:t>4.工作方式</w:t>
      </w:r>
    </w:p>
    <w:p>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市生态环境</w:t>
      </w:r>
      <w:r>
        <w:rPr>
          <w:rFonts w:hint="eastAsia" w:ascii="仿宋_GB2312" w:hAnsi="仿宋_GB2312" w:cs="仿宋_GB2312"/>
          <w:lang w:val="en-US" w:eastAsia="zh-CN"/>
        </w:rPr>
        <w:t>局</w:t>
      </w:r>
      <w:r>
        <w:rPr>
          <w:rFonts w:hint="eastAsia" w:ascii="仿宋_GB2312" w:hAnsi="仿宋_GB2312" w:eastAsia="仿宋_GB2312" w:cs="仿宋_GB2312"/>
        </w:rPr>
        <w:t>负责组织开展交通污染监测能力建设并实施监测，数据与省厅联网并实时上传。</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责任主体：</w:t>
      </w:r>
      <w:r>
        <w:rPr>
          <w:rFonts w:hint="eastAsia" w:ascii="仿宋_GB2312" w:hAnsi="仿宋_GB2312" w:cs="仿宋_GB2312"/>
          <w:kern w:val="0"/>
          <w:szCs w:val="32"/>
          <w:lang w:eastAsia="zh-CN"/>
        </w:rPr>
        <w:t>市生态环境局</w:t>
      </w:r>
      <w:r>
        <w:rPr>
          <w:rFonts w:hint="eastAsia" w:ascii="仿宋_GB2312" w:hAnsi="仿宋_GB2312" w:eastAsia="仿宋_GB2312" w:cs="仿宋_GB2312"/>
          <w:kern w:val="0"/>
          <w:szCs w:val="32"/>
        </w:rPr>
        <w:t>大气科</w:t>
      </w:r>
      <w:r>
        <w:rPr>
          <w:rFonts w:hint="eastAsia" w:ascii="仿宋_GB2312" w:hAnsi="仿宋_GB2312" w:cs="仿宋_GB2312"/>
          <w:kern w:val="0"/>
          <w:szCs w:val="32"/>
          <w:lang w:eastAsia="zh-CN"/>
        </w:rPr>
        <w:t>。</w:t>
      </w:r>
    </w:p>
    <w:p>
      <w:pPr>
        <w:pStyle w:val="3"/>
        <w:keepNext/>
        <w:keepLines/>
        <w:pageBreakBefore w:val="0"/>
        <w:widowControl w:val="0"/>
        <w:numPr>
          <w:ilvl w:val="0"/>
          <w:numId w:val="0"/>
        </w:numPr>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eastAsia="黑体"/>
          <w:b w:val="0"/>
          <w:highlight w:val="none"/>
        </w:rPr>
      </w:pPr>
      <w:bookmarkStart w:id="89" w:name="_Toc27903"/>
      <w:r>
        <w:rPr>
          <w:rFonts w:hint="eastAsia" w:ascii="楷体_GB2312" w:hAnsi="楷体_GB2312" w:eastAsia="楷体_GB2312" w:cs="楷体_GB2312"/>
          <w:b w:val="0"/>
          <w:lang w:eastAsia="zh-CN"/>
        </w:rPr>
        <w:t>（</w:t>
      </w:r>
      <w:r>
        <w:rPr>
          <w:rFonts w:hint="eastAsia" w:ascii="楷体_GB2312" w:hAnsi="楷体_GB2312" w:eastAsia="楷体_GB2312" w:cs="楷体_GB2312"/>
          <w:b w:val="0"/>
          <w:lang w:val="en-US" w:eastAsia="zh-CN"/>
        </w:rPr>
        <w:t>七）</w:t>
      </w:r>
      <w:bookmarkStart w:id="90" w:name="_Toc2139317834"/>
      <w:bookmarkStart w:id="91" w:name="_Toc1566752173"/>
      <w:bookmarkStart w:id="92" w:name="_Toc58724534"/>
      <w:bookmarkStart w:id="93" w:name="_Toc67579070"/>
      <w:bookmarkStart w:id="94" w:name="_Toc19516"/>
      <w:bookmarkStart w:id="95" w:name="_Toc5281"/>
      <w:r>
        <w:rPr>
          <w:rFonts w:hint="eastAsia" w:ascii="楷体_GB2312" w:hAnsi="楷体_GB2312" w:eastAsia="楷体_GB2312" w:cs="楷体_GB2312"/>
          <w:b w:val="0"/>
          <w:lang w:val="en-US" w:eastAsia="zh-CN"/>
        </w:rPr>
        <w:t>工业园区专项监测</w:t>
      </w:r>
      <w:bookmarkEnd w:id="89"/>
      <w:bookmarkEnd w:id="90"/>
      <w:bookmarkEnd w:id="91"/>
      <w:bookmarkEnd w:id="92"/>
      <w:bookmarkEnd w:id="93"/>
      <w:bookmarkEnd w:id="94"/>
      <w:bookmarkEnd w:id="95"/>
    </w:p>
    <w:p>
      <w:pPr>
        <w:pageBreakBefore w:val="0"/>
        <w:widowControl w:val="0"/>
        <w:kinsoku/>
        <w:wordWrap/>
        <w:overflowPunct/>
        <w:autoSpaceDE/>
        <w:autoSpaceDN/>
        <w:bidi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1.监测范围</w:t>
      </w:r>
    </w:p>
    <w:p>
      <w:pPr>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十四五”大气污染防治重点区域，应对石化、化工、工业涂装、包装印刷等涉VOCs的产业集群和工业园区，以及氮氧化物排放量较大的产业集群和工业园区开展监测，各市根据细颗粒物和臭氧协同控制的需求确定具体范围。</w:t>
      </w:r>
    </w:p>
    <w:p>
      <w:pPr>
        <w:pageBreakBefore w:val="0"/>
        <w:widowControl w:val="0"/>
        <w:kinsoku/>
        <w:wordWrap/>
        <w:overflowPunct/>
        <w:autoSpaceDE/>
        <w:autoSpaceDN/>
        <w:bidi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2.监测项目</w:t>
      </w:r>
    </w:p>
    <w:p>
      <w:pPr>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常规监测项目为PM</w:t>
      </w:r>
      <w:r>
        <w:rPr>
          <w:rFonts w:hint="eastAsia" w:ascii="仿宋_GB2312" w:hAnsi="仿宋_GB2312" w:eastAsia="仿宋_GB2312" w:cs="仿宋_GB2312"/>
          <w:highlight w:val="none"/>
          <w:vertAlign w:val="subscript"/>
        </w:rPr>
        <w:t>10</w:t>
      </w:r>
      <w:r>
        <w:rPr>
          <w:rFonts w:hint="eastAsia" w:ascii="仿宋_GB2312" w:hAnsi="仿宋_GB2312" w:eastAsia="仿宋_GB2312" w:cs="仿宋_GB2312"/>
          <w:highlight w:val="none"/>
        </w:rPr>
        <w:t>、PM</w:t>
      </w:r>
      <w:r>
        <w:rPr>
          <w:rFonts w:hint="eastAsia" w:ascii="仿宋_GB2312" w:hAnsi="仿宋_GB2312" w:eastAsia="仿宋_GB2312" w:cs="仿宋_GB2312"/>
          <w:highlight w:val="none"/>
          <w:vertAlign w:val="subscript"/>
        </w:rPr>
        <w:t>2.5</w:t>
      </w:r>
      <w:r>
        <w:rPr>
          <w:rFonts w:hint="eastAsia" w:ascii="仿宋_GB2312" w:hAnsi="仿宋_GB2312" w:eastAsia="仿宋_GB2312" w:cs="仿宋_GB2312"/>
          <w:highlight w:val="none"/>
        </w:rPr>
        <w:t>、SO</w:t>
      </w:r>
      <w:r>
        <w:rPr>
          <w:rFonts w:hint="eastAsia" w:ascii="仿宋_GB2312" w:hAnsi="仿宋_GB2312" w:eastAsia="仿宋_GB2312" w:cs="仿宋_GB2312"/>
          <w:highlight w:val="none"/>
          <w:vertAlign w:val="subscript"/>
        </w:rPr>
        <w:t>2</w:t>
      </w:r>
      <w:r>
        <w:rPr>
          <w:rFonts w:hint="eastAsia" w:ascii="仿宋_GB2312" w:hAnsi="仿宋_GB2312" w:eastAsia="仿宋_GB2312" w:cs="仿宋_GB2312"/>
          <w:highlight w:val="none"/>
        </w:rPr>
        <w:t>、NO</w:t>
      </w:r>
      <w:r>
        <w:rPr>
          <w:rFonts w:hint="eastAsia" w:ascii="仿宋_GB2312" w:hAnsi="仿宋_GB2312" w:eastAsia="仿宋_GB2312" w:cs="仿宋_GB2312"/>
          <w:highlight w:val="none"/>
          <w:vertAlign w:val="subscript"/>
        </w:rPr>
        <w:t>x</w:t>
      </w:r>
      <w:r>
        <w:rPr>
          <w:rFonts w:hint="eastAsia" w:ascii="仿宋_GB2312" w:hAnsi="仿宋_GB2312" w:eastAsia="仿宋_GB2312" w:cs="仿宋_GB2312"/>
          <w:highlight w:val="none"/>
        </w:rPr>
        <w:t>、CO、O</w:t>
      </w:r>
      <w:r>
        <w:rPr>
          <w:rFonts w:hint="eastAsia" w:ascii="仿宋_GB2312" w:hAnsi="仿宋_GB2312" w:eastAsia="仿宋_GB2312" w:cs="仿宋_GB2312"/>
          <w:highlight w:val="none"/>
          <w:vertAlign w:val="subscript"/>
        </w:rPr>
        <w:t>3</w:t>
      </w:r>
      <w:r>
        <w:rPr>
          <w:rFonts w:hint="eastAsia" w:ascii="仿宋_GB2312" w:hAnsi="仿宋_GB2312" w:eastAsia="仿宋_GB2312" w:cs="仿宋_GB2312"/>
          <w:highlight w:val="none"/>
        </w:rPr>
        <w:t>，可根据管理需求适当调整，涉VOCs园区增加挥发性有机物监测项目；选测项目为有毒有害特征污染物等。</w:t>
      </w:r>
    </w:p>
    <w:p>
      <w:pPr>
        <w:pageBreakBefore w:val="0"/>
        <w:widowControl w:val="0"/>
        <w:kinsoku/>
        <w:wordWrap/>
        <w:overflowPunct/>
        <w:autoSpaceDE/>
        <w:autoSpaceDN/>
        <w:bidi w:val="0"/>
        <w:spacing w:line="600" w:lineRule="exact"/>
        <w:ind w:firstLine="643"/>
        <w:textAlignment w:val="auto"/>
        <w:outlineLvl w:val="9"/>
        <w:rPr>
          <w:rFonts w:hint="eastAsia" w:ascii="仿宋_GB2312" w:hAnsi="仿宋_GB2312" w:eastAsia="仿宋_GB2312" w:cs="仿宋_GB2312"/>
          <w:b/>
          <w:szCs w:val="30"/>
          <w:highlight w:val="none"/>
        </w:rPr>
      </w:pPr>
      <w:r>
        <w:rPr>
          <w:rFonts w:hint="eastAsia" w:ascii="仿宋_GB2312" w:hAnsi="仿宋_GB2312" w:eastAsia="仿宋_GB2312" w:cs="仿宋_GB2312"/>
          <w:b/>
          <w:szCs w:val="30"/>
          <w:highlight w:val="none"/>
        </w:rPr>
        <w:t>3.监测方式及频次</w:t>
      </w:r>
    </w:p>
    <w:p>
      <w:pPr>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根据能力建设进度及细颗粒物和臭氧协同控制需求等情况，确定监测频次。</w:t>
      </w:r>
    </w:p>
    <w:p>
      <w:pPr>
        <w:pageBreakBefore w:val="0"/>
        <w:widowControl w:val="0"/>
        <w:kinsoku/>
        <w:wordWrap/>
        <w:overflowPunct/>
        <w:autoSpaceDE/>
        <w:autoSpaceDN/>
        <w:bidi w:val="0"/>
        <w:spacing w:line="600" w:lineRule="exact"/>
        <w:ind w:firstLine="643"/>
        <w:textAlignment w:val="auto"/>
        <w:outlineLvl w:val="9"/>
        <w:rPr>
          <w:rFonts w:hint="eastAsia" w:ascii="仿宋_GB2312" w:hAnsi="仿宋_GB2312" w:eastAsia="仿宋_GB2312" w:cs="仿宋_GB2312"/>
          <w:b/>
          <w:szCs w:val="30"/>
          <w:highlight w:val="none"/>
        </w:rPr>
      </w:pPr>
      <w:r>
        <w:rPr>
          <w:rFonts w:hint="eastAsia" w:ascii="仿宋_GB2312" w:hAnsi="仿宋_GB2312" w:eastAsia="仿宋_GB2312" w:cs="仿宋_GB2312"/>
          <w:b/>
          <w:szCs w:val="30"/>
          <w:highlight w:val="none"/>
        </w:rPr>
        <w:t>4.工作方式</w:t>
      </w:r>
    </w:p>
    <w:p>
      <w:pPr>
        <w:pageBreakBefore w:val="0"/>
        <w:widowControl w:val="0"/>
        <w:kinsoku/>
        <w:wordWrap/>
        <w:overflowPunct/>
        <w:autoSpaceDE/>
        <w:autoSpaceDN/>
        <w:bidi w:val="0"/>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市生态环境</w:t>
      </w:r>
      <w:r>
        <w:rPr>
          <w:rFonts w:hint="eastAsia" w:ascii="仿宋_GB2312" w:hAnsi="仿宋_GB2312" w:cs="仿宋_GB2312"/>
          <w:highlight w:val="none"/>
          <w:lang w:val="en-US" w:eastAsia="zh-CN"/>
        </w:rPr>
        <w:t>局</w:t>
      </w:r>
      <w:r>
        <w:rPr>
          <w:rFonts w:hint="eastAsia" w:ascii="仿宋_GB2312" w:hAnsi="仿宋_GB2312" w:eastAsia="仿宋_GB2312" w:cs="仿宋_GB2312"/>
          <w:highlight w:val="none"/>
        </w:rPr>
        <w:t>负责组织各工业园区的监测能力建设，园区管理单位负责具体监测点位的建设并组织实施监测。</w:t>
      </w:r>
    </w:p>
    <w:p>
      <w:pPr>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责任主体：</w:t>
      </w:r>
      <w:r>
        <w:rPr>
          <w:rFonts w:hint="eastAsia" w:ascii="仿宋_GB2312" w:hAnsi="仿宋_GB2312" w:cs="仿宋_GB2312"/>
          <w:kern w:val="0"/>
          <w:szCs w:val="32"/>
          <w:lang w:eastAsia="zh-CN"/>
        </w:rPr>
        <w:t>市生态环境局</w:t>
      </w:r>
      <w:r>
        <w:rPr>
          <w:rFonts w:hint="eastAsia" w:ascii="仿宋_GB2312" w:hAnsi="仿宋_GB2312" w:eastAsia="仿宋_GB2312" w:cs="仿宋_GB2312"/>
          <w:kern w:val="0"/>
          <w:szCs w:val="32"/>
        </w:rPr>
        <w:t>大气科</w:t>
      </w:r>
      <w:r>
        <w:rPr>
          <w:rFonts w:hint="eastAsia" w:ascii="仿宋_GB2312" w:hAnsi="仿宋_GB2312" w:cs="仿宋_GB2312"/>
          <w:kern w:val="0"/>
          <w:szCs w:val="32"/>
          <w:lang w:eastAsia="zh-CN"/>
        </w:rPr>
        <w:t>。</w:t>
      </w:r>
    </w:p>
    <w:p>
      <w:pPr>
        <w:pStyle w:val="3"/>
        <w:keepNext/>
        <w:keepLines/>
        <w:pageBreakBefore w:val="0"/>
        <w:widowControl w:val="0"/>
        <w:numPr>
          <w:ilvl w:val="0"/>
          <w:numId w:val="0"/>
        </w:numPr>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lang w:eastAsia="zh-CN"/>
        </w:rPr>
      </w:pPr>
      <w:bookmarkStart w:id="96" w:name="_Toc28716"/>
      <w:r>
        <w:rPr>
          <w:rFonts w:hint="eastAsia" w:ascii="楷体_GB2312" w:hAnsi="楷体_GB2312" w:eastAsia="楷体_GB2312" w:cs="楷体_GB2312"/>
          <w:b w:val="0"/>
          <w:lang w:eastAsia="zh-CN"/>
        </w:rPr>
        <w:t>（</w:t>
      </w:r>
      <w:r>
        <w:rPr>
          <w:rFonts w:hint="eastAsia" w:ascii="楷体_GB2312" w:hAnsi="楷体_GB2312" w:eastAsia="楷体_GB2312" w:cs="楷体_GB2312"/>
          <w:b w:val="0"/>
          <w:lang w:val="en-US" w:eastAsia="zh-CN"/>
        </w:rPr>
        <w:t>八）</w:t>
      </w:r>
      <w:r>
        <w:rPr>
          <w:rFonts w:hint="eastAsia" w:ascii="楷体_GB2312" w:hAnsi="楷体_GB2312" w:eastAsia="楷体_GB2312" w:cs="楷体_GB2312"/>
          <w:b w:val="0"/>
          <w:lang w:eastAsia="zh-CN"/>
        </w:rPr>
        <w:t>环境空气降尘量监测</w:t>
      </w:r>
      <w:bookmarkEnd w:id="82"/>
      <w:bookmarkEnd w:id="83"/>
      <w:bookmarkEnd w:id="84"/>
      <w:bookmarkEnd w:id="85"/>
      <w:bookmarkEnd w:id="86"/>
      <w:bookmarkEnd w:id="87"/>
      <w:bookmarkEnd w:id="88"/>
      <w:bookmarkEnd w:id="96"/>
    </w:p>
    <w:p>
      <w:pPr>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1.监测范围</w:t>
      </w:r>
    </w:p>
    <w:p>
      <w:pPr>
        <w:pageBreakBefore w:val="0"/>
        <w:widowControl w:val="0"/>
        <w:kinsoku/>
        <w:wordWrap/>
        <w:overflowPunct/>
        <w:topLinePunct w:val="0"/>
        <w:autoSpaceDE/>
        <w:autoSpaceDN/>
        <w:bidi w:val="0"/>
        <w:spacing w:line="600" w:lineRule="exact"/>
        <w:ind w:firstLine="640"/>
        <w:textAlignment w:val="auto"/>
        <w:rPr>
          <w:rFonts w:eastAsia="仿宋"/>
          <w:kern w:val="0"/>
          <w:szCs w:val="32"/>
        </w:rPr>
      </w:pPr>
      <w:r>
        <w:rPr>
          <w:rFonts w:hint="eastAsia" w:ascii="仿宋_GB2312" w:hAnsi="仿宋_GB2312" w:eastAsia="仿宋_GB2312" w:cs="仿宋_GB2312"/>
          <w:kern w:val="0"/>
          <w:szCs w:val="32"/>
        </w:rPr>
        <w:t>共计</w:t>
      </w:r>
      <w:r>
        <w:rPr>
          <w:rFonts w:hint="eastAsia" w:ascii="仿宋_GB2312" w:hAnsi="仿宋_GB2312" w:eastAsia="仿宋_GB2312" w:cs="仿宋_GB2312"/>
          <w:kern w:val="0"/>
          <w:szCs w:val="32"/>
          <w:lang w:val="en-US" w:eastAsia="zh-CN"/>
        </w:rPr>
        <w:t>8</w:t>
      </w:r>
      <w:r>
        <w:rPr>
          <w:rFonts w:hint="eastAsia" w:ascii="仿宋_GB2312" w:hAnsi="仿宋_GB2312" w:eastAsia="仿宋_GB2312" w:cs="仿宋_GB2312"/>
          <w:kern w:val="0"/>
          <w:szCs w:val="32"/>
        </w:rPr>
        <w:t>个监测点位，名单见表1-</w:t>
      </w:r>
      <w:r>
        <w:rPr>
          <w:rFonts w:hint="eastAsia" w:ascii="仿宋_GB2312" w:hAnsi="仿宋_GB2312" w:eastAsia="仿宋_GB2312" w:cs="仿宋_GB2312"/>
          <w:kern w:val="0"/>
          <w:szCs w:val="32"/>
          <w:lang w:val="en-US" w:eastAsia="zh-CN"/>
        </w:rPr>
        <w:t>10</w:t>
      </w:r>
      <w:r>
        <w:rPr>
          <w:rFonts w:hint="eastAsia" w:ascii="仿宋_GB2312" w:hAnsi="仿宋_GB2312" w:eastAsia="仿宋_GB2312" w:cs="仿宋_GB2312"/>
          <w:kern w:val="0"/>
          <w:szCs w:val="32"/>
        </w:rPr>
        <w:t>。</w:t>
      </w:r>
    </w:p>
    <w:p>
      <w:pPr>
        <w:keepNext/>
        <w:keepLines/>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9"/>
        <w:rPr>
          <w:rFonts w:hint="eastAsia" w:ascii="仿宋_GB2312" w:hAnsi="仿宋_GB2312" w:eastAsia="仿宋_GB2312" w:cs="仿宋_GB2312"/>
          <w:b/>
          <w:bCs/>
          <w:sz w:val="24"/>
          <w:lang w:eastAsia="zh-CN"/>
        </w:rPr>
      </w:pPr>
      <w:bookmarkStart w:id="97" w:name="_Toc4580"/>
      <w:bookmarkStart w:id="98" w:name="_Toc4597"/>
      <w:bookmarkStart w:id="99" w:name="_Toc33462143"/>
      <w:bookmarkStart w:id="100" w:name="_Toc28511"/>
      <w:bookmarkStart w:id="101" w:name="_Toc1962"/>
      <w:bookmarkStart w:id="102" w:name="_Toc11863"/>
      <w:bookmarkStart w:id="103" w:name="_Toc8967"/>
      <w:bookmarkStart w:id="104" w:name="_Toc20353"/>
      <w:bookmarkStart w:id="105" w:name="_Toc16366"/>
      <w:r>
        <w:rPr>
          <w:rFonts w:hint="eastAsia" w:ascii="仿宋_GB2312" w:hAnsi="仿宋_GB2312" w:eastAsia="仿宋_GB2312" w:cs="仿宋_GB2312"/>
          <w:b/>
          <w:bCs/>
          <w:sz w:val="24"/>
        </w:rPr>
        <w:t>表1-</w:t>
      </w:r>
      <w:r>
        <w:rPr>
          <w:rFonts w:hint="eastAsia" w:ascii="仿宋_GB2312" w:hAnsi="仿宋_GB2312" w:eastAsia="仿宋_GB2312" w:cs="仿宋_GB2312"/>
          <w:b/>
          <w:bCs/>
          <w:sz w:val="24"/>
          <w:lang w:val="en-US" w:eastAsia="zh-CN"/>
        </w:rPr>
        <w:t xml:space="preserve">10 </w:t>
      </w:r>
      <w:r>
        <w:rPr>
          <w:rFonts w:hint="eastAsia" w:ascii="仿宋_GB2312" w:hAnsi="仿宋_GB2312" w:eastAsia="仿宋_GB2312" w:cs="仿宋_GB2312"/>
          <w:b/>
          <w:bCs/>
          <w:sz w:val="24"/>
        </w:rPr>
        <w:t xml:space="preserve"> 降尘量监测点位名单</w:t>
      </w:r>
      <w:bookmarkEnd w:id="97"/>
      <w:bookmarkEnd w:id="98"/>
      <w:bookmarkEnd w:id="99"/>
      <w:bookmarkEnd w:id="100"/>
      <w:bookmarkEnd w:id="101"/>
      <w:bookmarkEnd w:id="102"/>
      <w:bookmarkEnd w:id="103"/>
      <w:bookmarkEnd w:id="104"/>
      <w:bookmarkEnd w:id="105"/>
    </w:p>
    <w:tbl>
      <w:tblPr>
        <w:tblStyle w:val="56"/>
        <w:tblW w:w="7673"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495"/>
        <w:gridCol w:w="2242"/>
        <w:gridCol w:w="29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1028" w:type="dxa"/>
            <w:tcMar>
              <w:top w:w="0" w:type="dxa"/>
              <w:left w:w="0" w:type="dxa"/>
              <w:bottom w:w="0" w:type="dxa"/>
              <w:right w:w="0" w:type="dxa"/>
            </w:tcMar>
            <w:vAlign w:val="center"/>
          </w:tcPr>
          <w:p>
            <w:pPr>
              <w:spacing w:line="240" w:lineRule="auto"/>
              <w:ind w:firstLine="0" w:firstLineChars="0"/>
              <w:jc w:val="center"/>
              <w:rPr>
                <w:rFonts w:hint="eastAsia" w:ascii="仿宋_GB2312" w:hAnsi="仿宋_GB2312" w:eastAsia="仿宋_GB2312" w:cs="仿宋_GB2312"/>
                <w:b/>
                <w:spacing w:val="-6"/>
                <w:sz w:val="24"/>
                <w:szCs w:val="24"/>
              </w:rPr>
            </w:pPr>
            <w:r>
              <w:rPr>
                <w:rFonts w:hint="eastAsia" w:ascii="仿宋_GB2312" w:hAnsi="仿宋_GB2312" w:eastAsia="仿宋_GB2312" w:cs="仿宋_GB2312"/>
                <w:b/>
                <w:spacing w:val="-6"/>
                <w:sz w:val="24"/>
                <w:szCs w:val="24"/>
              </w:rPr>
              <w:t>序号</w:t>
            </w:r>
          </w:p>
        </w:tc>
        <w:tc>
          <w:tcPr>
            <w:tcW w:w="1495" w:type="dxa"/>
            <w:tcMar>
              <w:top w:w="0" w:type="dxa"/>
              <w:left w:w="0" w:type="dxa"/>
              <w:bottom w:w="0" w:type="dxa"/>
              <w:right w:w="0" w:type="dxa"/>
            </w:tcMar>
            <w:vAlign w:val="center"/>
          </w:tcPr>
          <w:p>
            <w:pPr>
              <w:spacing w:line="240" w:lineRule="auto"/>
              <w:ind w:firstLine="0" w:firstLineChars="0"/>
              <w:jc w:val="center"/>
              <w:rPr>
                <w:rFonts w:hint="eastAsia" w:ascii="仿宋_GB2312" w:hAnsi="仿宋_GB2312" w:eastAsia="仿宋_GB2312" w:cs="仿宋_GB2312"/>
                <w:b/>
                <w:spacing w:val="-6"/>
                <w:sz w:val="24"/>
                <w:szCs w:val="24"/>
              </w:rPr>
            </w:pPr>
            <w:r>
              <w:rPr>
                <w:rFonts w:hint="eastAsia" w:ascii="仿宋_GB2312" w:hAnsi="仿宋_GB2312" w:eastAsia="仿宋_GB2312" w:cs="仿宋_GB2312"/>
                <w:b/>
                <w:spacing w:val="-6"/>
                <w:sz w:val="24"/>
                <w:szCs w:val="24"/>
              </w:rPr>
              <w:t>城市</w:t>
            </w:r>
          </w:p>
        </w:tc>
        <w:tc>
          <w:tcPr>
            <w:tcW w:w="2242" w:type="dxa"/>
            <w:tcMar>
              <w:top w:w="0" w:type="dxa"/>
              <w:left w:w="0" w:type="dxa"/>
              <w:bottom w:w="0" w:type="dxa"/>
              <w:right w:w="0" w:type="dxa"/>
            </w:tcMar>
            <w:vAlign w:val="center"/>
          </w:tcPr>
          <w:p>
            <w:pPr>
              <w:spacing w:line="240" w:lineRule="auto"/>
              <w:ind w:firstLine="0" w:firstLineChars="0"/>
              <w:jc w:val="center"/>
              <w:rPr>
                <w:rFonts w:hint="eastAsia" w:ascii="仿宋_GB2312" w:hAnsi="仿宋_GB2312" w:eastAsia="仿宋_GB2312" w:cs="仿宋_GB2312"/>
                <w:b/>
                <w:spacing w:val="-6"/>
                <w:sz w:val="24"/>
                <w:szCs w:val="24"/>
              </w:rPr>
            </w:pPr>
            <w:r>
              <w:rPr>
                <w:rFonts w:hint="eastAsia" w:ascii="仿宋_GB2312" w:hAnsi="仿宋_GB2312" w:eastAsia="仿宋_GB2312" w:cs="仿宋_GB2312"/>
                <w:b/>
                <w:spacing w:val="-6"/>
                <w:sz w:val="24"/>
                <w:szCs w:val="24"/>
              </w:rPr>
              <w:t>县区</w:t>
            </w:r>
          </w:p>
        </w:tc>
        <w:tc>
          <w:tcPr>
            <w:tcW w:w="2908" w:type="dxa"/>
            <w:tcMar>
              <w:top w:w="0" w:type="dxa"/>
              <w:left w:w="0" w:type="dxa"/>
              <w:bottom w:w="0" w:type="dxa"/>
              <w:right w:w="0" w:type="dxa"/>
            </w:tcMar>
            <w:vAlign w:val="center"/>
          </w:tcPr>
          <w:p>
            <w:pPr>
              <w:spacing w:line="240" w:lineRule="auto"/>
              <w:ind w:firstLine="0" w:firstLineChars="0"/>
              <w:jc w:val="center"/>
              <w:rPr>
                <w:rFonts w:hint="eastAsia" w:ascii="仿宋_GB2312" w:hAnsi="仿宋_GB2312" w:eastAsia="仿宋_GB2312" w:cs="仿宋_GB2312"/>
                <w:b/>
                <w:spacing w:val="-6"/>
                <w:sz w:val="24"/>
                <w:szCs w:val="24"/>
              </w:rPr>
            </w:pPr>
            <w:r>
              <w:rPr>
                <w:rFonts w:hint="eastAsia" w:ascii="仿宋_GB2312" w:hAnsi="仿宋_GB2312" w:eastAsia="仿宋_GB2312" w:cs="仿宋_GB2312"/>
                <w:b/>
                <w:spacing w:val="-6"/>
                <w:sz w:val="24"/>
                <w:szCs w:val="24"/>
              </w:rPr>
              <w:t>点位名称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8" w:type="dxa"/>
            <w:tcMar>
              <w:top w:w="0" w:type="dxa"/>
              <w:left w:w="57" w:type="dxa"/>
              <w:bottom w:w="0" w:type="dxa"/>
              <w:right w:w="57" w:type="dxa"/>
            </w:tcMar>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95" w:type="dxa"/>
            <w:vMerge w:val="restart"/>
            <w:tcMar>
              <w:top w:w="0" w:type="dxa"/>
              <w:left w:w="57" w:type="dxa"/>
              <w:bottom w:w="0" w:type="dxa"/>
              <w:right w:w="57" w:type="dxa"/>
            </w:tcMar>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盘锦</w:t>
            </w:r>
          </w:p>
        </w:tc>
        <w:tc>
          <w:tcPr>
            <w:tcW w:w="2242" w:type="dxa"/>
            <w:tcMar>
              <w:top w:w="0" w:type="dxa"/>
              <w:left w:w="0" w:type="dxa"/>
              <w:bottom w:w="0" w:type="dxa"/>
              <w:right w:w="0" w:type="dxa"/>
            </w:tcMar>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兴隆台区</w:t>
            </w:r>
          </w:p>
        </w:tc>
        <w:tc>
          <w:tcPr>
            <w:tcW w:w="2908" w:type="dxa"/>
            <w:tcMar>
              <w:top w:w="0" w:type="dxa"/>
              <w:left w:w="57" w:type="dxa"/>
              <w:bottom w:w="0" w:type="dxa"/>
              <w:right w:w="57" w:type="dxa"/>
            </w:tcMar>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8" w:type="dxa"/>
            <w:tcMar>
              <w:top w:w="0" w:type="dxa"/>
              <w:left w:w="57" w:type="dxa"/>
              <w:bottom w:w="0" w:type="dxa"/>
              <w:right w:w="57" w:type="dxa"/>
            </w:tcMar>
            <w:vAlign w:val="center"/>
          </w:tcPr>
          <w:p>
            <w:pPr>
              <w:spacing w:line="240" w:lineRule="auto"/>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1495"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2242" w:type="dxa"/>
            <w:tcMar>
              <w:top w:w="0" w:type="dxa"/>
              <w:left w:w="0" w:type="dxa"/>
              <w:bottom w:w="0" w:type="dxa"/>
              <w:right w:w="0" w:type="dxa"/>
            </w:tcMar>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兴隆台区</w:t>
            </w:r>
          </w:p>
        </w:tc>
        <w:tc>
          <w:tcPr>
            <w:tcW w:w="2908" w:type="dxa"/>
            <w:tcMar>
              <w:top w:w="0" w:type="dxa"/>
              <w:left w:w="57" w:type="dxa"/>
              <w:bottom w:w="0" w:type="dxa"/>
              <w:right w:w="57" w:type="dxa"/>
            </w:tcMar>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监测站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8" w:type="dxa"/>
            <w:tcMar>
              <w:top w:w="0" w:type="dxa"/>
              <w:left w:w="57" w:type="dxa"/>
              <w:bottom w:w="0" w:type="dxa"/>
              <w:right w:w="57" w:type="dxa"/>
            </w:tcMar>
            <w:vAlign w:val="center"/>
          </w:tcPr>
          <w:p>
            <w:pPr>
              <w:spacing w:line="240" w:lineRule="auto"/>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1495"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2242" w:type="dxa"/>
            <w:tcMar>
              <w:top w:w="0" w:type="dxa"/>
              <w:left w:w="0" w:type="dxa"/>
              <w:bottom w:w="0" w:type="dxa"/>
              <w:right w:w="0" w:type="dxa"/>
            </w:tcMar>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双台子区</w:t>
            </w:r>
          </w:p>
        </w:tc>
        <w:tc>
          <w:tcPr>
            <w:tcW w:w="2908" w:type="dxa"/>
            <w:tcMar>
              <w:top w:w="0" w:type="dxa"/>
              <w:left w:w="57" w:type="dxa"/>
              <w:bottom w:w="0" w:type="dxa"/>
              <w:right w:w="57" w:type="dxa"/>
            </w:tcMar>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北区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8" w:type="dxa"/>
            <w:tcMar>
              <w:top w:w="0" w:type="dxa"/>
              <w:left w:w="57" w:type="dxa"/>
              <w:bottom w:w="0" w:type="dxa"/>
              <w:right w:w="57" w:type="dxa"/>
            </w:tcMar>
            <w:vAlign w:val="center"/>
          </w:tcPr>
          <w:p>
            <w:pPr>
              <w:spacing w:line="240" w:lineRule="auto"/>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1495"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2242" w:type="dxa"/>
            <w:tcMar>
              <w:top w:w="0" w:type="dxa"/>
              <w:left w:w="0" w:type="dxa"/>
              <w:bottom w:w="0" w:type="dxa"/>
              <w:right w:w="0" w:type="dxa"/>
            </w:tcMar>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双台子区</w:t>
            </w:r>
          </w:p>
        </w:tc>
        <w:tc>
          <w:tcPr>
            <w:tcW w:w="2908" w:type="dxa"/>
            <w:tcMar>
              <w:top w:w="0" w:type="dxa"/>
              <w:left w:w="57" w:type="dxa"/>
              <w:bottom w:w="0" w:type="dxa"/>
              <w:right w:w="57" w:type="dxa"/>
            </w:tcMar>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8" w:type="dxa"/>
            <w:tcMar>
              <w:top w:w="0" w:type="dxa"/>
              <w:left w:w="57" w:type="dxa"/>
              <w:bottom w:w="0" w:type="dxa"/>
              <w:right w:w="57" w:type="dxa"/>
            </w:tcMar>
            <w:vAlign w:val="center"/>
          </w:tcPr>
          <w:p>
            <w:pPr>
              <w:spacing w:line="240" w:lineRule="auto"/>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1495" w:type="dxa"/>
            <w:vMerge w:val="continue"/>
            <w:tcMar>
              <w:top w:w="0" w:type="dxa"/>
              <w:left w:w="57" w:type="dxa"/>
              <w:bottom w:w="0" w:type="dxa"/>
              <w:right w:w="57" w:type="dxa"/>
            </w:tcMar>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2242" w:type="dxa"/>
            <w:tcMar>
              <w:top w:w="0" w:type="dxa"/>
              <w:left w:w="57" w:type="dxa"/>
              <w:bottom w:w="0" w:type="dxa"/>
              <w:right w:w="57" w:type="dxa"/>
            </w:tcMar>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大洼区</w:t>
            </w:r>
          </w:p>
        </w:tc>
        <w:tc>
          <w:tcPr>
            <w:tcW w:w="2908" w:type="dxa"/>
            <w:tcMar>
              <w:top w:w="0" w:type="dxa"/>
              <w:left w:w="57" w:type="dxa"/>
              <w:bottom w:w="0" w:type="dxa"/>
              <w:right w:w="57" w:type="dxa"/>
            </w:tcMar>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财政局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8" w:type="dxa"/>
            <w:tcMar>
              <w:top w:w="0" w:type="dxa"/>
              <w:left w:w="57" w:type="dxa"/>
              <w:bottom w:w="0" w:type="dxa"/>
              <w:right w:w="57" w:type="dxa"/>
            </w:tcMar>
            <w:vAlign w:val="center"/>
          </w:tcPr>
          <w:p>
            <w:pPr>
              <w:spacing w:line="240" w:lineRule="auto"/>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1495"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2242" w:type="dxa"/>
            <w:tcMar>
              <w:top w:w="0" w:type="dxa"/>
              <w:left w:w="57" w:type="dxa"/>
              <w:bottom w:w="0" w:type="dxa"/>
              <w:right w:w="57" w:type="dxa"/>
            </w:tcMar>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大洼区</w:t>
            </w:r>
          </w:p>
        </w:tc>
        <w:tc>
          <w:tcPr>
            <w:tcW w:w="2908" w:type="dxa"/>
            <w:tcMar>
              <w:top w:w="0" w:type="dxa"/>
              <w:left w:w="57" w:type="dxa"/>
              <w:bottom w:w="0" w:type="dxa"/>
              <w:right w:w="57" w:type="dxa"/>
            </w:tcMar>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8" w:type="dxa"/>
            <w:tcMar>
              <w:top w:w="0" w:type="dxa"/>
              <w:left w:w="57" w:type="dxa"/>
              <w:bottom w:w="0" w:type="dxa"/>
              <w:right w:w="57" w:type="dxa"/>
            </w:tcMar>
            <w:vAlign w:val="center"/>
          </w:tcPr>
          <w:p>
            <w:pPr>
              <w:spacing w:line="240" w:lineRule="auto"/>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p>
        </w:tc>
        <w:tc>
          <w:tcPr>
            <w:tcW w:w="1495"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2242" w:type="dxa"/>
            <w:tcMar>
              <w:top w:w="0" w:type="dxa"/>
              <w:left w:w="57" w:type="dxa"/>
              <w:bottom w:w="0" w:type="dxa"/>
              <w:right w:w="57" w:type="dxa"/>
            </w:tcMar>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盘山县</w:t>
            </w:r>
          </w:p>
        </w:tc>
        <w:tc>
          <w:tcPr>
            <w:tcW w:w="2908" w:type="dxa"/>
            <w:tcMar>
              <w:top w:w="0" w:type="dxa"/>
              <w:left w:w="57" w:type="dxa"/>
              <w:bottom w:w="0" w:type="dxa"/>
              <w:right w:w="57" w:type="dxa"/>
            </w:tcMar>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复合肥业有限公司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8" w:type="dxa"/>
            <w:tcMar>
              <w:top w:w="0" w:type="dxa"/>
              <w:left w:w="57" w:type="dxa"/>
              <w:bottom w:w="0" w:type="dxa"/>
              <w:right w:w="57" w:type="dxa"/>
            </w:tcMar>
            <w:vAlign w:val="center"/>
          </w:tcPr>
          <w:p>
            <w:pPr>
              <w:spacing w:line="240" w:lineRule="auto"/>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p>
        </w:tc>
        <w:tc>
          <w:tcPr>
            <w:tcW w:w="1495"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2242" w:type="dxa"/>
            <w:tcMar>
              <w:top w:w="0" w:type="dxa"/>
              <w:left w:w="57" w:type="dxa"/>
              <w:bottom w:w="0" w:type="dxa"/>
              <w:right w:w="57" w:type="dxa"/>
            </w:tcMar>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盘山县</w:t>
            </w:r>
          </w:p>
        </w:tc>
        <w:tc>
          <w:tcPr>
            <w:tcW w:w="2908" w:type="dxa"/>
            <w:tcMar>
              <w:top w:w="0" w:type="dxa"/>
              <w:left w:w="57" w:type="dxa"/>
              <w:bottom w:w="0" w:type="dxa"/>
              <w:right w:w="57" w:type="dxa"/>
            </w:tcMar>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富隆化工有限公司</w:t>
            </w:r>
          </w:p>
        </w:tc>
      </w:tr>
    </w:tbl>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2.监测项目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环境空气降尘量。</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3.监测频次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每月监测一次，每次采样周期28d</w:t>
      </w:r>
      <w:r>
        <w:rPr>
          <w:rFonts w:hint="eastAsia" w:ascii="仿宋_GB2312" w:hAnsi="仿宋_GB2312" w:cs="仿宋_GB2312"/>
          <w:kern w:val="0"/>
          <w:szCs w:val="32"/>
          <w:lang w:val="en-US" w:eastAsia="zh-CN"/>
        </w:rPr>
        <w:t>-</w:t>
      </w:r>
      <w:r>
        <w:rPr>
          <w:rFonts w:hint="eastAsia" w:ascii="仿宋_GB2312" w:hAnsi="仿宋_GB2312" w:eastAsia="仿宋_GB2312" w:cs="仿宋_GB2312"/>
          <w:kern w:val="0"/>
          <w:szCs w:val="32"/>
        </w:rPr>
        <w:t>31d。</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4.工作方式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Cs w:val="32"/>
        </w:rPr>
        <w:t>县（市）降尘量监测为市级事权，市级财政保障经费，市生态环境</w:t>
      </w:r>
      <w:r>
        <w:rPr>
          <w:rFonts w:hint="eastAsia" w:ascii="仿宋_GB2312" w:hAnsi="仿宋_GB2312" w:eastAsia="仿宋_GB2312" w:cs="仿宋_GB2312"/>
          <w:kern w:val="0"/>
          <w:szCs w:val="32"/>
          <w:lang w:eastAsia="zh-CN"/>
        </w:rPr>
        <w:t>局</w:t>
      </w:r>
      <w:r>
        <w:rPr>
          <w:rFonts w:hint="eastAsia" w:ascii="仿宋_GB2312" w:hAnsi="仿宋_GB2312" w:eastAsia="仿宋_GB2312" w:cs="仿宋_GB2312"/>
          <w:kern w:val="0"/>
          <w:szCs w:val="32"/>
        </w:rPr>
        <w:t>负责组织</w:t>
      </w:r>
      <w:r>
        <w:rPr>
          <w:rFonts w:hint="eastAsia" w:ascii="仿宋_GB2312" w:hAnsi="仿宋_GB2312" w:eastAsia="仿宋_GB2312" w:cs="仿宋_GB2312"/>
          <w:kern w:val="0"/>
          <w:szCs w:val="32"/>
          <w:lang w:eastAsia="zh-CN"/>
        </w:rPr>
        <w:t>实施，</w:t>
      </w:r>
      <w:r>
        <w:rPr>
          <w:rFonts w:hint="eastAsia" w:ascii="仿宋_GB2312" w:hAnsi="仿宋_GB2312" w:cs="仿宋_GB2312"/>
          <w:kern w:val="0"/>
          <w:szCs w:val="32"/>
          <w:highlight w:val="none"/>
          <w:lang w:val="en-US" w:eastAsia="zh-CN"/>
        </w:rPr>
        <w:t>在盘锦市环境监测站具备监测能力前</w:t>
      </w:r>
      <w:r>
        <w:rPr>
          <w:rFonts w:hint="eastAsia" w:ascii="仿宋_GB2312" w:hAnsi="仿宋_GB2312" w:eastAsia="仿宋_GB2312" w:cs="仿宋_GB2312"/>
          <w:kern w:val="0"/>
          <w:szCs w:val="32"/>
          <w:lang w:val="en-US" w:eastAsia="zh-CN"/>
        </w:rPr>
        <w:t>暂商情</w:t>
      </w:r>
      <w:r>
        <w:rPr>
          <w:rFonts w:hint="eastAsia" w:ascii="仿宋_GB2312" w:hAnsi="仿宋_GB2312" w:eastAsia="仿宋_GB2312" w:cs="仿宋_GB2312"/>
          <w:kern w:val="0"/>
          <w:szCs w:val="32"/>
          <w:lang w:eastAsia="zh-CN"/>
        </w:rPr>
        <w:t>驻市分支机构代为开展监测，</w:t>
      </w:r>
      <w:r>
        <w:rPr>
          <w:rFonts w:hint="eastAsia" w:ascii="仿宋_GB2312" w:hAnsi="仿宋_GB2312" w:eastAsia="仿宋_GB2312" w:cs="仿宋_GB2312"/>
          <w:kern w:val="0"/>
          <w:szCs w:val="32"/>
          <w:lang w:val="en-US" w:eastAsia="zh-CN"/>
        </w:rPr>
        <w:t>各</w:t>
      </w:r>
      <w:r>
        <w:rPr>
          <w:rFonts w:hint="eastAsia" w:ascii="仿宋_GB2312" w:hAnsi="仿宋_GB2312" w:eastAsia="仿宋_GB2312" w:cs="仿宋_GB2312"/>
          <w:kern w:val="0"/>
          <w:szCs w:val="32"/>
          <w:lang w:eastAsia="zh-CN"/>
        </w:rPr>
        <w:t>分局负责送样并保障监测站点的监测条件。</w:t>
      </w:r>
    </w:p>
    <w:p>
      <w:pPr>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cs="仿宋_GB2312"/>
          <w:kern w:val="0"/>
          <w:szCs w:val="32"/>
          <w:lang w:eastAsia="zh-CN"/>
        </w:rPr>
      </w:pPr>
      <w:r>
        <w:rPr>
          <w:rFonts w:hint="eastAsia" w:ascii="仿宋_GB2312" w:hAnsi="仿宋_GB2312" w:eastAsia="仿宋_GB2312" w:cs="仿宋_GB2312"/>
          <w:kern w:val="0"/>
          <w:szCs w:val="32"/>
          <w:highlight w:val="none"/>
          <w:shd w:val="clear" w:color="auto" w:fill="auto"/>
        </w:rPr>
        <w:t>责任主体：</w:t>
      </w:r>
      <w:r>
        <w:rPr>
          <w:rFonts w:hint="eastAsia" w:ascii="仿宋_GB2312" w:hAnsi="仿宋_GB2312" w:cs="仿宋_GB2312"/>
          <w:kern w:val="0"/>
          <w:szCs w:val="32"/>
          <w:lang w:eastAsia="zh-CN"/>
        </w:rPr>
        <w:t>市生态环境局</w:t>
      </w:r>
      <w:r>
        <w:rPr>
          <w:rFonts w:hint="eastAsia" w:ascii="仿宋_GB2312" w:hAnsi="仿宋_GB2312" w:eastAsia="仿宋_GB2312" w:cs="仿宋_GB2312"/>
          <w:kern w:val="0"/>
          <w:szCs w:val="32"/>
        </w:rPr>
        <w:t>大气科</w:t>
      </w:r>
      <w:r>
        <w:rPr>
          <w:rFonts w:hint="eastAsia" w:ascii="仿宋_GB2312" w:hAnsi="仿宋_GB2312" w:cs="仿宋_GB2312"/>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5.数据报送及核对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Cs w:val="32"/>
          <w:lang w:eastAsia="zh-CN"/>
        </w:rPr>
        <w:t>驻市分支机构汇总县（市）降尘量监测数据后，于次月9日前报送上月降尘数据，同时转送市生态环境</w:t>
      </w:r>
      <w:r>
        <w:rPr>
          <w:rFonts w:hint="eastAsia" w:ascii="仿宋_GB2312" w:hAnsi="仿宋_GB2312" w:cs="仿宋_GB2312"/>
          <w:kern w:val="0"/>
          <w:szCs w:val="32"/>
          <w:lang w:val="en-US" w:eastAsia="zh-CN"/>
        </w:rPr>
        <w:t>局</w:t>
      </w:r>
      <w:r>
        <w:rPr>
          <w:rFonts w:hint="eastAsia" w:ascii="仿宋_GB2312" w:hAnsi="仿宋_GB2312" w:cs="仿宋_GB2312"/>
          <w:kern w:val="0"/>
          <w:szCs w:val="32"/>
          <w:lang w:eastAsia="zh-CN"/>
        </w:rPr>
        <w:t>，</w:t>
      </w:r>
      <w:r>
        <w:rPr>
          <w:rFonts w:hint="eastAsia" w:ascii="仿宋_GB2312" w:hAnsi="仿宋_GB2312" w:eastAsia="仿宋_GB2312" w:cs="仿宋_GB2312"/>
          <w:kern w:val="0"/>
          <w:szCs w:val="32"/>
          <w:lang w:eastAsia="zh-CN"/>
        </w:rPr>
        <w:t>如遇节假日，上报日期顺延一周，12月数据请于202</w:t>
      </w:r>
      <w:r>
        <w:rPr>
          <w:rFonts w:hint="eastAsia" w:ascii="仿宋_GB2312" w:hAnsi="仿宋_GB2312" w:eastAsia="仿宋_GB2312" w:cs="仿宋_GB2312"/>
          <w:kern w:val="0"/>
          <w:szCs w:val="32"/>
          <w:lang w:val="en-US" w:eastAsia="zh-CN"/>
        </w:rPr>
        <w:t>5</w:t>
      </w:r>
      <w:r>
        <w:rPr>
          <w:rFonts w:hint="eastAsia" w:ascii="仿宋_GB2312" w:hAnsi="仿宋_GB2312" w:eastAsia="仿宋_GB2312" w:cs="仿宋_GB2312"/>
          <w:kern w:val="0"/>
          <w:szCs w:val="32"/>
          <w:lang w:eastAsia="zh-CN"/>
        </w:rPr>
        <w:t>年1月9日前报送，如有点位未进行监测请说明原因，并以公文形式报省中心。</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Cs w:val="32"/>
          <w:lang w:eastAsia="zh-CN"/>
        </w:rPr>
        <w:t>每月报送后进行数据核对；如有情况需要说明，填入数据库“基础信息”模块“上报日志”中。降尘监测数据保留一位小数，采用算术平均值计算统计，城市月均值为城市内所有评价点的算术平均值，年均值为各月均值的算术平均值，对照点不纳入计算。</w:t>
      </w:r>
    </w:p>
    <w:p>
      <w:pPr>
        <w:pStyle w:val="2"/>
        <w:keepNext/>
        <w:keepLines/>
        <w:pageBreakBefore w:val="0"/>
        <w:widowControl w:val="0"/>
        <w:kinsoku/>
        <w:wordWrap/>
        <w:overflowPunct/>
        <w:topLinePunct w:val="0"/>
        <w:autoSpaceDE/>
        <w:autoSpaceDN/>
        <w:bidi w:val="0"/>
        <w:adjustRightInd/>
        <w:snapToGrid/>
        <w:spacing w:before="438" w:beforeLines="100" w:after="438" w:afterLines="100" w:line="600" w:lineRule="exact"/>
        <w:ind w:left="0" w:leftChars="0" w:firstLine="0" w:firstLineChars="0"/>
        <w:jc w:val="center"/>
        <w:textAlignment w:val="auto"/>
        <w:rPr>
          <w:b/>
          <w:sz w:val="36"/>
          <w:szCs w:val="36"/>
        </w:rPr>
      </w:pPr>
      <w:bookmarkStart w:id="106" w:name="_Toc27436"/>
      <w:bookmarkStart w:id="107" w:name="_Toc11800"/>
      <w:bookmarkStart w:id="108" w:name="_Toc678"/>
      <w:bookmarkStart w:id="109" w:name="_Toc19115"/>
      <w:bookmarkStart w:id="110" w:name="_Toc27166"/>
      <w:bookmarkStart w:id="111" w:name="_Toc28818"/>
      <w:bookmarkStart w:id="112" w:name="_Toc21260"/>
      <w:bookmarkStart w:id="113" w:name="_Toc2569"/>
      <w:r>
        <w:rPr>
          <w:b/>
          <w:sz w:val="36"/>
          <w:szCs w:val="36"/>
        </w:rPr>
        <w:t>二、地表水生态环境质量监测</w:t>
      </w:r>
      <w:bookmarkEnd w:id="106"/>
      <w:bookmarkEnd w:id="107"/>
      <w:bookmarkEnd w:id="108"/>
      <w:bookmarkEnd w:id="109"/>
      <w:bookmarkEnd w:id="110"/>
      <w:bookmarkEnd w:id="111"/>
      <w:bookmarkEnd w:id="112"/>
      <w:bookmarkEnd w:id="113"/>
    </w:p>
    <w:bookmarkEnd w:id="1"/>
    <w:bookmarkEnd w:id="12"/>
    <w:p>
      <w:pPr>
        <w:pStyle w:val="3"/>
        <w:pageBreakBefore w:val="0"/>
        <w:widowControl w:val="0"/>
        <w:numPr>
          <w:ilvl w:val="0"/>
          <w:numId w:val="0"/>
        </w:numPr>
        <w:kinsoku/>
        <w:wordWrap/>
        <w:overflowPunct/>
        <w:topLinePunct w:val="0"/>
        <w:autoSpaceDE/>
        <w:autoSpaceDN/>
        <w:bidi w:val="0"/>
        <w:spacing w:before="217" w:beforeLines="50" w:after="217" w:afterLines="50" w:line="600" w:lineRule="exact"/>
        <w:ind w:firstLine="640" w:firstLineChars="200"/>
        <w:textAlignment w:val="auto"/>
        <w:rPr>
          <w:rFonts w:hint="eastAsia" w:ascii="楷体_GB2312" w:hAnsi="楷体_GB2312" w:eastAsia="楷体_GB2312" w:cs="楷体_GB2312"/>
          <w:b w:val="0"/>
        </w:rPr>
      </w:pPr>
      <w:bookmarkStart w:id="114" w:name="_Toc14455"/>
      <w:bookmarkStart w:id="115" w:name="_Toc6244"/>
      <w:bookmarkStart w:id="116" w:name="_Toc24146"/>
      <w:bookmarkStart w:id="117" w:name="_Toc30195"/>
      <w:bookmarkStart w:id="118" w:name="_Toc14668"/>
      <w:bookmarkStart w:id="119" w:name="_Toc31025"/>
      <w:bookmarkStart w:id="120" w:name="_Toc19382"/>
      <w:bookmarkStart w:id="121" w:name="_Toc1468"/>
      <w:bookmarkStart w:id="122" w:name="_Toc1657762"/>
      <w:r>
        <w:rPr>
          <w:rFonts w:hint="eastAsia" w:ascii="楷体_GB2312" w:hAnsi="楷体_GB2312" w:eastAsia="楷体_GB2312" w:cs="楷体_GB2312"/>
          <w:b w:val="0"/>
          <w:lang w:val="en-US" w:eastAsia="zh-CN"/>
        </w:rPr>
        <w:t>(九）</w:t>
      </w:r>
      <w:r>
        <w:rPr>
          <w:rFonts w:hint="eastAsia" w:ascii="楷体_GB2312" w:hAnsi="楷体_GB2312" w:eastAsia="楷体_GB2312" w:cs="楷体_GB2312"/>
          <w:b w:val="0"/>
          <w:lang w:eastAsia="zh-CN"/>
        </w:rPr>
        <w:t>河流水质监测</w:t>
      </w:r>
      <w:bookmarkEnd w:id="114"/>
    </w:p>
    <w:p>
      <w:pPr>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1.监测范围</w:t>
      </w:r>
    </w:p>
    <w:p>
      <w:pPr>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《202</w:t>
      </w:r>
      <w:r>
        <w:rPr>
          <w:rFonts w:hint="eastAsia" w:ascii="仿宋_GB2312" w:hAnsi="仿宋_GB2312" w:cs="仿宋_GB2312"/>
          <w:kern w:val="0"/>
          <w:szCs w:val="32"/>
          <w:lang w:val="en-US" w:eastAsia="zh-CN"/>
        </w:rPr>
        <w:t>4</w:t>
      </w:r>
      <w:r>
        <w:rPr>
          <w:rFonts w:hint="eastAsia" w:ascii="仿宋_GB2312" w:hAnsi="仿宋_GB2312" w:eastAsia="仿宋_GB2312" w:cs="仿宋_GB2312"/>
          <w:kern w:val="0"/>
          <w:szCs w:val="32"/>
          <w:lang w:val="en-US" w:eastAsia="zh-CN"/>
        </w:rPr>
        <w:t>年盘锦市河流断面监测计划》中19个市考断面和30个分析断面。名单见表2-1和表2-2。</w:t>
      </w:r>
      <w:bookmarkStart w:id="123" w:name="_Toc18036"/>
    </w:p>
    <w:p>
      <w:pPr>
        <w:keepNext/>
        <w:keepLines/>
        <w:pageBreakBefore w:val="0"/>
        <w:kinsoku/>
        <w:wordWrap/>
        <w:overflowPunct/>
        <w:topLinePunct w:val="0"/>
        <w:autoSpaceDE/>
        <w:autoSpaceDN/>
        <w:bidi w:val="0"/>
        <w:adjustRightInd w:val="0"/>
        <w:snapToGrid w:val="0"/>
        <w:spacing w:before="217" w:beforeLines="50" w:after="217" w:afterLines="50" w:line="240" w:lineRule="auto"/>
        <w:ind w:left="0" w:firstLine="0" w:firstLineChars="0"/>
        <w:jc w:val="center"/>
        <w:outlineLvl w:val="9"/>
        <w:rPr>
          <w:rFonts w:hint="eastAsia" w:ascii="仿宋_GB2312" w:hAnsi="仿宋_GB2312" w:cs="仿宋_GB2312"/>
          <w:b/>
          <w:bCs/>
          <w:sz w:val="24"/>
          <w:highlight w:val="none"/>
          <w:lang w:val="en-US" w:eastAsia="zh-CN"/>
        </w:rPr>
      </w:pPr>
      <w:r>
        <w:rPr>
          <w:rFonts w:hint="eastAsia" w:ascii="仿宋_GB2312" w:hAnsi="仿宋_GB2312" w:cs="仿宋_GB2312"/>
          <w:b/>
          <w:bCs/>
          <w:sz w:val="24"/>
          <w:highlight w:val="none"/>
          <w:lang w:val="en-US" w:eastAsia="zh-CN"/>
        </w:rPr>
        <w:t xml:space="preserve">表2-1  </w:t>
      </w:r>
      <w:r>
        <w:rPr>
          <w:rFonts w:hint="eastAsia" w:ascii="仿宋_GB2312" w:hAnsi="仿宋_GB2312" w:eastAsia="仿宋_GB2312" w:cs="仿宋_GB2312"/>
          <w:b/>
          <w:bCs/>
          <w:sz w:val="24"/>
          <w:lang w:val="en-US" w:eastAsia="zh-CN"/>
        </w:rPr>
        <w:t>19个市考断面名单</w:t>
      </w:r>
    </w:p>
    <w:tbl>
      <w:tblPr>
        <w:tblStyle w:val="56"/>
        <w:tblpPr w:leftFromText="180" w:rightFromText="180" w:vertAnchor="text" w:horzAnchor="page" w:tblpXSpec="center" w:tblpY="414"/>
        <w:tblOverlap w:val="never"/>
        <w:tblW w:w="8840"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8"/>
        <w:gridCol w:w="945"/>
        <w:gridCol w:w="1491"/>
        <w:gridCol w:w="1061"/>
        <w:gridCol w:w="1102"/>
        <w:gridCol w:w="1942"/>
        <w:gridCol w:w="185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序号</w:t>
            </w:r>
          </w:p>
        </w:tc>
        <w:tc>
          <w:tcPr>
            <w:tcW w:w="945" w:type="dxa"/>
            <w:tcBorders>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eastAsia="仿宋_GB2312" w:cs="仿宋_GB2312"/>
                <w:b/>
                <w:bCs/>
                <w:i w:val="0"/>
                <w:iCs w:val="0"/>
                <w:color w:val="000000"/>
                <w:kern w:val="0"/>
                <w:sz w:val="21"/>
                <w:szCs w:val="21"/>
                <w:highlight w:val="none"/>
                <w:u w:val="none"/>
                <w:lang w:val="en-US" w:eastAsia="zh-CN" w:bidi="ar"/>
              </w:rPr>
              <w:t>河流</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名称</w:t>
            </w:r>
          </w:p>
        </w:tc>
        <w:tc>
          <w:tcPr>
            <w:tcW w:w="1491" w:type="dxa"/>
            <w:tcBorders>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断面名称</w:t>
            </w:r>
          </w:p>
        </w:tc>
        <w:tc>
          <w:tcPr>
            <w:tcW w:w="1061" w:type="dxa"/>
            <w:tcBorders>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责任主体</w:t>
            </w:r>
          </w:p>
        </w:tc>
        <w:tc>
          <w:tcPr>
            <w:tcW w:w="1102" w:type="dxa"/>
            <w:tcBorders>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水质目标</w:t>
            </w:r>
          </w:p>
        </w:tc>
        <w:tc>
          <w:tcPr>
            <w:tcW w:w="1942" w:type="dxa"/>
            <w:tcBorders>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经度</w:t>
            </w:r>
          </w:p>
        </w:tc>
        <w:tc>
          <w:tcPr>
            <w:tcW w:w="1851" w:type="dxa"/>
            <w:tcBorders>
              <w:left w:val="single" w:color="000000" w:sz="8" w:space="0"/>
              <w:bottom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纬度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w:t>
            </w:r>
          </w:p>
        </w:tc>
        <w:tc>
          <w:tcPr>
            <w:tcW w:w="945"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小柳河</w:t>
            </w: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大板桥</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盘山县</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Ⅳ</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122°8′5.19″</w:t>
            </w:r>
          </w:p>
        </w:tc>
        <w:tc>
          <w:tcPr>
            <w:tcW w:w="1851" w:type="dxa"/>
            <w:tcBorders>
              <w:top w:val="single" w:color="000000" w:sz="8" w:space="0"/>
              <w:left w:val="single" w:color="000000" w:sz="8" w:space="0"/>
              <w:bottom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41°12′58.35″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w:t>
            </w: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闸北桥</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双台子区</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Ⅳ</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122°4′58.48″</w:t>
            </w:r>
          </w:p>
        </w:tc>
        <w:tc>
          <w:tcPr>
            <w:tcW w:w="1851" w:type="dxa"/>
            <w:tcBorders>
              <w:top w:val="single" w:color="000000" w:sz="8" w:space="0"/>
              <w:left w:val="single" w:color="000000" w:sz="8" w:space="0"/>
              <w:bottom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41°11′35.04″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3</w:t>
            </w:r>
          </w:p>
        </w:tc>
        <w:tc>
          <w:tcPr>
            <w:tcW w:w="945"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一统河</w:t>
            </w: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粮文线</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盘山县</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Ⅳ</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122°6′10.01″</w:t>
            </w:r>
          </w:p>
        </w:tc>
        <w:tc>
          <w:tcPr>
            <w:tcW w:w="1851" w:type="dxa"/>
            <w:tcBorders>
              <w:top w:val="single" w:color="000000" w:sz="8" w:space="0"/>
              <w:left w:val="single" w:color="000000" w:sz="8" w:space="0"/>
              <w:bottom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41°14′52.62″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_GB2312" w:hAnsi="仿宋_GB2312" w:eastAsia="仿宋_GB2312" w:cs="仿宋_GB2312"/>
                <w:i w:val="0"/>
                <w:iCs w:val="0"/>
                <w:color w:val="000000"/>
                <w:sz w:val="21"/>
                <w:szCs w:val="21"/>
                <w:u w:val="none"/>
              </w:rPr>
            </w:pP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中华路桥</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双台子区</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Ⅳ</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122°0′54.37″</w:t>
            </w:r>
          </w:p>
        </w:tc>
        <w:tc>
          <w:tcPr>
            <w:tcW w:w="1851" w:type="dxa"/>
            <w:tcBorders>
              <w:top w:val="single" w:color="000000" w:sz="8" w:space="0"/>
              <w:left w:val="single" w:color="000000" w:sz="8" w:space="0"/>
              <w:bottom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41°11′20.13″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945" w:type="dxa"/>
            <w:vMerge w:val="restart"/>
            <w:tcBorders>
              <w:top w:val="single" w:color="000000" w:sz="8" w:space="0"/>
              <w:left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太平河</w:t>
            </w: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305国道桥</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盘山县</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Ⅳ</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122°1′3.06″</w:t>
            </w:r>
          </w:p>
        </w:tc>
        <w:tc>
          <w:tcPr>
            <w:tcW w:w="1851" w:type="dxa"/>
            <w:tcBorders>
              <w:top w:val="single" w:color="000000" w:sz="8" w:space="0"/>
              <w:left w:val="single" w:color="000000" w:sz="8" w:space="0"/>
              <w:bottom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41°13′49.80″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945" w:type="dxa"/>
            <w:vMerge w:val="continue"/>
            <w:tcBorders>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_GB2312" w:hAnsi="仿宋_GB2312" w:eastAsia="仿宋_GB2312" w:cs="仿宋_GB2312"/>
                <w:i w:val="0"/>
                <w:iCs w:val="0"/>
                <w:color w:val="000000"/>
                <w:sz w:val="21"/>
                <w:szCs w:val="21"/>
                <w:u w:val="none"/>
                <w:lang w:val="en-US" w:eastAsia="zh-CN"/>
              </w:rPr>
            </w:pP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新生桥</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双台子区</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Ⅳ</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121°55′30.38″</w:t>
            </w:r>
          </w:p>
        </w:tc>
        <w:tc>
          <w:tcPr>
            <w:tcW w:w="1851" w:type="dxa"/>
            <w:tcBorders>
              <w:top w:val="single" w:color="000000" w:sz="8" w:space="0"/>
              <w:left w:val="single" w:color="000000" w:sz="8" w:space="0"/>
              <w:bottom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41°9′40.38″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sz w:val="21"/>
                <w:szCs w:val="21"/>
                <w:highlight w:val="none"/>
                <w:u w:val="none"/>
                <w:lang w:val="en-US" w:eastAsia="zh-CN"/>
              </w:rPr>
              <w:t>螃蟹沟</w:t>
            </w: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于岗子桥</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兴隆台区</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Ⅴ</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121°57′14.37″</w:t>
            </w:r>
          </w:p>
        </w:tc>
        <w:tc>
          <w:tcPr>
            <w:tcW w:w="1851" w:type="dxa"/>
            <w:tcBorders>
              <w:top w:val="single" w:color="000000" w:sz="8" w:space="0"/>
              <w:left w:val="single" w:color="000000" w:sz="8" w:space="0"/>
              <w:bottom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41°7′17.94″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945"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六零河</w:t>
            </w: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后郭家屯桥</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盘山县</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Ⅴ</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122°7′31.97″</w:t>
            </w:r>
          </w:p>
        </w:tc>
        <w:tc>
          <w:tcPr>
            <w:tcW w:w="1851" w:type="dxa"/>
            <w:tcBorders>
              <w:top w:val="single" w:color="000000" w:sz="8" w:space="0"/>
              <w:left w:val="single" w:color="000000" w:sz="8" w:space="0"/>
              <w:bottom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41°10′33.21″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9</w:t>
            </w: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_GB2312" w:hAnsi="仿宋_GB2312" w:eastAsia="仿宋_GB2312" w:cs="仿宋_GB2312"/>
                <w:i w:val="0"/>
                <w:iCs w:val="0"/>
                <w:color w:val="000000"/>
                <w:sz w:val="21"/>
                <w:szCs w:val="21"/>
                <w:u w:val="none"/>
              </w:rPr>
            </w:pP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兴油街桥</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兴隆台区</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Ⅴ</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122°4′31.36″</w:t>
            </w:r>
          </w:p>
        </w:tc>
        <w:tc>
          <w:tcPr>
            <w:tcW w:w="1851" w:type="dxa"/>
            <w:tcBorders>
              <w:top w:val="single" w:color="000000" w:sz="8" w:space="0"/>
              <w:left w:val="single" w:color="000000" w:sz="8" w:space="0"/>
              <w:bottom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41°8′12.64″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i w:val="0"/>
                <w:iCs w:val="0"/>
                <w:color w:val="000000"/>
                <w:sz w:val="21"/>
                <w:szCs w:val="21"/>
                <w:highlight w:val="none"/>
                <w:u w:val="none"/>
                <w:lang w:val="en-US" w:eastAsia="zh-CN"/>
              </w:rPr>
              <w:t>清水河</w:t>
            </w: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清水河闸</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大洼区</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Ⅳ</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121°54′52.62″</w:t>
            </w:r>
          </w:p>
        </w:tc>
        <w:tc>
          <w:tcPr>
            <w:tcW w:w="1851" w:type="dxa"/>
            <w:tcBorders>
              <w:top w:val="single" w:color="000000" w:sz="8" w:space="0"/>
              <w:left w:val="single" w:color="000000" w:sz="8" w:space="0"/>
              <w:bottom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41°3′27.10″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赵圈河排干</w:t>
            </w: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挡潮闸</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大洼区</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Ⅴ</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121°53′52.91″</w:t>
            </w:r>
          </w:p>
        </w:tc>
        <w:tc>
          <w:tcPr>
            <w:tcW w:w="1851" w:type="dxa"/>
            <w:tcBorders>
              <w:top w:val="single" w:color="000000" w:sz="8" w:space="0"/>
              <w:left w:val="single" w:color="000000" w:sz="8" w:space="0"/>
              <w:bottom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41°1′51.84″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三排总</w:t>
            </w: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南小线桥</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大洼区</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Ⅴ</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122°3′8.17″</w:t>
            </w:r>
          </w:p>
        </w:tc>
        <w:tc>
          <w:tcPr>
            <w:tcW w:w="1851" w:type="dxa"/>
            <w:tcBorders>
              <w:top w:val="single" w:color="000000" w:sz="8" w:space="0"/>
              <w:left w:val="single" w:color="000000" w:sz="8" w:space="0"/>
              <w:bottom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41°1′51.15″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绕阳河</w:t>
            </w: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鱼圈沟漫水桥</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盘山县</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Ⅳ</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121°51′2.66″</w:t>
            </w:r>
          </w:p>
        </w:tc>
        <w:tc>
          <w:tcPr>
            <w:tcW w:w="1851" w:type="dxa"/>
            <w:tcBorders>
              <w:top w:val="single" w:color="000000" w:sz="8" w:space="0"/>
              <w:left w:val="single" w:color="000000" w:sz="8" w:space="0"/>
              <w:bottom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41°10′36.53″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945" w:type="dxa"/>
            <w:vMerge w:val="restart"/>
            <w:tcBorders>
              <w:top w:val="single" w:color="000000" w:sz="8" w:space="0"/>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双绕河</w:t>
            </w: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外环桥</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双台子区</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Ⅳ</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121°58′43.67″</w:t>
            </w:r>
          </w:p>
        </w:tc>
        <w:tc>
          <w:tcPr>
            <w:tcW w:w="1851" w:type="dxa"/>
            <w:tcBorders>
              <w:top w:val="single" w:color="000000" w:sz="8" w:space="0"/>
              <w:left w:val="single" w:color="000000" w:sz="8" w:space="0"/>
              <w:bottom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41°12′52.19″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945" w:type="dxa"/>
            <w:vMerge w:val="continue"/>
            <w:tcBorders>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_GB2312" w:hAnsi="仿宋_GB2312" w:eastAsia="仿宋_GB2312" w:cs="仿宋_GB2312"/>
                <w:i w:val="0"/>
                <w:iCs w:val="0"/>
                <w:color w:val="000000"/>
                <w:sz w:val="21"/>
                <w:szCs w:val="21"/>
                <w:u w:val="none"/>
                <w:lang w:val="en-US" w:eastAsia="zh-CN"/>
              </w:rPr>
            </w:pP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102省道双绕河桥</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盘山县</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Ⅳ</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121°55′12.94″</w:t>
            </w:r>
          </w:p>
        </w:tc>
        <w:tc>
          <w:tcPr>
            <w:tcW w:w="1851" w:type="dxa"/>
            <w:tcBorders>
              <w:top w:val="single" w:color="000000" w:sz="8" w:space="0"/>
              <w:left w:val="single" w:color="000000" w:sz="8" w:space="0"/>
              <w:bottom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41°12′49.64″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西沙河</w:t>
            </w: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腰铺</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盘山县</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Ⅳ</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121°50′9.51″</w:t>
            </w:r>
          </w:p>
        </w:tc>
        <w:tc>
          <w:tcPr>
            <w:tcW w:w="1851" w:type="dxa"/>
            <w:tcBorders>
              <w:top w:val="single" w:color="000000" w:sz="8" w:space="0"/>
              <w:left w:val="single" w:color="000000" w:sz="8" w:space="0"/>
              <w:bottom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41°12′28.25″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945"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锦盘河</w:t>
            </w:r>
          </w:p>
        </w:tc>
        <w:tc>
          <w:tcPr>
            <w:tcW w:w="149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308省道锦盘河桥</w:t>
            </w:r>
          </w:p>
        </w:tc>
        <w:tc>
          <w:tcPr>
            <w:tcW w:w="106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盘山县</w:t>
            </w:r>
          </w:p>
        </w:tc>
        <w:tc>
          <w:tcPr>
            <w:tcW w:w="1102"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Ⅳ</w:t>
            </w:r>
          </w:p>
        </w:tc>
        <w:tc>
          <w:tcPr>
            <w:tcW w:w="1942"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121°47′25.44″</w:t>
            </w:r>
          </w:p>
        </w:tc>
        <w:tc>
          <w:tcPr>
            <w:tcW w:w="1851" w:type="dxa"/>
            <w:tcBorders>
              <w:top w:val="nil"/>
              <w:left w:val="single" w:color="000000" w:sz="8" w:space="0"/>
              <w:bottom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41°9′27.33″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945"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驾掌寺河</w:t>
            </w:r>
          </w:p>
        </w:tc>
        <w:tc>
          <w:tcPr>
            <w:tcW w:w="149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腰屯桥</w:t>
            </w:r>
          </w:p>
        </w:tc>
        <w:tc>
          <w:tcPr>
            <w:tcW w:w="106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大洼区</w:t>
            </w:r>
          </w:p>
        </w:tc>
        <w:tc>
          <w:tcPr>
            <w:tcW w:w="1102"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Ⅴ</w:t>
            </w:r>
          </w:p>
        </w:tc>
        <w:tc>
          <w:tcPr>
            <w:tcW w:w="1942"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122°18′58.93″</w:t>
            </w:r>
          </w:p>
        </w:tc>
        <w:tc>
          <w:tcPr>
            <w:tcW w:w="1851" w:type="dxa"/>
            <w:tcBorders>
              <w:top w:val="nil"/>
              <w:left w:val="single" w:color="000000" w:sz="8" w:space="0"/>
              <w:bottom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40°59′20.93″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nil"/>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945" w:type="dxa"/>
            <w:tcBorders>
              <w:top w:val="nil"/>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接官厅排干</w:t>
            </w:r>
          </w:p>
        </w:tc>
        <w:tc>
          <w:tcPr>
            <w:tcW w:w="1491" w:type="dxa"/>
            <w:tcBorders>
              <w:top w:val="nil"/>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接官厅排干闸</w:t>
            </w:r>
          </w:p>
        </w:tc>
        <w:tc>
          <w:tcPr>
            <w:tcW w:w="1061" w:type="dxa"/>
            <w:tcBorders>
              <w:top w:val="nil"/>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大洼区</w:t>
            </w:r>
          </w:p>
        </w:tc>
        <w:tc>
          <w:tcPr>
            <w:tcW w:w="1102" w:type="dxa"/>
            <w:tcBorders>
              <w:top w:val="nil"/>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Ⅳ</w:t>
            </w:r>
          </w:p>
        </w:tc>
        <w:tc>
          <w:tcPr>
            <w:tcW w:w="1942" w:type="dxa"/>
            <w:tcBorders>
              <w:top w:val="nil"/>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121°50′54.24″</w:t>
            </w:r>
          </w:p>
        </w:tc>
        <w:tc>
          <w:tcPr>
            <w:tcW w:w="1851" w:type="dxa"/>
            <w:tcBorders>
              <w:top w:val="nil"/>
              <w:lef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40°54′14.32″</w:t>
            </w:r>
          </w:p>
        </w:tc>
      </w:tr>
    </w:tbl>
    <w:p>
      <w:pPr>
        <w:pageBreakBefore w:val="0"/>
        <w:widowControl w:val="0"/>
        <w:kinsoku/>
        <w:wordWrap/>
        <w:overflowPunct/>
        <w:topLinePunct w:val="0"/>
        <w:autoSpaceDE/>
        <w:autoSpaceDN/>
        <w:bidi w:val="0"/>
        <w:spacing w:line="600" w:lineRule="exact"/>
        <w:ind w:firstLine="640"/>
        <w:jc w:val="center"/>
        <w:textAlignment w:val="auto"/>
        <w:rPr>
          <w:rFonts w:hint="default" w:ascii="仿宋_GB2312" w:hAnsi="仿宋_GB2312" w:eastAsia="仿宋_GB2312" w:cs="仿宋_GB2312"/>
          <w:kern w:val="0"/>
          <w:szCs w:val="32"/>
          <w:lang w:val="en-US" w:eastAsia="zh-CN"/>
        </w:rPr>
      </w:pPr>
      <w:r>
        <w:rPr>
          <w:rFonts w:hint="eastAsia" w:ascii="仿宋_GB2312" w:hAnsi="仿宋_GB2312" w:cs="仿宋_GB2312"/>
          <w:b/>
          <w:bCs/>
          <w:sz w:val="24"/>
          <w:lang w:val="en-US" w:eastAsia="zh-CN"/>
        </w:rPr>
        <w:t xml:space="preserve"> </w:t>
      </w:r>
    </w:p>
    <w:bookmarkEnd w:id="123"/>
    <w:p>
      <w:pPr>
        <w:keepNext/>
        <w:keepLines/>
        <w:adjustRightInd w:val="0"/>
        <w:snapToGrid w:val="0"/>
        <w:spacing w:before="217" w:beforeLines="50" w:after="217" w:afterLines="50" w:line="240" w:lineRule="auto"/>
        <w:ind w:left="0" w:firstLine="0" w:firstLineChars="0"/>
        <w:jc w:val="center"/>
        <w:outlineLvl w:val="9"/>
        <w:rPr>
          <w:rFonts w:hint="eastAsia" w:ascii="仿宋_GB2312" w:hAnsi="仿宋_GB2312" w:cs="仿宋_GB2312"/>
          <w:b/>
          <w:bCs/>
          <w:sz w:val="24"/>
          <w:highlight w:val="none"/>
          <w:lang w:val="en-US" w:eastAsia="zh-CN"/>
        </w:rPr>
      </w:pPr>
      <w:bookmarkStart w:id="124" w:name="_Toc7889"/>
      <w:r>
        <w:rPr>
          <w:rFonts w:hint="eastAsia" w:ascii="仿宋_GB2312" w:hAnsi="仿宋_GB2312" w:cs="仿宋_GB2312"/>
          <w:b/>
          <w:bCs/>
          <w:sz w:val="24"/>
          <w:highlight w:val="none"/>
          <w:lang w:val="en-US" w:eastAsia="zh-CN"/>
        </w:rPr>
        <w:t>表2-2  30个分析断面</w:t>
      </w:r>
      <w:bookmarkEnd w:id="124"/>
      <w:r>
        <w:rPr>
          <w:rFonts w:hint="eastAsia" w:ascii="仿宋_GB2312" w:hAnsi="仿宋_GB2312" w:eastAsia="仿宋_GB2312" w:cs="仿宋_GB2312"/>
          <w:b/>
          <w:bCs/>
          <w:sz w:val="24"/>
          <w:highlight w:val="none"/>
          <w:lang w:val="en-US" w:eastAsia="zh-CN"/>
        </w:rPr>
        <w:t>名单</w:t>
      </w:r>
    </w:p>
    <w:tbl>
      <w:tblPr>
        <w:tblStyle w:val="56"/>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0" w:type="dxa"/>
          <w:bottom w:w="0" w:type="dxa"/>
          <w:right w:w="0" w:type="dxa"/>
        </w:tblCellMar>
      </w:tblPr>
      <w:tblGrid>
        <w:gridCol w:w="688"/>
        <w:gridCol w:w="1119"/>
        <w:gridCol w:w="1039"/>
        <w:gridCol w:w="1039"/>
        <w:gridCol w:w="683"/>
        <w:gridCol w:w="711"/>
        <w:gridCol w:w="1245"/>
        <w:gridCol w:w="1140"/>
        <w:gridCol w:w="796"/>
      </w:tblGrid>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25" w:hRule="atLeast"/>
        </w:trPr>
        <w:tc>
          <w:tcPr>
            <w:tcW w:w="688" w:type="dxa"/>
            <w:tcBorders>
              <w:top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序号</w:t>
            </w:r>
          </w:p>
        </w:tc>
        <w:tc>
          <w:tcPr>
            <w:tcW w:w="111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河流名称</w:t>
            </w:r>
          </w:p>
        </w:tc>
        <w:tc>
          <w:tcPr>
            <w:tcW w:w="103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断面名称</w:t>
            </w:r>
          </w:p>
        </w:tc>
        <w:tc>
          <w:tcPr>
            <w:tcW w:w="103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所在县区</w:t>
            </w:r>
          </w:p>
        </w:tc>
        <w:tc>
          <w:tcPr>
            <w:tcW w:w="68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水质目标</w:t>
            </w:r>
          </w:p>
        </w:tc>
        <w:tc>
          <w:tcPr>
            <w:tcW w:w="71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断面类别</w:t>
            </w:r>
          </w:p>
        </w:tc>
        <w:tc>
          <w:tcPr>
            <w:tcW w:w="12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经度</w:t>
            </w:r>
          </w:p>
        </w:tc>
        <w:tc>
          <w:tcPr>
            <w:tcW w:w="114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纬度</w:t>
            </w:r>
          </w:p>
        </w:tc>
        <w:tc>
          <w:tcPr>
            <w:tcW w:w="796" w:type="dxa"/>
            <w:tcBorders>
              <w:top w:val="single" w:color="000000" w:sz="8" w:space="0"/>
              <w:left w:val="nil"/>
              <w:bottom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备注</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辽河</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九台子</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盘山县</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Ⅳ</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122°20′56.04″</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41°11′38.96″</w:t>
            </w:r>
          </w:p>
        </w:tc>
        <w:tc>
          <w:tcPr>
            <w:tcW w:w="796" w:type="dxa"/>
            <w:tcBorders>
              <w:top w:val="nil"/>
              <w:left w:val="nil"/>
              <w:bottom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入境</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小柳河</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丁家柳河桥</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盘山县</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Ⅳ</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122°14′27.95″</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41°14′29.56″</w:t>
            </w:r>
          </w:p>
        </w:tc>
        <w:tc>
          <w:tcPr>
            <w:tcW w:w="796" w:type="dxa"/>
            <w:tcBorders>
              <w:top w:val="nil"/>
              <w:left w:val="nil"/>
              <w:bottom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入境</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旧绕阳河</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莲花村桥</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盘山县</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Ⅳ</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122°16′16.09″</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41°19′33.27″</w:t>
            </w:r>
          </w:p>
        </w:tc>
        <w:tc>
          <w:tcPr>
            <w:tcW w:w="796" w:type="dxa"/>
            <w:tcBorders>
              <w:top w:val="nil"/>
              <w:left w:val="nil"/>
              <w:bottom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入境</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太平河</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三道村桥</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盘山县</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Ⅳ</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122°7′17.22″</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41°18′54.05″</w:t>
            </w:r>
          </w:p>
        </w:tc>
        <w:tc>
          <w:tcPr>
            <w:tcW w:w="796" w:type="dxa"/>
            <w:tcBorders>
              <w:top w:val="nil"/>
              <w:left w:val="nil"/>
              <w:bottom w:val="single" w:color="000000" w:sz="8" w:space="0"/>
            </w:tcBorders>
            <w:noWrap w:val="0"/>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i w:val="0"/>
                <w:color w:val="000000"/>
                <w:sz w:val="21"/>
                <w:szCs w:val="21"/>
                <w:u w:val="none"/>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太平河</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入干口</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兴隆台区</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Ⅳ</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121°54′57.80″</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41°8′34.74″</w:t>
            </w:r>
          </w:p>
        </w:tc>
        <w:tc>
          <w:tcPr>
            <w:tcW w:w="796" w:type="dxa"/>
            <w:tcBorders>
              <w:top w:val="nil"/>
              <w:left w:val="nil"/>
              <w:bottom w:val="single" w:color="000000" w:sz="8" w:space="0"/>
            </w:tcBorders>
            <w:noWrap w:val="0"/>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i w:val="0"/>
                <w:color w:val="000000"/>
                <w:sz w:val="21"/>
                <w:szCs w:val="21"/>
                <w:u w:val="none"/>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螃蟹沟</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杨家站闸前</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兴隆台区</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Ⅴ</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122°7′40.23″</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41°7′21.67″</w:t>
            </w:r>
          </w:p>
        </w:tc>
        <w:tc>
          <w:tcPr>
            <w:tcW w:w="796" w:type="dxa"/>
            <w:tcBorders>
              <w:top w:val="nil"/>
              <w:left w:val="nil"/>
              <w:bottom w:val="single" w:color="000000" w:sz="8" w:space="0"/>
            </w:tcBorders>
            <w:noWrap w:val="0"/>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i w:val="0"/>
                <w:color w:val="000000"/>
                <w:sz w:val="21"/>
                <w:szCs w:val="21"/>
                <w:u w:val="none"/>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螃蟹沟</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中华北路桥</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兴隆台区</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Ⅴ</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122°1′39.26″</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41°7′18.99″</w:t>
            </w:r>
          </w:p>
        </w:tc>
        <w:tc>
          <w:tcPr>
            <w:tcW w:w="796" w:type="dxa"/>
            <w:tcBorders>
              <w:top w:val="nil"/>
              <w:left w:val="nil"/>
              <w:bottom w:val="single" w:color="000000" w:sz="8" w:space="0"/>
            </w:tcBorders>
            <w:noWrap w:val="0"/>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i w:val="0"/>
                <w:color w:val="000000"/>
                <w:sz w:val="21"/>
                <w:szCs w:val="21"/>
                <w:u w:val="none"/>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螃蟹沟</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于岗子闸</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兴隆台区</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Ⅴ</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121°56′35.91″</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41°8′4.61″</w:t>
            </w:r>
          </w:p>
        </w:tc>
        <w:tc>
          <w:tcPr>
            <w:tcW w:w="796" w:type="dxa"/>
            <w:tcBorders>
              <w:top w:val="nil"/>
              <w:left w:val="nil"/>
              <w:bottom w:val="single" w:color="000000" w:sz="8" w:space="0"/>
            </w:tcBorders>
            <w:noWrap w:val="0"/>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i w:val="0"/>
                <w:color w:val="000000"/>
                <w:sz w:val="21"/>
                <w:szCs w:val="21"/>
                <w:u w:val="none"/>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清水河</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向海大道桥</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大洼区</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Ⅳ</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122°4′39.94″</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41°3′51.16″</w:t>
            </w:r>
          </w:p>
        </w:tc>
        <w:tc>
          <w:tcPr>
            <w:tcW w:w="796" w:type="dxa"/>
            <w:tcBorders>
              <w:top w:val="nil"/>
              <w:left w:val="nil"/>
              <w:bottom w:val="single" w:color="000000" w:sz="8" w:space="0"/>
            </w:tcBorders>
            <w:noWrap w:val="0"/>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i w:val="0"/>
                <w:color w:val="000000"/>
                <w:sz w:val="21"/>
                <w:szCs w:val="21"/>
                <w:u w:val="none"/>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清水河</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清水河桥</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大洼区</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Ⅳ</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121°58′5.05″</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41°3′54.88″</w:t>
            </w:r>
          </w:p>
        </w:tc>
        <w:tc>
          <w:tcPr>
            <w:tcW w:w="796" w:type="dxa"/>
            <w:tcBorders>
              <w:top w:val="nil"/>
              <w:left w:val="nil"/>
              <w:bottom w:val="single" w:color="000000" w:sz="8" w:space="0"/>
            </w:tcBorders>
            <w:noWrap w:val="0"/>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i w:val="0"/>
                <w:color w:val="000000"/>
                <w:sz w:val="21"/>
                <w:szCs w:val="21"/>
                <w:u w:val="none"/>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赵圈河排干</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甄家街节制闸前</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大洼区</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Ⅴ</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122°7′37.61″</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41°0′45.64″</w:t>
            </w:r>
          </w:p>
        </w:tc>
        <w:tc>
          <w:tcPr>
            <w:tcW w:w="796" w:type="dxa"/>
            <w:tcBorders>
              <w:top w:val="nil"/>
              <w:left w:val="nil"/>
              <w:bottom w:val="single" w:color="000000" w:sz="8" w:space="0"/>
            </w:tcBorders>
            <w:noWrap w:val="0"/>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i w:val="0"/>
                <w:color w:val="000000"/>
                <w:sz w:val="21"/>
                <w:szCs w:val="21"/>
                <w:u w:val="none"/>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赵圈河排干</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营盘线桥</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大洼区</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Ⅴ</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122°2′13.48″</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41°2′15.85″</w:t>
            </w:r>
          </w:p>
        </w:tc>
        <w:tc>
          <w:tcPr>
            <w:tcW w:w="796" w:type="dxa"/>
            <w:tcBorders>
              <w:top w:val="nil"/>
              <w:left w:val="nil"/>
              <w:bottom w:val="single" w:color="000000" w:sz="8" w:space="0"/>
            </w:tcBorders>
            <w:noWrap w:val="0"/>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i w:val="0"/>
                <w:color w:val="000000"/>
                <w:sz w:val="21"/>
                <w:szCs w:val="21"/>
                <w:u w:val="none"/>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赵圈河排干</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清水镇桥</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大洼区</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Ⅴ</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121°58′49.39″</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41°2′32.40″</w:t>
            </w:r>
          </w:p>
        </w:tc>
        <w:tc>
          <w:tcPr>
            <w:tcW w:w="796" w:type="dxa"/>
            <w:tcBorders>
              <w:top w:val="nil"/>
              <w:left w:val="nil"/>
              <w:bottom w:val="single" w:color="000000" w:sz="8" w:space="0"/>
            </w:tcBorders>
            <w:noWrap w:val="0"/>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i w:val="0"/>
                <w:color w:val="000000"/>
                <w:sz w:val="21"/>
                <w:szCs w:val="21"/>
                <w:u w:val="none"/>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绕阳河</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后屯桥</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盘山县</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Ⅳ</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122°10′7 .27″</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41°26′11.26″</w:t>
            </w:r>
          </w:p>
        </w:tc>
        <w:tc>
          <w:tcPr>
            <w:tcW w:w="796" w:type="dxa"/>
            <w:tcBorders>
              <w:top w:val="nil"/>
              <w:left w:val="nil"/>
              <w:bottom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入境</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绕阳河</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二道闸</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盘山县</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Ⅳ</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121°52′56.06″</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41°13′51.92″</w:t>
            </w:r>
          </w:p>
        </w:tc>
        <w:tc>
          <w:tcPr>
            <w:tcW w:w="796" w:type="dxa"/>
            <w:tcBorders>
              <w:top w:val="nil"/>
              <w:left w:val="nil"/>
              <w:bottom w:val="single" w:color="000000" w:sz="8" w:space="0"/>
            </w:tcBorders>
            <w:noWrap w:val="0"/>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i w:val="0"/>
                <w:color w:val="000000"/>
                <w:sz w:val="21"/>
                <w:szCs w:val="21"/>
                <w:u w:val="none"/>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绕阳河</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万金滩</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盘山县</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Ⅳ</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121°49′38.00″</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41°6′16.25″</w:t>
            </w:r>
          </w:p>
        </w:tc>
        <w:tc>
          <w:tcPr>
            <w:tcW w:w="796" w:type="dxa"/>
            <w:tcBorders>
              <w:top w:val="nil"/>
              <w:left w:val="nil"/>
              <w:bottom w:val="single" w:color="000000" w:sz="8" w:space="0"/>
            </w:tcBorders>
            <w:noWrap w:val="0"/>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i w:val="0"/>
                <w:color w:val="000000"/>
                <w:sz w:val="21"/>
                <w:szCs w:val="21"/>
                <w:u w:val="none"/>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绕阳河</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双绕河闸</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盘山县</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Ⅳ</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121°53′38.04″</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41°12′56.97″</w:t>
            </w:r>
          </w:p>
        </w:tc>
        <w:tc>
          <w:tcPr>
            <w:tcW w:w="796" w:type="dxa"/>
            <w:tcBorders>
              <w:top w:val="nil"/>
              <w:left w:val="nil"/>
              <w:bottom w:val="single" w:color="000000" w:sz="8" w:space="0"/>
            </w:tcBorders>
            <w:noWrap w:val="0"/>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i w:val="0"/>
                <w:color w:val="000000"/>
                <w:sz w:val="21"/>
                <w:szCs w:val="21"/>
                <w:u w:val="none"/>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西沙河</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三家子桥</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盘山县</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Ⅳ</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121°53′9.65″</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41°19′17.72″</w:t>
            </w:r>
          </w:p>
        </w:tc>
        <w:tc>
          <w:tcPr>
            <w:tcW w:w="796" w:type="dxa"/>
            <w:tcBorders>
              <w:top w:val="nil"/>
              <w:left w:val="nil"/>
              <w:bottom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入境</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鸭子河</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鲜峰桥</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盘山县</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Ⅳ</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121°46′20.24″</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41°19′32.11″</w:t>
            </w:r>
          </w:p>
        </w:tc>
        <w:tc>
          <w:tcPr>
            <w:tcW w:w="796" w:type="dxa"/>
            <w:tcBorders>
              <w:top w:val="nil"/>
              <w:left w:val="nil"/>
              <w:bottom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入境</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大羊河</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小南荒桥</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盘山县</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Ⅳ</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121°38′57.02″</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41°16′55.22″</w:t>
            </w:r>
          </w:p>
        </w:tc>
        <w:tc>
          <w:tcPr>
            <w:tcW w:w="796" w:type="dxa"/>
            <w:tcBorders>
              <w:top w:val="nil"/>
              <w:left w:val="nil"/>
              <w:bottom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入境</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月牙河</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小板村桥</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盘山县</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Ⅳ</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121°43′37.71″</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41°17′51.62″</w:t>
            </w:r>
          </w:p>
        </w:tc>
        <w:tc>
          <w:tcPr>
            <w:tcW w:w="796" w:type="dxa"/>
            <w:tcBorders>
              <w:top w:val="nil"/>
              <w:left w:val="nil"/>
              <w:bottom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入境</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贺张沟</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张家沟桥</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盘山县</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Ⅳ</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121°49′6 .09″</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41°20′32.31″</w:t>
            </w:r>
          </w:p>
        </w:tc>
        <w:tc>
          <w:tcPr>
            <w:tcW w:w="796" w:type="dxa"/>
            <w:tcBorders>
              <w:top w:val="nil"/>
              <w:left w:val="nil"/>
              <w:bottom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入境</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锦盘河</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锦盘河入境桥</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盘山县</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Ⅳ</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121°37′21.25″</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41°12′16.98″</w:t>
            </w:r>
          </w:p>
        </w:tc>
        <w:tc>
          <w:tcPr>
            <w:tcW w:w="796" w:type="dxa"/>
            <w:tcBorders>
              <w:top w:val="nil"/>
              <w:left w:val="nil"/>
              <w:bottom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入境</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潮沟河</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曙欢路桥</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盘山县</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Ⅳ</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121°38′44.65″</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41°3 ′11.49″</w:t>
            </w:r>
          </w:p>
        </w:tc>
        <w:tc>
          <w:tcPr>
            <w:tcW w:w="796" w:type="dxa"/>
            <w:tcBorders>
              <w:top w:val="nil"/>
              <w:left w:val="nil"/>
              <w:bottom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入境</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南屁岗子河</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兴辽路桥</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盘山县</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Ⅳ</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121°47′59.74″</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41°3′11.08″</w:t>
            </w:r>
          </w:p>
        </w:tc>
        <w:tc>
          <w:tcPr>
            <w:tcW w:w="796" w:type="dxa"/>
            <w:tcBorders>
              <w:top w:val="nil"/>
              <w:left w:val="nil"/>
              <w:bottom w:val="single" w:color="000000" w:sz="8" w:space="0"/>
            </w:tcBorders>
            <w:noWrap w:val="0"/>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i w:val="0"/>
                <w:color w:val="000000"/>
                <w:sz w:val="21"/>
                <w:szCs w:val="21"/>
                <w:u w:val="none"/>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大辽河</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三岔河</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盘山县</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Ⅴ</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122°25′8.18″</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41°0′18.59″</w:t>
            </w:r>
          </w:p>
        </w:tc>
        <w:tc>
          <w:tcPr>
            <w:tcW w:w="796" w:type="dxa"/>
            <w:tcBorders>
              <w:top w:val="nil"/>
              <w:left w:val="nil"/>
              <w:bottom w:val="single" w:color="000000" w:sz="8" w:space="0"/>
            </w:tcBorders>
            <w:noWrap w:val="0"/>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i w:val="0"/>
                <w:color w:val="000000"/>
                <w:sz w:val="21"/>
                <w:szCs w:val="21"/>
                <w:u w:val="none"/>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大辽河</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田庄台大桥</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大洼区</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Ⅴ</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122°8′15.92″</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40°49′16.84″</w:t>
            </w:r>
          </w:p>
        </w:tc>
        <w:tc>
          <w:tcPr>
            <w:tcW w:w="796" w:type="dxa"/>
            <w:tcBorders>
              <w:top w:val="nil"/>
              <w:left w:val="nil"/>
              <w:bottom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入海</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103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28</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雁河</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四号泵站桥</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盘锦辽滨沿海经济技术开发区</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Ⅳ</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122°5′59.35″</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40°43′35.67″</w:t>
            </w:r>
          </w:p>
        </w:tc>
        <w:tc>
          <w:tcPr>
            <w:tcW w:w="796" w:type="dxa"/>
            <w:tcBorders>
              <w:top w:val="nil"/>
              <w:left w:val="nil"/>
              <w:bottom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入海</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103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29</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红旗沟</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滨海大道桥</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盘锦辽滨沿海经济技术开发区</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Ⅳ</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122°2′16.57″</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40°45′28.28″</w:t>
            </w:r>
          </w:p>
        </w:tc>
        <w:tc>
          <w:tcPr>
            <w:tcW w:w="796" w:type="dxa"/>
            <w:tcBorders>
              <w:top w:val="nil"/>
              <w:left w:val="nil"/>
              <w:bottom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入海</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w:t>
            </w:r>
          </w:p>
        </w:tc>
        <w:tc>
          <w:tcPr>
            <w:tcW w:w="111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女儿沟</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女儿沟闸</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大洼区</w:t>
            </w:r>
          </w:p>
        </w:tc>
        <w:tc>
          <w:tcPr>
            <w:tcW w:w="68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Ⅳ</w:t>
            </w:r>
          </w:p>
        </w:tc>
        <w:tc>
          <w:tcPr>
            <w:tcW w:w="71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分析</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121°57′14.77″</w:t>
            </w:r>
          </w:p>
        </w:tc>
        <w:tc>
          <w:tcPr>
            <w:tcW w:w="11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40°47′50.33″</w:t>
            </w:r>
          </w:p>
        </w:tc>
        <w:tc>
          <w:tcPr>
            <w:tcW w:w="796" w:type="dxa"/>
            <w:tcBorders>
              <w:top w:val="nil"/>
              <w:left w:val="nil"/>
              <w:bottom w:val="single" w:color="000000" w:sz="8"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入海</w:t>
            </w:r>
          </w:p>
        </w:tc>
      </w:tr>
    </w:tbl>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lang w:val="en-US" w:eastAsia="zh-CN"/>
        </w:rPr>
        <w:t>2</w:t>
      </w:r>
      <w:r>
        <w:rPr>
          <w:rFonts w:hint="eastAsia" w:ascii="仿宋_GB2312" w:hAnsi="仿宋_GB2312" w:eastAsia="仿宋_GB2312" w:cs="仿宋_GB2312"/>
          <w:b/>
          <w:szCs w:val="30"/>
        </w:rPr>
        <w:t>.工作方式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val="en-US" w:eastAsia="zh-CN"/>
        </w:rPr>
        <w:t>19个市考断面和30个分析断面</w:t>
      </w:r>
      <w:r>
        <w:rPr>
          <w:rFonts w:hint="eastAsia" w:ascii="仿宋_GB2312" w:hAnsi="仿宋_GB2312" w:cs="仿宋_GB2312"/>
          <w:kern w:val="0"/>
          <w:szCs w:val="32"/>
          <w:lang w:val="en-US" w:eastAsia="zh-CN"/>
        </w:rPr>
        <w:t>监测</w:t>
      </w:r>
      <w:r>
        <w:rPr>
          <w:rFonts w:hint="eastAsia" w:ascii="仿宋_GB2312" w:hAnsi="仿宋_GB2312" w:eastAsia="仿宋_GB2312" w:cs="仿宋_GB2312"/>
          <w:kern w:val="0"/>
          <w:szCs w:val="32"/>
        </w:rPr>
        <w:t>为市级事权，市级财政保障经费，市生态环境</w:t>
      </w:r>
      <w:r>
        <w:rPr>
          <w:rFonts w:hint="eastAsia" w:ascii="仿宋_GB2312" w:hAnsi="仿宋_GB2312" w:eastAsia="仿宋_GB2312" w:cs="仿宋_GB2312"/>
          <w:kern w:val="0"/>
          <w:szCs w:val="32"/>
          <w:lang w:eastAsia="zh-CN"/>
        </w:rPr>
        <w:t>局</w:t>
      </w:r>
      <w:r>
        <w:rPr>
          <w:rFonts w:hint="eastAsia" w:ascii="仿宋_GB2312" w:hAnsi="仿宋_GB2312" w:eastAsia="仿宋_GB2312" w:cs="仿宋_GB2312"/>
          <w:kern w:val="0"/>
          <w:szCs w:val="32"/>
        </w:rPr>
        <w:t>负责组织开展监测。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责任主体：市生态环境局水科。</w:t>
      </w:r>
    </w:p>
    <w:p>
      <w:pPr>
        <w:pStyle w:val="3"/>
        <w:pageBreakBefore w:val="0"/>
        <w:widowControl w:val="0"/>
        <w:numPr>
          <w:ilvl w:val="0"/>
          <w:numId w:val="0"/>
        </w:numPr>
        <w:kinsoku/>
        <w:wordWrap/>
        <w:overflowPunct/>
        <w:topLinePunct w:val="0"/>
        <w:autoSpaceDE/>
        <w:autoSpaceDN/>
        <w:bidi w:val="0"/>
        <w:spacing w:before="217" w:beforeLines="50" w:after="217" w:afterLines="50" w:line="600" w:lineRule="exact"/>
        <w:ind w:firstLine="643" w:firstLineChars="200"/>
        <w:textAlignment w:val="auto"/>
        <w:rPr>
          <w:rFonts w:hint="eastAsia" w:ascii="楷体_GB2312" w:hAnsi="楷体_GB2312" w:eastAsia="楷体_GB2312" w:cs="楷体_GB2312"/>
          <w:b w:val="0"/>
        </w:rPr>
      </w:pPr>
      <w:r>
        <w:rPr>
          <w:rFonts w:hint="eastAsia"/>
          <w:sz w:val="32"/>
          <w:szCs w:val="32"/>
          <w:lang w:val="en-US" w:eastAsia="zh-CN"/>
        </w:rPr>
        <w:t xml:space="preserve"> </w:t>
      </w:r>
      <w:bookmarkStart w:id="125" w:name="_Toc18061"/>
      <w:r>
        <w:rPr>
          <w:rFonts w:hint="eastAsia" w:ascii="楷体_GB2312" w:hAnsi="楷体_GB2312" w:eastAsia="楷体_GB2312" w:cs="楷体_GB2312"/>
          <w:b w:val="0"/>
          <w:lang w:val="en-US" w:eastAsia="zh-CN"/>
        </w:rPr>
        <w:t>(十）</w:t>
      </w:r>
      <w:r>
        <w:rPr>
          <w:rFonts w:hint="eastAsia" w:ascii="楷体_GB2312" w:hAnsi="楷体_GB2312" w:eastAsia="楷体_GB2312" w:cs="楷体_GB2312"/>
          <w:b w:val="0"/>
          <w:lang w:eastAsia="zh-CN"/>
        </w:rPr>
        <w:t>河流水质</w:t>
      </w:r>
      <w:r>
        <w:rPr>
          <w:rFonts w:hint="eastAsia" w:ascii="楷体_GB2312" w:hAnsi="楷体_GB2312" w:eastAsia="楷体_GB2312" w:cs="楷体_GB2312"/>
          <w:b w:val="0"/>
          <w:lang w:val="en-US" w:eastAsia="zh-CN"/>
        </w:rPr>
        <w:t>总氮加密</w:t>
      </w:r>
      <w:r>
        <w:rPr>
          <w:rFonts w:hint="eastAsia" w:ascii="楷体_GB2312" w:hAnsi="楷体_GB2312" w:eastAsia="楷体_GB2312" w:cs="楷体_GB2312"/>
          <w:b w:val="0"/>
          <w:lang w:eastAsia="zh-CN"/>
        </w:rPr>
        <w:t>监测</w:t>
      </w:r>
      <w:bookmarkEnd w:id="125"/>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default" w:ascii="仿宋_GB2312" w:hAnsi="仿宋_GB2312" w:eastAsia="仿宋_GB2312" w:cs="仿宋_GB2312"/>
          <w:b/>
          <w:szCs w:val="30"/>
          <w:lang w:val="en-US" w:eastAsia="zh-CN"/>
        </w:rPr>
      </w:pPr>
      <w:r>
        <w:rPr>
          <w:rFonts w:hint="eastAsia" w:ascii="仿宋_GB2312" w:hAnsi="仿宋_GB2312" w:eastAsia="仿宋_GB2312" w:cs="仿宋_GB2312"/>
          <w:b/>
          <w:szCs w:val="30"/>
          <w:lang w:val="en-US" w:eastAsia="zh-CN"/>
        </w:rPr>
        <w:t>1.监测范围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cs="仿宋_GB2312"/>
          <w:kern w:val="0"/>
          <w:szCs w:val="32"/>
          <w:lang w:val="en-US" w:eastAsia="zh-CN"/>
        </w:rPr>
      </w:pPr>
      <w:r>
        <w:rPr>
          <w:rFonts w:hint="eastAsia" w:ascii="仿宋_GB2312" w:hAnsi="仿宋_GB2312" w:eastAsia="仿宋_GB2312" w:cs="仿宋_GB2312"/>
          <w:kern w:val="0"/>
          <w:szCs w:val="32"/>
          <w:lang w:val="en-US" w:eastAsia="zh-CN"/>
        </w:rPr>
        <w:t>按照《关于印发〈盘锦市2024年区域河流断面水质综合考核实施办法〉的函》，将辖区22个断面和8个入海断面确定为总氮加密监测断面，每月监测1次。名单见表2-</w:t>
      </w:r>
      <w:r>
        <w:rPr>
          <w:rFonts w:hint="eastAsia" w:ascii="仿宋_GB2312" w:hAnsi="仿宋_GB2312" w:cs="仿宋_GB2312"/>
          <w:kern w:val="0"/>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szCs w:val="30"/>
        </w:rPr>
      </w:pPr>
      <w:r>
        <w:rPr>
          <w:rFonts w:hint="eastAsia" w:ascii="仿宋_GB2312" w:hAnsi="仿宋_GB2312" w:eastAsia="仿宋_GB2312" w:cs="仿宋_GB2312"/>
          <w:b/>
          <w:szCs w:val="30"/>
          <w:lang w:val="en-US" w:eastAsia="zh-CN"/>
        </w:rPr>
        <w:t>2</w:t>
      </w:r>
      <w:r>
        <w:rPr>
          <w:rFonts w:hint="eastAsia" w:ascii="仿宋_GB2312" w:hAnsi="仿宋_GB2312" w:eastAsia="仿宋_GB2312" w:cs="仿宋_GB2312"/>
          <w:b/>
          <w:szCs w:val="30"/>
        </w:rPr>
        <w:t>.工作方式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Cs w:val="32"/>
          <w:lang w:val="en-US" w:eastAsia="zh-CN"/>
        </w:rPr>
        <w:t>总氮加密监测</w:t>
      </w:r>
      <w:r>
        <w:rPr>
          <w:rFonts w:hint="eastAsia" w:ascii="仿宋_GB2312" w:hAnsi="仿宋_GB2312" w:cs="仿宋_GB2312"/>
          <w:kern w:val="0"/>
          <w:sz w:val="32"/>
          <w:szCs w:val="32"/>
          <w:lang w:val="en-US" w:eastAsia="zh-CN"/>
        </w:rPr>
        <w:t>监测</w:t>
      </w:r>
      <w:r>
        <w:rPr>
          <w:rFonts w:hint="eastAsia" w:ascii="仿宋_GB2312" w:hAnsi="仿宋_GB2312" w:eastAsia="仿宋_GB2312" w:cs="仿宋_GB2312"/>
          <w:kern w:val="0"/>
          <w:sz w:val="32"/>
          <w:szCs w:val="32"/>
        </w:rPr>
        <w:t>为市级事权，市级财政保障经费，市生态环境</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负责组织开展监测。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责任主体：市生态环境局水科。</w:t>
      </w:r>
    </w:p>
    <w:p>
      <w:pPr>
        <w:keepNext/>
        <w:keepLines/>
        <w:adjustRightInd w:val="0"/>
        <w:snapToGrid w:val="0"/>
        <w:spacing w:before="217" w:beforeLines="50" w:after="217" w:afterLines="50" w:line="240" w:lineRule="auto"/>
        <w:ind w:left="0" w:firstLine="0" w:firstLineChars="0"/>
        <w:jc w:val="center"/>
        <w:outlineLvl w:val="9"/>
        <w:rPr>
          <w:rFonts w:hint="default" w:ascii="仿宋_GB2312" w:hAnsi="仿宋_GB2312" w:cs="仿宋_GB2312"/>
          <w:b/>
          <w:bCs/>
          <w:sz w:val="24"/>
          <w:highlight w:val="none"/>
          <w:lang w:val="en-US" w:eastAsia="zh-CN"/>
        </w:rPr>
      </w:pPr>
      <w:r>
        <w:rPr>
          <w:rFonts w:hint="eastAsia" w:ascii="仿宋_GB2312" w:hAnsi="仿宋_GB2312" w:cs="仿宋_GB2312"/>
          <w:b/>
          <w:bCs/>
          <w:sz w:val="24"/>
          <w:highlight w:val="none"/>
          <w:lang w:val="en-US" w:eastAsia="zh-CN"/>
        </w:rPr>
        <w:t>表2-3  河流总氮加密监测断面清单</w:t>
      </w:r>
    </w:p>
    <w:tbl>
      <w:tblPr>
        <w:tblStyle w:val="56"/>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52"/>
        <w:gridCol w:w="1843"/>
        <w:gridCol w:w="1866"/>
        <w:gridCol w:w="916"/>
        <w:gridCol w:w="104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56" w:type="dxa"/>
            <w:tcBorders>
              <w:lef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Style w:val="706"/>
                <w:rFonts w:hint="eastAsia" w:ascii="仿宋_GB2312" w:hAnsi="仿宋_GB2312" w:eastAsia="仿宋_GB2312" w:cs="仿宋_GB2312"/>
                <w:b/>
                <w:bCs/>
                <w:sz w:val="24"/>
                <w:szCs w:val="24"/>
                <w:lang w:val="en-US" w:eastAsia="zh-CN" w:bidi="ar"/>
              </w:rPr>
              <w:t>序号</w:t>
            </w:r>
          </w:p>
        </w:tc>
        <w:tc>
          <w:tcPr>
            <w:tcW w:w="1252"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Style w:val="706"/>
                <w:rFonts w:hint="eastAsia" w:ascii="仿宋_GB2312" w:hAnsi="仿宋_GB2312" w:eastAsia="仿宋_GB2312" w:cs="仿宋_GB2312"/>
                <w:b/>
                <w:bCs/>
                <w:sz w:val="24"/>
                <w:szCs w:val="24"/>
                <w:lang w:val="en-US" w:eastAsia="zh-CN" w:bidi="ar"/>
              </w:rPr>
              <w:t>河流名称</w:t>
            </w:r>
          </w:p>
        </w:tc>
        <w:tc>
          <w:tcPr>
            <w:tcW w:w="184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Style w:val="706"/>
                <w:rFonts w:hint="eastAsia" w:ascii="仿宋_GB2312" w:hAnsi="仿宋_GB2312" w:eastAsia="仿宋_GB2312" w:cs="仿宋_GB2312"/>
                <w:b/>
                <w:bCs/>
                <w:sz w:val="24"/>
                <w:szCs w:val="24"/>
                <w:lang w:val="en-US" w:eastAsia="zh-CN" w:bidi="ar"/>
              </w:rPr>
              <w:t>断面名称</w:t>
            </w:r>
          </w:p>
        </w:tc>
        <w:tc>
          <w:tcPr>
            <w:tcW w:w="186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Style w:val="706"/>
                <w:rFonts w:hint="eastAsia" w:ascii="仿宋_GB2312" w:hAnsi="仿宋_GB2312" w:eastAsia="仿宋_GB2312" w:cs="仿宋_GB2312"/>
                <w:b/>
                <w:bCs/>
                <w:sz w:val="24"/>
                <w:szCs w:val="24"/>
                <w:lang w:val="en-US" w:eastAsia="zh-CN" w:bidi="ar"/>
              </w:rPr>
              <w:t>所在县区</w:t>
            </w:r>
          </w:p>
        </w:tc>
        <w:tc>
          <w:tcPr>
            <w:tcW w:w="9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Style w:val="706"/>
                <w:rFonts w:hint="eastAsia" w:ascii="仿宋_GB2312" w:hAnsi="仿宋_GB2312" w:eastAsia="仿宋_GB2312" w:cs="仿宋_GB2312"/>
                <w:b/>
                <w:bCs/>
                <w:sz w:val="24"/>
                <w:szCs w:val="24"/>
                <w:lang w:val="en-US" w:eastAsia="zh-CN" w:bidi="ar"/>
              </w:rPr>
              <w:t>水质目标</w:t>
            </w:r>
          </w:p>
        </w:tc>
        <w:tc>
          <w:tcPr>
            <w:tcW w:w="104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Style w:val="706"/>
                <w:rFonts w:hint="eastAsia" w:ascii="仿宋_GB2312" w:hAnsi="仿宋_GB2312" w:eastAsia="仿宋_GB2312" w:cs="仿宋_GB2312"/>
                <w:b/>
                <w:bCs/>
                <w:sz w:val="24"/>
                <w:szCs w:val="24"/>
                <w:lang w:val="en-US" w:eastAsia="zh-CN" w:bidi="ar"/>
              </w:rPr>
              <w:t>断面类别</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Style w:val="706"/>
                <w:rFonts w:hint="eastAsia" w:ascii="仿宋_GB2312" w:hAnsi="仿宋_GB2312" w:eastAsia="仿宋_GB2312" w:cs="仿宋_GB2312"/>
                <w:b/>
                <w:bCs/>
                <w:sz w:val="24"/>
                <w:szCs w:val="24"/>
                <w:lang w:val="en-US" w:eastAsia="zh-CN" w:bidi="ar"/>
              </w:rPr>
              <w:t>考核标准（mg/L）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2" w:type="dxa"/>
            <w:vMerge w:val="restart"/>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辽河</w:t>
            </w: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盘锦兴安</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盘山县</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Ⅳ</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国考</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52" w:type="dxa"/>
            <w:vMerge w:val="continue"/>
            <w:noWrap/>
            <w:vAlign w:val="center"/>
          </w:tcPr>
          <w:p>
            <w:pPr>
              <w:spacing w:line="240" w:lineRule="auto"/>
              <w:jc w:val="center"/>
              <w:rPr>
                <w:rFonts w:hint="eastAsia" w:ascii="仿宋_GB2312" w:hAnsi="仿宋_GB2312" w:eastAsia="仿宋_GB2312" w:cs="仿宋_GB2312"/>
                <w:i w:val="0"/>
                <w:iCs w:val="0"/>
                <w:color w:val="000000"/>
                <w:sz w:val="24"/>
                <w:szCs w:val="24"/>
                <w:u w:val="none"/>
              </w:rPr>
            </w:pP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曙光大桥</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兴隆台区</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Ⅳ</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国考</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252" w:type="dxa"/>
            <w:vMerge w:val="continue"/>
            <w:noWrap/>
            <w:vAlign w:val="center"/>
          </w:tcPr>
          <w:p>
            <w:pPr>
              <w:spacing w:line="240" w:lineRule="auto"/>
              <w:jc w:val="center"/>
              <w:rPr>
                <w:rFonts w:hint="eastAsia" w:ascii="仿宋_GB2312" w:hAnsi="仿宋_GB2312" w:eastAsia="仿宋_GB2312" w:cs="仿宋_GB2312"/>
                <w:i w:val="0"/>
                <w:iCs w:val="0"/>
                <w:color w:val="000000"/>
                <w:sz w:val="24"/>
                <w:szCs w:val="24"/>
                <w:u w:val="none"/>
              </w:rPr>
            </w:pP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赵圈河</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大洼区</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Ⅳ</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国考</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52" w:type="dxa"/>
            <w:vMerge w:val="restart"/>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小柳河</w:t>
            </w: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大板桥</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盘山县</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Ⅳ</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市考</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52" w:type="dxa"/>
            <w:vMerge w:val="continue"/>
            <w:noWrap/>
            <w:vAlign w:val="center"/>
          </w:tcPr>
          <w:p>
            <w:pPr>
              <w:spacing w:line="240" w:lineRule="auto"/>
              <w:jc w:val="center"/>
              <w:rPr>
                <w:rFonts w:hint="eastAsia" w:ascii="仿宋_GB2312" w:hAnsi="仿宋_GB2312" w:eastAsia="仿宋_GB2312" w:cs="仿宋_GB2312"/>
                <w:i w:val="0"/>
                <w:iCs w:val="0"/>
                <w:color w:val="000000"/>
                <w:sz w:val="24"/>
                <w:szCs w:val="24"/>
                <w:u w:val="none"/>
              </w:rPr>
            </w:pP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闸北桥</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双台子区</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Ⅳ</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省考、市考</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52" w:type="dxa"/>
            <w:vMerge w:val="restart"/>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一统河</w:t>
            </w: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粮文线</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盘山县</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Ⅳ</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市考</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252" w:type="dxa"/>
            <w:vMerge w:val="continue"/>
            <w:noWrap/>
            <w:vAlign w:val="center"/>
          </w:tcPr>
          <w:p>
            <w:pPr>
              <w:spacing w:line="240" w:lineRule="auto"/>
              <w:jc w:val="center"/>
              <w:rPr>
                <w:rFonts w:hint="eastAsia" w:ascii="仿宋_GB2312" w:hAnsi="仿宋_GB2312" w:eastAsia="仿宋_GB2312" w:cs="仿宋_GB2312"/>
                <w:i w:val="0"/>
                <w:iCs w:val="0"/>
                <w:color w:val="000000"/>
                <w:sz w:val="24"/>
                <w:szCs w:val="24"/>
                <w:u w:val="none"/>
              </w:rPr>
            </w:pP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中华路桥</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双台子区</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Ⅳ</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省考、市考</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252" w:type="dxa"/>
            <w:vMerge w:val="restart"/>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太平河</w:t>
            </w: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305</w:t>
            </w:r>
            <w:r>
              <w:rPr>
                <w:rStyle w:val="714"/>
                <w:rFonts w:hint="eastAsia" w:ascii="仿宋_GB2312" w:hAnsi="仿宋_GB2312" w:eastAsia="仿宋_GB2312" w:cs="仿宋_GB2312"/>
                <w:sz w:val="24"/>
                <w:szCs w:val="24"/>
                <w:lang w:val="en-US" w:eastAsia="zh-CN" w:bidi="ar"/>
              </w:rPr>
              <w:t>国道桥</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盘山县</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Ⅳ</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市考</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252" w:type="dxa"/>
            <w:vMerge w:val="continue"/>
            <w:noWrap/>
            <w:vAlign w:val="center"/>
          </w:tcPr>
          <w:p>
            <w:pPr>
              <w:spacing w:line="240" w:lineRule="auto"/>
              <w:jc w:val="center"/>
              <w:rPr>
                <w:rFonts w:hint="eastAsia" w:ascii="仿宋_GB2312" w:hAnsi="仿宋_GB2312" w:eastAsia="仿宋_GB2312" w:cs="仿宋_GB2312"/>
                <w:i w:val="0"/>
                <w:iCs w:val="0"/>
                <w:color w:val="000000"/>
                <w:sz w:val="24"/>
                <w:szCs w:val="24"/>
                <w:u w:val="none"/>
              </w:rPr>
            </w:pP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新生桥</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双台子区</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Ⅳ</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省考、市考</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52"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螃蟹沟</w:t>
            </w: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于岗子桥</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兴隆台区</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Ⅴ</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省考、市考</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252" w:type="dxa"/>
            <w:vMerge w:val="restart"/>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六零河</w:t>
            </w: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后郭家屯桥</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盘山县</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Ⅴ</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市考</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252" w:type="dxa"/>
            <w:vMerge w:val="continue"/>
            <w:noWrap/>
            <w:vAlign w:val="center"/>
          </w:tcPr>
          <w:p>
            <w:pPr>
              <w:spacing w:line="240" w:lineRule="auto"/>
              <w:jc w:val="center"/>
              <w:rPr>
                <w:rFonts w:hint="eastAsia" w:ascii="仿宋_GB2312" w:hAnsi="仿宋_GB2312" w:eastAsia="仿宋_GB2312" w:cs="仿宋_GB2312"/>
                <w:i w:val="0"/>
                <w:iCs w:val="0"/>
                <w:color w:val="000000"/>
                <w:sz w:val="24"/>
                <w:szCs w:val="24"/>
                <w:u w:val="none"/>
              </w:rPr>
            </w:pP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兴油街桥</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兴隆台区</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Ⅴ</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市考</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252"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清水河</w:t>
            </w: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清水河闸</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大洼区</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Ⅳ</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省考、市考</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252"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赵圈河排干</w:t>
            </w: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挡潮闸</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大洼区</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Ⅴ</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市考</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252"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三排总</w:t>
            </w: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南小线桥</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大洼区</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Ⅴ</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市考</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252" w:type="dxa"/>
            <w:vMerge w:val="restart"/>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绕阳河</w:t>
            </w: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鱼圈沟漫水桥</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盘山县</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Ⅳ</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市考</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252" w:type="dxa"/>
            <w:vMerge w:val="continue"/>
            <w:noWrap/>
            <w:vAlign w:val="center"/>
          </w:tcPr>
          <w:p>
            <w:pPr>
              <w:spacing w:line="240" w:lineRule="auto"/>
              <w:jc w:val="center"/>
              <w:rPr>
                <w:rFonts w:hint="eastAsia" w:ascii="仿宋_GB2312" w:hAnsi="仿宋_GB2312" w:eastAsia="仿宋_GB2312" w:cs="仿宋_GB2312"/>
                <w:i w:val="0"/>
                <w:iCs w:val="0"/>
                <w:color w:val="000000"/>
                <w:sz w:val="24"/>
                <w:szCs w:val="24"/>
                <w:u w:val="none"/>
              </w:rPr>
            </w:pP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胜利塘</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兴隆台区</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Ⅳ</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国考</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252" w:type="dxa"/>
            <w:vMerge w:val="restart"/>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双绕河</w:t>
            </w: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外环桥</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双台子区</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Ⅳ</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市考</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1252" w:type="dxa"/>
            <w:vMerge w:val="continue"/>
            <w:noWrap/>
            <w:vAlign w:val="center"/>
          </w:tcPr>
          <w:p>
            <w:pPr>
              <w:spacing w:line="240" w:lineRule="auto"/>
              <w:jc w:val="center"/>
              <w:rPr>
                <w:rFonts w:hint="eastAsia" w:ascii="仿宋_GB2312" w:hAnsi="仿宋_GB2312" w:eastAsia="仿宋_GB2312" w:cs="仿宋_GB2312"/>
                <w:i w:val="0"/>
                <w:iCs w:val="0"/>
                <w:color w:val="000000"/>
                <w:sz w:val="24"/>
                <w:szCs w:val="24"/>
                <w:u w:val="none"/>
              </w:rPr>
            </w:pP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102</w:t>
            </w:r>
            <w:r>
              <w:rPr>
                <w:rStyle w:val="714"/>
                <w:rFonts w:hint="eastAsia" w:ascii="仿宋_GB2312" w:hAnsi="仿宋_GB2312" w:eastAsia="仿宋_GB2312" w:cs="仿宋_GB2312"/>
                <w:sz w:val="24"/>
                <w:szCs w:val="24"/>
                <w:lang w:val="en-US" w:eastAsia="zh-CN" w:bidi="ar"/>
              </w:rPr>
              <w:t>省道双绕河桥</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盘山县</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Ⅳ</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市考</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252"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锦盘河</w:t>
            </w: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308</w:t>
            </w:r>
            <w:r>
              <w:rPr>
                <w:rStyle w:val="714"/>
                <w:rFonts w:hint="eastAsia" w:ascii="仿宋_GB2312" w:hAnsi="仿宋_GB2312" w:eastAsia="仿宋_GB2312" w:cs="仿宋_GB2312"/>
                <w:sz w:val="24"/>
                <w:szCs w:val="24"/>
                <w:lang w:val="en-US" w:eastAsia="zh-CN" w:bidi="ar"/>
              </w:rPr>
              <w:t>省道锦盘河桥</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盘山县</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Ⅳ</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市考</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1252"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接官厅排干</w:t>
            </w: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接官厅排干闸</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大洼区</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Ⅳ</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市考，入海</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1252"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610"/>
                <w:rFonts w:hint="eastAsia" w:ascii="仿宋_GB2312" w:hAnsi="仿宋_GB2312" w:eastAsia="仿宋_GB2312" w:cs="仿宋_GB2312"/>
                <w:sz w:val="24"/>
                <w:szCs w:val="24"/>
                <w:lang w:val="en-US" w:eastAsia="zh-CN" w:bidi="ar"/>
              </w:rPr>
              <w:t>西沙河</w:t>
            </w: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610"/>
                <w:rFonts w:hint="eastAsia" w:ascii="仿宋_GB2312" w:hAnsi="仿宋_GB2312" w:eastAsia="仿宋_GB2312" w:cs="仿宋_GB2312"/>
                <w:sz w:val="24"/>
                <w:szCs w:val="24"/>
                <w:lang w:val="en-US" w:eastAsia="zh-CN" w:bidi="ar"/>
              </w:rPr>
              <w:t>腰铺</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610"/>
                <w:rFonts w:hint="eastAsia" w:ascii="仿宋_GB2312" w:hAnsi="仿宋_GB2312" w:eastAsia="仿宋_GB2312" w:cs="仿宋_GB2312"/>
                <w:sz w:val="24"/>
                <w:szCs w:val="24"/>
                <w:lang w:val="en-US" w:eastAsia="zh-CN" w:bidi="ar"/>
              </w:rPr>
              <w:t>盘山县</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40"/>
                <w:rFonts w:hint="eastAsia" w:ascii="仿宋_GB2312" w:hAnsi="仿宋_GB2312" w:eastAsia="仿宋_GB2312" w:cs="仿宋_GB2312"/>
                <w:sz w:val="24"/>
                <w:szCs w:val="24"/>
                <w:lang w:val="en-US" w:eastAsia="zh-CN" w:bidi="ar"/>
              </w:rPr>
              <w:t>Ⅳ</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610"/>
                <w:rFonts w:hint="eastAsia" w:ascii="仿宋_GB2312" w:hAnsi="仿宋_GB2312" w:eastAsia="仿宋_GB2312" w:cs="仿宋_GB2312"/>
                <w:sz w:val="24"/>
                <w:szCs w:val="24"/>
                <w:lang w:val="en-US" w:eastAsia="zh-CN" w:bidi="ar"/>
              </w:rPr>
              <w:t>市考</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1252"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南屁岗子河</w:t>
            </w: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兴辽路桥</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盘山县</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Ⅳ</w:t>
            </w:r>
          </w:p>
        </w:tc>
        <w:tc>
          <w:tcPr>
            <w:tcW w:w="104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入海</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252"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雁河</w:t>
            </w: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四号泵站桥</w:t>
            </w:r>
          </w:p>
        </w:tc>
        <w:tc>
          <w:tcPr>
            <w:tcW w:w="186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盘锦辽滨沿海经济技术开发区</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Ⅳ</w:t>
            </w:r>
          </w:p>
        </w:tc>
        <w:tc>
          <w:tcPr>
            <w:tcW w:w="104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入海</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252"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红旗沟</w:t>
            </w: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滨海大道桥</w:t>
            </w:r>
          </w:p>
        </w:tc>
        <w:tc>
          <w:tcPr>
            <w:tcW w:w="186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盘锦辽滨沿海经济技术开发区</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Ⅳ</w:t>
            </w:r>
          </w:p>
        </w:tc>
        <w:tc>
          <w:tcPr>
            <w:tcW w:w="104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入海</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1252"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女儿沟</w:t>
            </w: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女儿沟闸</w:t>
            </w:r>
          </w:p>
        </w:tc>
        <w:tc>
          <w:tcPr>
            <w:tcW w:w="186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大洼区</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68"/>
                <w:rFonts w:hint="eastAsia" w:ascii="仿宋_GB2312" w:hAnsi="仿宋_GB2312" w:eastAsia="仿宋_GB2312" w:cs="仿宋_GB2312"/>
                <w:sz w:val="24"/>
                <w:szCs w:val="24"/>
                <w:lang w:val="en-US" w:eastAsia="zh-CN" w:bidi="ar"/>
              </w:rPr>
              <w:t>Ⅳ</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714"/>
                <w:rFonts w:hint="eastAsia" w:ascii="仿宋_GB2312" w:hAnsi="仿宋_GB2312" w:eastAsia="仿宋_GB2312" w:cs="仿宋_GB2312"/>
                <w:sz w:val="24"/>
                <w:szCs w:val="24"/>
                <w:lang w:val="en-US" w:eastAsia="zh-CN" w:bidi="ar"/>
              </w:rPr>
              <w:t>入海</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1252"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小道子河</w:t>
            </w: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小道子河闸</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盘山县</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954"/>
                <w:rFonts w:hint="eastAsia" w:ascii="仿宋_GB2312" w:hAnsi="仿宋_GB2312" w:eastAsia="仿宋_GB2312" w:cs="仿宋_GB2312"/>
                <w:sz w:val="24"/>
                <w:szCs w:val="24"/>
                <w:lang w:val="en-US" w:eastAsia="zh-CN" w:bidi="ar"/>
              </w:rPr>
              <w:t>Ⅳ</w:t>
            </w:r>
          </w:p>
        </w:tc>
        <w:tc>
          <w:tcPr>
            <w:tcW w:w="104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入海</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1252"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潮沟河</w:t>
            </w: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潮沟河闸</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盘山县</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954"/>
                <w:rFonts w:hint="eastAsia" w:ascii="仿宋_GB2312" w:hAnsi="仿宋_GB2312" w:eastAsia="仿宋_GB2312" w:cs="仿宋_GB2312"/>
                <w:sz w:val="24"/>
                <w:szCs w:val="24"/>
                <w:lang w:val="en-US" w:eastAsia="zh-CN" w:bidi="ar"/>
              </w:rPr>
              <w:t>Ⅳ</w:t>
            </w:r>
          </w:p>
        </w:tc>
        <w:tc>
          <w:tcPr>
            <w:tcW w:w="104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入海</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1252"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双井子河</w:t>
            </w: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二界沟东桥</w:t>
            </w:r>
          </w:p>
        </w:tc>
        <w:tc>
          <w:tcPr>
            <w:tcW w:w="186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大洼区</w:t>
            </w:r>
          </w:p>
        </w:tc>
        <w:tc>
          <w:tcPr>
            <w:tcW w:w="9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954"/>
                <w:rFonts w:hint="eastAsia" w:ascii="仿宋_GB2312" w:hAnsi="仿宋_GB2312" w:eastAsia="仿宋_GB2312" w:cs="仿宋_GB2312"/>
                <w:sz w:val="24"/>
                <w:szCs w:val="24"/>
                <w:lang w:val="en-US" w:eastAsia="zh-CN" w:bidi="ar"/>
              </w:rPr>
              <w:t>Ⅳ</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入海</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252"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西榆河</w:t>
            </w:r>
          </w:p>
        </w:tc>
        <w:tc>
          <w:tcPr>
            <w:tcW w:w="184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滨海公路桥</w:t>
            </w:r>
          </w:p>
        </w:tc>
        <w:tc>
          <w:tcPr>
            <w:tcW w:w="186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大洼区</w:t>
            </w:r>
          </w:p>
        </w:tc>
        <w:tc>
          <w:tcPr>
            <w:tcW w:w="9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954"/>
                <w:rFonts w:hint="eastAsia" w:ascii="仿宋_GB2312" w:hAnsi="仿宋_GB2312" w:eastAsia="仿宋_GB2312" w:cs="仿宋_GB2312"/>
                <w:sz w:val="24"/>
                <w:szCs w:val="24"/>
                <w:lang w:val="en-US" w:eastAsia="zh-CN" w:bidi="ar"/>
              </w:rPr>
              <w:t>Ⅴ</w:t>
            </w:r>
          </w:p>
        </w:tc>
        <w:tc>
          <w:tcPr>
            <w:tcW w:w="104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Style w:val="500"/>
                <w:rFonts w:hint="eastAsia" w:ascii="仿宋_GB2312" w:hAnsi="仿宋_GB2312" w:eastAsia="仿宋_GB2312" w:cs="仿宋_GB2312"/>
                <w:sz w:val="24"/>
                <w:szCs w:val="24"/>
                <w:lang w:val="en-US" w:eastAsia="zh-CN" w:bidi="ar"/>
              </w:rPr>
              <w:t>入海</w:t>
            </w:r>
          </w:p>
        </w:tc>
        <w:tc>
          <w:tcPr>
            <w:tcW w:w="1189" w:type="dxa"/>
            <w:tcBorders>
              <w:right w:val="nil"/>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3.10</w:t>
            </w:r>
          </w:p>
        </w:tc>
      </w:tr>
    </w:tbl>
    <w:p>
      <w:pPr>
        <w:pStyle w:val="3"/>
        <w:keepNext/>
        <w:keepLines/>
        <w:pageBreakBefore w:val="0"/>
        <w:widowControl w:val="0"/>
        <w:numPr>
          <w:ilvl w:val="0"/>
          <w:numId w:val="0"/>
        </w:numPr>
        <w:tabs>
          <w:tab w:val="left" w:pos="888"/>
        </w:tabs>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eastAsia="黑体"/>
          <w:b w:val="0"/>
        </w:rPr>
      </w:pPr>
      <w:bookmarkStart w:id="126" w:name="_Toc26581"/>
      <w:r>
        <w:rPr>
          <w:rFonts w:hint="eastAsia" w:ascii="楷体_GB2312" w:hAnsi="楷体_GB2312" w:eastAsia="楷体_GB2312" w:cs="楷体_GB2312"/>
          <w:b w:val="0"/>
          <w:lang w:val="en-US" w:eastAsia="zh-CN"/>
        </w:rPr>
        <w:t>(十一）国家地表水环境质量监测网水质自动监测</w:t>
      </w:r>
      <w:bookmarkEnd w:id="115"/>
      <w:bookmarkEnd w:id="116"/>
      <w:bookmarkEnd w:id="117"/>
      <w:bookmarkEnd w:id="118"/>
      <w:bookmarkEnd w:id="119"/>
      <w:bookmarkEnd w:id="120"/>
      <w:bookmarkEnd w:id="121"/>
      <w:bookmarkEnd w:id="126"/>
    </w:p>
    <w:p>
      <w:pPr>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1.监测范围</w:t>
      </w:r>
    </w:p>
    <w:p>
      <w:pPr>
        <w:pageBreakBefore w:val="0"/>
        <w:widowControl w:val="0"/>
        <w:kinsoku/>
        <w:wordWrap/>
        <w:overflowPunct/>
        <w:topLinePunct w:val="0"/>
        <w:autoSpaceDE/>
        <w:autoSpaceDN/>
        <w:bidi w:val="0"/>
        <w:spacing w:line="600" w:lineRule="exact"/>
        <w:ind w:firstLine="640"/>
        <w:textAlignment w:val="auto"/>
        <w:rPr>
          <w:rFonts w:eastAsia="仿宋"/>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个国家地表水水质自动监测站点（以下简称国</w:t>
      </w:r>
      <w:r>
        <w:rPr>
          <w:rFonts w:hint="eastAsia" w:ascii="仿宋_GB2312" w:hAnsi="仿宋_GB2312" w:eastAsia="仿宋_GB2312" w:cs="仿宋_GB2312"/>
          <w:lang w:eastAsia="zh-CN"/>
        </w:rPr>
        <w:t>考</w:t>
      </w:r>
      <w:r>
        <w:rPr>
          <w:rFonts w:hint="eastAsia" w:ascii="仿宋_GB2312" w:hAnsi="仿宋_GB2312" w:eastAsia="仿宋_GB2312" w:cs="仿宋_GB2312"/>
        </w:rPr>
        <w:t>水站），名单见表2-</w:t>
      </w:r>
      <w:r>
        <w:rPr>
          <w:rFonts w:hint="eastAsia" w:ascii="仿宋_GB2312" w:hAnsi="仿宋_GB2312" w:cs="仿宋_GB2312"/>
          <w:lang w:val="en-US" w:eastAsia="zh-CN"/>
        </w:rPr>
        <w:t>4</w:t>
      </w:r>
      <w:r>
        <w:rPr>
          <w:rFonts w:hint="eastAsia" w:ascii="仿宋_GB2312" w:hAnsi="仿宋_GB2312" w:eastAsia="仿宋_GB2312" w:cs="仿宋_GB2312"/>
        </w:rPr>
        <w:t>。</w:t>
      </w:r>
    </w:p>
    <w:p>
      <w:pPr>
        <w:keepNext/>
        <w:keepLines/>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9"/>
        <w:rPr>
          <w:rFonts w:hint="eastAsia" w:ascii="仿宋_GB2312" w:hAnsi="仿宋_GB2312" w:cs="仿宋_GB2312"/>
          <w:b/>
          <w:bCs/>
          <w:sz w:val="24"/>
          <w:highlight w:val="none"/>
          <w:lang w:val="en-US" w:eastAsia="zh-CN"/>
        </w:rPr>
      </w:pPr>
      <w:bookmarkStart w:id="127" w:name="_Toc23501"/>
      <w:bookmarkStart w:id="128" w:name="_Toc15388"/>
      <w:bookmarkStart w:id="129" w:name="_Toc32486"/>
      <w:bookmarkStart w:id="130" w:name="_Toc13682"/>
      <w:bookmarkStart w:id="131" w:name="_Toc11447"/>
      <w:bookmarkStart w:id="132" w:name="_Toc28598"/>
      <w:bookmarkStart w:id="133" w:name="_Toc21267"/>
      <w:bookmarkStart w:id="134" w:name="_Toc14403"/>
      <w:bookmarkStart w:id="135" w:name="_Toc97817329"/>
      <w:r>
        <w:rPr>
          <w:rFonts w:hint="eastAsia" w:ascii="仿宋_GB2312" w:hAnsi="仿宋_GB2312" w:cs="仿宋_GB2312"/>
          <w:b/>
          <w:bCs/>
          <w:sz w:val="24"/>
          <w:highlight w:val="none"/>
          <w:lang w:val="en-US" w:eastAsia="zh-CN"/>
        </w:rPr>
        <w:t>表2-4  国考水站名单</w:t>
      </w:r>
      <w:bookmarkEnd w:id="127"/>
      <w:bookmarkEnd w:id="128"/>
      <w:bookmarkEnd w:id="129"/>
      <w:bookmarkEnd w:id="130"/>
      <w:bookmarkEnd w:id="131"/>
      <w:bookmarkEnd w:id="132"/>
      <w:bookmarkEnd w:id="133"/>
      <w:bookmarkEnd w:id="134"/>
      <w:bookmarkEnd w:id="135"/>
    </w:p>
    <w:tbl>
      <w:tblPr>
        <w:tblStyle w:val="56"/>
        <w:tblW w:w="8101" w:type="dxa"/>
        <w:jc w:val="center"/>
        <w:tblLayout w:type="fixed"/>
        <w:tblCellMar>
          <w:top w:w="0" w:type="dxa"/>
          <w:left w:w="108" w:type="dxa"/>
          <w:bottom w:w="0" w:type="dxa"/>
          <w:right w:w="108" w:type="dxa"/>
        </w:tblCellMar>
      </w:tblPr>
      <w:tblGrid>
        <w:gridCol w:w="961"/>
        <w:gridCol w:w="1277"/>
        <w:gridCol w:w="1557"/>
        <w:gridCol w:w="2716"/>
        <w:gridCol w:w="1590"/>
      </w:tblGrid>
      <w:tr>
        <w:tblPrEx>
          <w:tblCellMar>
            <w:top w:w="0" w:type="dxa"/>
            <w:left w:w="108" w:type="dxa"/>
            <w:bottom w:w="0" w:type="dxa"/>
            <w:right w:w="108" w:type="dxa"/>
          </w:tblCellMar>
        </w:tblPrEx>
        <w:trPr>
          <w:trHeight w:val="425" w:hRule="atLeast"/>
          <w:tblHeader/>
          <w:jc w:val="center"/>
        </w:trPr>
        <w:tc>
          <w:tcPr>
            <w:tcW w:w="961" w:type="dxa"/>
            <w:tcBorders>
              <w:top w:val="single" w:color="auto" w:sz="8" w:space="0"/>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序号</w:t>
            </w:r>
          </w:p>
        </w:tc>
        <w:tc>
          <w:tcPr>
            <w:tcW w:w="1277" w:type="dxa"/>
            <w:tcBorders>
              <w:top w:val="single" w:color="auto" w:sz="8" w:space="0"/>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所在城市</w:t>
            </w:r>
          </w:p>
        </w:tc>
        <w:tc>
          <w:tcPr>
            <w:tcW w:w="1557" w:type="dxa"/>
            <w:tcBorders>
              <w:top w:val="single" w:color="auto" w:sz="8" w:space="0"/>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所在水体</w:t>
            </w:r>
          </w:p>
        </w:tc>
        <w:tc>
          <w:tcPr>
            <w:tcW w:w="2716" w:type="dxa"/>
            <w:tcBorders>
              <w:top w:val="single" w:color="auto" w:sz="8" w:space="0"/>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站点名称</w:t>
            </w:r>
          </w:p>
        </w:tc>
        <w:tc>
          <w:tcPr>
            <w:tcW w:w="1590" w:type="dxa"/>
            <w:tcBorders>
              <w:top w:val="single" w:color="auto" w:sz="8" w:space="0"/>
              <w:left w:val="nil"/>
              <w:bottom w:val="single" w:color="auto" w:sz="4" w:space="0"/>
              <w:right w:val="nil"/>
            </w:tcBorders>
            <w:vAlign w:val="center"/>
          </w:tcPr>
          <w:p>
            <w:pPr>
              <w:widowControl/>
              <w:spacing w:line="240" w:lineRule="auto"/>
              <w:ind w:firstLine="0" w:firstLineChars="0"/>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属性</w:t>
            </w:r>
          </w:p>
        </w:tc>
      </w:tr>
      <w:tr>
        <w:tblPrEx>
          <w:tblCellMar>
            <w:top w:w="0" w:type="dxa"/>
            <w:left w:w="108" w:type="dxa"/>
            <w:bottom w:w="0" w:type="dxa"/>
            <w:right w:w="108" w:type="dxa"/>
          </w:tblCellMar>
        </w:tblPrEx>
        <w:trPr>
          <w:trHeight w:val="425" w:hRule="atLeast"/>
          <w:jc w:val="center"/>
        </w:trPr>
        <w:tc>
          <w:tcPr>
            <w:tcW w:w="96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1</w:t>
            </w:r>
          </w:p>
        </w:tc>
        <w:tc>
          <w:tcPr>
            <w:tcW w:w="127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盘锦</w:t>
            </w:r>
          </w:p>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（4个）</w:t>
            </w:r>
          </w:p>
        </w:tc>
        <w:tc>
          <w:tcPr>
            <w:tcW w:w="155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辽河</w:t>
            </w:r>
          </w:p>
        </w:tc>
        <w:tc>
          <w:tcPr>
            <w:tcW w:w="271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盘锦兴安</w:t>
            </w:r>
          </w:p>
        </w:tc>
        <w:tc>
          <w:tcPr>
            <w:tcW w:w="1590" w:type="dxa"/>
            <w:tcBorders>
              <w:top w:val="nil"/>
              <w:left w:val="nil"/>
              <w:bottom w:val="single" w:color="auto" w:sz="4" w:space="0"/>
              <w:right w:val="nil"/>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国考</w:t>
            </w:r>
          </w:p>
        </w:tc>
      </w:tr>
      <w:tr>
        <w:tblPrEx>
          <w:tblCellMar>
            <w:top w:w="0" w:type="dxa"/>
            <w:left w:w="108" w:type="dxa"/>
            <w:bottom w:w="0" w:type="dxa"/>
            <w:right w:w="108" w:type="dxa"/>
          </w:tblCellMar>
        </w:tblPrEx>
        <w:trPr>
          <w:trHeight w:val="425" w:hRule="atLeast"/>
          <w:jc w:val="center"/>
        </w:trPr>
        <w:tc>
          <w:tcPr>
            <w:tcW w:w="96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2</w:t>
            </w:r>
          </w:p>
        </w:tc>
        <w:tc>
          <w:tcPr>
            <w:tcW w:w="127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_GB2312" w:hAnsi="仿宋_GB2312" w:eastAsia="仿宋_GB2312" w:cs="仿宋_GB2312"/>
                <w:color w:val="000000"/>
                <w:kern w:val="0"/>
                <w:sz w:val="24"/>
              </w:rPr>
            </w:pPr>
          </w:p>
        </w:tc>
        <w:tc>
          <w:tcPr>
            <w:tcW w:w="155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辽河</w:t>
            </w:r>
          </w:p>
        </w:tc>
        <w:tc>
          <w:tcPr>
            <w:tcW w:w="271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曙光大桥</w:t>
            </w:r>
          </w:p>
        </w:tc>
        <w:tc>
          <w:tcPr>
            <w:tcW w:w="1590" w:type="dxa"/>
            <w:tcBorders>
              <w:top w:val="nil"/>
              <w:left w:val="nil"/>
              <w:bottom w:val="single" w:color="auto" w:sz="4" w:space="0"/>
              <w:right w:val="nil"/>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国考</w:t>
            </w:r>
          </w:p>
        </w:tc>
      </w:tr>
      <w:tr>
        <w:tblPrEx>
          <w:tblCellMar>
            <w:top w:w="0" w:type="dxa"/>
            <w:left w:w="108" w:type="dxa"/>
            <w:bottom w:w="0" w:type="dxa"/>
            <w:right w:w="108" w:type="dxa"/>
          </w:tblCellMar>
        </w:tblPrEx>
        <w:trPr>
          <w:trHeight w:val="425" w:hRule="atLeast"/>
          <w:jc w:val="center"/>
        </w:trPr>
        <w:tc>
          <w:tcPr>
            <w:tcW w:w="96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3</w:t>
            </w:r>
          </w:p>
        </w:tc>
        <w:tc>
          <w:tcPr>
            <w:tcW w:w="127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_GB2312" w:hAnsi="仿宋_GB2312" w:eastAsia="仿宋_GB2312" w:cs="仿宋_GB2312"/>
                <w:color w:val="000000"/>
                <w:kern w:val="0"/>
                <w:sz w:val="24"/>
              </w:rPr>
            </w:pPr>
          </w:p>
        </w:tc>
        <w:tc>
          <w:tcPr>
            <w:tcW w:w="155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辽河</w:t>
            </w:r>
          </w:p>
        </w:tc>
        <w:tc>
          <w:tcPr>
            <w:tcW w:w="271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赵圈河</w:t>
            </w:r>
          </w:p>
        </w:tc>
        <w:tc>
          <w:tcPr>
            <w:tcW w:w="1590" w:type="dxa"/>
            <w:tcBorders>
              <w:top w:val="nil"/>
              <w:left w:val="nil"/>
              <w:bottom w:val="single" w:color="auto" w:sz="4" w:space="0"/>
              <w:right w:val="nil"/>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国考</w:t>
            </w:r>
          </w:p>
        </w:tc>
      </w:tr>
      <w:tr>
        <w:tblPrEx>
          <w:tblCellMar>
            <w:top w:w="0" w:type="dxa"/>
            <w:left w:w="108" w:type="dxa"/>
            <w:bottom w:w="0" w:type="dxa"/>
            <w:right w:w="108" w:type="dxa"/>
          </w:tblCellMar>
        </w:tblPrEx>
        <w:trPr>
          <w:trHeight w:val="425" w:hRule="atLeast"/>
          <w:jc w:val="center"/>
        </w:trPr>
        <w:tc>
          <w:tcPr>
            <w:tcW w:w="96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4</w:t>
            </w:r>
          </w:p>
        </w:tc>
        <w:tc>
          <w:tcPr>
            <w:tcW w:w="127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_GB2312" w:hAnsi="仿宋_GB2312" w:eastAsia="仿宋_GB2312" w:cs="仿宋_GB2312"/>
                <w:color w:val="000000"/>
                <w:kern w:val="0"/>
                <w:sz w:val="24"/>
              </w:rPr>
            </w:pPr>
          </w:p>
        </w:tc>
        <w:tc>
          <w:tcPr>
            <w:tcW w:w="155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绕阳河</w:t>
            </w:r>
          </w:p>
        </w:tc>
        <w:tc>
          <w:tcPr>
            <w:tcW w:w="271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胜利塘</w:t>
            </w:r>
          </w:p>
        </w:tc>
        <w:tc>
          <w:tcPr>
            <w:tcW w:w="1590" w:type="dxa"/>
            <w:tcBorders>
              <w:top w:val="nil"/>
              <w:left w:val="nil"/>
              <w:bottom w:val="single" w:color="auto" w:sz="4" w:space="0"/>
              <w:right w:val="nil"/>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国考</w:t>
            </w:r>
          </w:p>
        </w:tc>
      </w:tr>
    </w:tbl>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cs="仿宋_GB2312"/>
          <w:b/>
          <w:szCs w:val="30"/>
          <w:lang w:val="en-US" w:eastAsia="zh-CN"/>
        </w:rPr>
        <w:t>2.</w:t>
      </w:r>
      <w:r>
        <w:rPr>
          <w:rFonts w:hint="eastAsia" w:ascii="仿宋_GB2312" w:hAnsi="仿宋_GB2312" w:eastAsia="仿宋_GB2312" w:cs="仿宋_GB2312"/>
          <w:b/>
          <w:szCs w:val="30"/>
        </w:rPr>
        <w:t>工作方式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个国考水站运维为国家事权，由总站统一运维管理，运维工作由总站委托社会化运维机构承担。</w:t>
      </w:r>
      <w:r>
        <w:rPr>
          <w:rFonts w:hint="eastAsia" w:ascii="仿宋_GB2312" w:hAnsi="仿宋_GB2312" w:eastAsia="仿宋_GB2312" w:cs="仿宋_GB2312"/>
          <w:lang w:eastAsia="zh-CN"/>
        </w:rPr>
        <w:t>国考水</w:t>
      </w:r>
      <w:r>
        <w:rPr>
          <w:rFonts w:hint="eastAsia" w:ascii="仿宋_GB2312" w:hAnsi="仿宋_GB2312" w:eastAsia="仿宋_GB2312" w:cs="仿宋_GB2312"/>
        </w:rPr>
        <w:t>站</w:t>
      </w:r>
      <w:r>
        <w:rPr>
          <w:rFonts w:hint="eastAsia" w:ascii="仿宋_GB2312" w:hAnsi="仿宋_GB2312" w:eastAsia="仿宋_GB2312" w:cs="仿宋_GB2312"/>
          <w:lang w:eastAsia="zh-CN"/>
        </w:rPr>
        <w:t>的</w:t>
      </w:r>
      <w:r>
        <w:rPr>
          <w:rFonts w:hint="eastAsia" w:ascii="仿宋_GB2312" w:hAnsi="仿宋_GB2312" w:eastAsia="仿宋_GB2312" w:cs="仿宋_GB2312"/>
        </w:rPr>
        <w:t>站房用地、站房建设或租赁、采水构筑物及采排水管路、废液处置、水电供应、安全保障、视频监控、网络通讯和出入站房等日常运行所必需的基础条件保障工作由市生态环境</w:t>
      </w:r>
      <w:r>
        <w:rPr>
          <w:rFonts w:hint="eastAsia" w:ascii="仿宋_GB2312" w:hAnsi="仿宋_GB2312" w:cs="仿宋_GB2312"/>
          <w:lang w:val="en-US" w:eastAsia="zh-CN"/>
        </w:rPr>
        <w:t>局</w:t>
      </w:r>
      <w:r>
        <w:rPr>
          <w:rFonts w:hint="eastAsia" w:ascii="仿宋_GB2312" w:hAnsi="仿宋_GB2312" w:eastAsia="仿宋_GB2312" w:cs="仿宋_GB2312"/>
        </w:rPr>
        <w:t>负责，并负责落实国</w:t>
      </w:r>
      <w:r>
        <w:rPr>
          <w:rFonts w:hint="eastAsia" w:ascii="仿宋_GB2312" w:hAnsi="仿宋_GB2312" w:eastAsia="仿宋_GB2312" w:cs="仿宋_GB2312"/>
          <w:lang w:eastAsia="zh-CN"/>
        </w:rPr>
        <w:t>考</w:t>
      </w:r>
      <w:r>
        <w:rPr>
          <w:rFonts w:hint="eastAsia" w:ascii="仿宋_GB2312" w:hAnsi="仿宋_GB2312" w:eastAsia="仿宋_GB2312" w:cs="仿宋_GB2312"/>
        </w:rPr>
        <w:t>水站防范人为干扰主体责任。</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责任主体：市生态环境局</w:t>
      </w:r>
      <w:r>
        <w:rPr>
          <w:rFonts w:hint="eastAsia" w:ascii="仿宋_GB2312" w:hAnsi="仿宋_GB2312" w:eastAsia="仿宋_GB2312" w:cs="仿宋_GB2312"/>
          <w:lang w:val="en-US" w:eastAsia="zh-CN"/>
        </w:rPr>
        <w:t>水科</w:t>
      </w:r>
      <w:r>
        <w:rPr>
          <w:rFonts w:hint="eastAsia" w:ascii="仿宋_GB2312" w:hAnsi="仿宋_GB2312" w:eastAsia="仿宋_GB2312" w:cs="仿宋_GB2312"/>
        </w:rPr>
        <w:t>。</w:t>
      </w:r>
    </w:p>
    <w:p>
      <w:pPr>
        <w:pStyle w:val="3"/>
        <w:keepNext/>
        <w:keepLines/>
        <w:pageBreakBefore w:val="0"/>
        <w:widowControl w:val="0"/>
        <w:numPr>
          <w:ilvl w:val="0"/>
          <w:numId w:val="0"/>
        </w:numPr>
        <w:tabs>
          <w:tab w:val="left" w:pos="888"/>
        </w:tabs>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lang w:val="en-US" w:eastAsia="zh-CN"/>
        </w:rPr>
      </w:pPr>
      <w:bookmarkStart w:id="136" w:name="_Toc26839"/>
      <w:bookmarkStart w:id="137" w:name="_Toc22212"/>
      <w:bookmarkStart w:id="138" w:name="_Toc7098"/>
      <w:bookmarkStart w:id="139" w:name="_Toc21259"/>
      <w:bookmarkStart w:id="140" w:name="_Toc7020"/>
      <w:bookmarkStart w:id="141" w:name="_Toc24602"/>
      <w:bookmarkStart w:id="142" w:name="_Toc30209"/>
      <w:bookmarkStart w:id="143" w:name="_Toc6738"/>
      <w:r>
        <w:rPr>
          <w:rFonts w:hint="eastAsia" w:ascii="楷体_GB2312" w:hAnsi="楷体_GB2312" w:eastAsia="楷体_GB2312" w:cs="楷体_GB2312"/>
          <w:b w:val="0"/>
          <w:lang w:val="en-US" w:eastAsia="zh-CN"/>
        </w:rPr>
        <w:t>（十二）省级水质自动监测</w:t>
      </w:r>
      <w:bookmarkEnd w:id="136"/>
      <w:bookmarkEnd w:id="137"/>
      <w:bookmarkEnd w:id="138"/>
      <w:bookmarkEnd w:id="139"/>
      <w:bookmarkEnd w:id="140"/>
      <w:bookmarkEnd w:id="141"/>
      <w:bookmarkEnd w:id="142"/>
      <w:bookmarkEnd w:id="143"/>
    </w:p>
    <w:bookmarkEnd w:id="122"/>
    <w:p>
      <w:pPr>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cs="仿宋_GB2312"/>
          <w:b/>
          <w:szCs w:val="30"/>
          <w:lang w:val="en-US" w:eastAsia="zh-CN"/>
        </w:rPr>
      </w:pPr>
      <w:bookmarkStart w:id="144" w:name="_Toc1657763"/>
      <w:r>
        <w:rPr>
          <w:rFonts w:hint="eastAsia" w:ascii="仿宋_GB2312" w:hAnsi="仿宋_GB2312" w:cs="仿宋_GB2312"/>
          <w:b/>
          <w:szCs w:val="30"/>
          <w:lang w:val="en-US" w:eastAsia="zh-CN"/>
        </w:rPr>
        <w:t>1.监测范围</w:t>
      </w:r>
    </w:p>
    <w:p>
      <w:pPr>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cs="仿宋_GB2312"/>
          <w:b/>
          <w:bCs/>
          <w:sz w:val="24"/>
          <w:highlight w:val="none"/>
          <w:lang w:val="en-US"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个固定式地表水水质自动监测站（以下简称固定站）、</w:t>
      </w:r>
      <w:r>
        <w:rPr>
          <w:rFonts w:hint="eastAsia" w:ascii="仿宋_GB2312" w:hAnsi="仿宋_GB2312" w:eastAsia="仿宋_GB2312" w:cs="仿宋_GB2312"/>
          <w:lang w:val="en-US" w:eastAsia="zh-CN"/>
        </w:rPr>
        <w:t>9</w:t>
      </w:r>
      <w:r>
        <w:rPr>
          <w:rFonts w:hint="eastAsia" w:ascii="仿宋_GB2312" w:hAnsi="仿宋_GB2312" w:eastAsia="仿宋_GB2312" w:cs="仿宋_GB2312"/>
        </w:rPr>
        <w:t>个污染源溯源监测系统（以下简称溯源站）和</w:t>
      </w:r>
      <w:r>
        <w:rPr>
          <w:rFonts w:hint="eastAsia" w:ascii="仿宋_GB2312" w:hAnsi="仿宋_GB2312" w:eastAsia="仿宋_GB2312" w:cs="仿宋_GB2312"/>
          <w:lang w:val="en-US" w:eastAsia="zh-CN"/>
        </w:rPr>
        <w:t>1</w:t>
      </w:r>
      <w:r>
        <w:rPr>
          <w:rFonts w:hint="eastAsia" w:ascii="仿宋_GB2312" w:hAnsi="仿宋_GB2312" w:eastAsia="仿宋_GB2312" w:cs="仿宋_GB2312"/>
        </w:rPr>
        <w:t>个海洋浮标站，名单见表2-</w:t>
      </w:r>
      <w:r>
        <w:rPr>
          <w:rFonts w:hint="eastAsia" w:ascii="仿宋_GB2312" w:hAnsi="仿宋_GB2312" w:cs="仿宋_GB2312"/>
          <w:lang w:val="en-US" w:eastAsia="zh-CN"/>
        </w:rPr>
        <w:t>5</w:t>
      </w:r>
      <w:r>
        <w:rPr>
          <w:rFonts w:hint="eastAsia" w:ascii="仿宋_GB2312" w:hAnsi="仿宋_GB2312" w:eastAsia="仿宋_GB2312" w:cs="仿宋_GB2312"/>
        </w:rPr>
        <w:t>。</w:t>
      </w:r>
      <w:bookmarkStart w:id="145" w:name="_Toc15253"/>
      <w:bookmarkStart w:id="146" w:name="_Toc32567"/>
      <w:bookmarkStart w:id="147" w:name="_Toc12191"/>
      <w:bookmarkStart w:id="148" w:name="_Toc2563"/>
      <w:bookmarkStart w:id="149" w:name="_Toc97817330"/>
      <w:bookmarkStart w:id="150" w:name="_Toc8457"/>
      <w:bookmarkStart w:id="151" w:name="_Toc20441"/>
      <w:bookmarkStart w:id="152" w:name="_Toc2851"/>
      <w:bookmarkStart w:id="153" w:name="_Toc3552"/>
    </w:p>
    <w:p>
      <w:pPr>
        <w:keepNext/>
        <w:keepLines/>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9"/>
        <w:rPr>
          <w:rFonts w:hint="eastAsia" w:ascii="仿宋_GB2312" w:hAnsi="仿宋_GB2312" w:cs="仿宋_GB2312"/>
          <w:b/>
          <w:bCs/>
          <w:sz w:val="24"/>
          <w:highlight w:val="none"/>
          <w:lang w:val="en-US" w:eastAsia="zh-CN"/>
        </w:rPr>
      </w:pPr>
      <w:r>
        <w:rPr>
          <w:rFonts w:hint="eastAsia" w:ascii="仿宋_GB2312" w:hAnsi="仿宋_GB2312" w:cs="仿宋_GB2312"/>
          <w:b/>
          <w:bCs/>
          <w:sz w:val="24"/>
          <w:highlight w:val="none"/>
          <w:lang w:val="en-US" w:eastAsia="zh-CN"/>
        </w:rPr>
        <w:t>表2-5 省级水质自动监测站名单</w:t>
      </w:r>
      <w:bookmarkEnd w:id="145"/>
      <w:bookmarkEnd w:id="146"/>
      <w:bookmarkEnd w:id="147"/>
      <w:bookmarkEnd w:id="148"/>
      <w:bookmarkEnd w:id="149"/>
      <w:bookmarkEnd w:id="150"/>
      <w:bookmarkEnd w:id="151"/>
      <w:bookmarkEnd w:id="152"/>
      <w:bookmarkEnd w:id="153"/>
    </w:p>
    <w:tbl>
      <w:tblPr>
        <w:tblStyle w:val="56"/>
        <w:tblW w:w="8296" w:type="dxa"/>
        <w:jc w:val="center"/>
        <w:tblLayout w:type="fixed"/>
        <w:tblCellMar>
          <w:top w:w="0" w:type="dxa"/>
          <w:left w:w="108" w:type="dxa"/>
          <w:bottom w:w="0" w:type="dxa"/>
          <w:right w:w="108" w:type="dxa"/>
        </w:tblCellMar>
      </w:tblPr>
      <w:tblGrid>
        <w:gridCol w:w="957"/>
        <w:gridCol w:w="1230"/>
        <w:gridCol w:w="1656"/>
        <w:gridCol w:w="2743"/>
        <w:gridCol w:w="1710"/>
      </w:tblGrid>
      <w:tr>
        <w:tblPrEx>
          <w:tblCellMar>
            <w:top w:w="0" w:type="dxa"/>
            <w:left w:w="108" w:type="dxa"/>
            <w:bottom w:w="0" w:type="dxa"/>
            <w:right w:w="108" w:type="dxa"/>
          </w:tblCellMar>
        </w:tblPrEx>
        <w:trPr>
          <w:trHeight w:val="425" w:hRule="atLeast"/>
          <w:tblHeader/>
          <w:jc w:val="center"/>
        </w:trPr>
        <w:tc>
          <w:tcPr>
            <w:tcW w:w="957" w:type="dxa"/>
            <w:tcBorders>
              <w:top w:val="single" w:color="auto" w:sz="8" w:space="0"/>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序号</w:t>
            </w:r>
          </w:p>
        </w:tc>
        <w:tc>
          <w:tcPr>
            <w:tcW w:w="1230" w:type="dxa"/>
            <w:tcBorders>
              <w:top w:val="single" w:color="auto" w:sz="8" w:space="0"/>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所在城</w:t>
            </w:r>
          </w:p>
        </w:tc>
        <w:tc>
          <w:tcPr>
            <w:tcW w:w="1656" w:type="dxa"/>
            <w:tcBorders>
              <w:top w:val="single" w:color="auto" w:sz="8" w:space="0"/>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所在水体</w:t>
            </w:r>
          </w:p>
        </w:tc>
        <w:tc>
          <w:tcPr>
            <w:tcW w:w="2743" w:type="dxa"/>
            <w:tcBorders>
              <w:top w:val="single" w:color="auto" w:sz="8" w:space="0"/>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站点名称</w:t>
            </w:r>
          </w:p>
        </w:tc>
        <w:tc>
          <w:tcPr>
            <w:tcW w:w="1710" w:type="dxa"/>
            <w:tcBorders>
              <w:top w:val="single" w:color="auto" w:sz="8" w:space="0"/>
              <w:left w:val="nil"/>
              <w:bottom w:val="single" w:color="auto" w:sz="4" w:space="0"/>
              <w:right w:val="nil"/>
            </w:tcBorders>
            <w:vAlign w:val="center"/>
          </w:tcPr>
          <w:p>
            <w:pPr>
              <w:widowControl/>
              <w:spacing w:line="240" w:lineRule="auto"/>
              <w:ind w:firstLine="0" w:firstLineChars="0"/>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站点类型</w:t>
            </w:r>
          </w:p>
        </w:tc>
      </w:tr>
      <w:tr>
        <w:tblPrEx>
          <w:tblCellMar>
            <w:top w:w="0" w:type="dxa"/>
            <w:left w:w="108" w:type="dxa"/>
            <w:bottom w:w="0" w:type="dxa"/>
            <w:right w:w="108" w:type="dxa"/>
          </w:tblCellMar>
        </w:tblPrEx>
        <w:trPr>
          <w:trHeight w:val="425" w:hRule="atLeast"/>
          <w:jc w:val="center"/>
        </w:trPr>
        <w:tc>
          <w:tcPr>
            <w:tcW w:w="95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1</w:t>
            </w:r>
          </w:p>
        </w:tc>
        <w:tc>
          <w:tcPr>
            <w:tcW w:w="1230"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6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大辽河</w:t>
            </w:r>
          </w:p>
        </w:tc>
        <w:tc>
          <w:tcPr>
            <w:tcW w:w="274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三岔河</w:t>
            </w:r>
          </w:p>
        </w:tc>
        <w:tc>
          <w:tcPr>
            <w:tcW w:w="1710" w:type="dxa"/>
            <w:tcBorders>
              <w:top w:val="nil"/>
              <w:left w:val="nil"/>
              <w:bottom w:val="single" w:color="auto" w:sz="4" w:space="0"/>
              <w:right w:val="nil"/>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固定站</w:t>
            </w:r>
          </w:p>
        </w:tc>
      </w:tr>
      <w:tr>
        <w:tblPrEx>
          <w:tblCellMar>
            <w:top w:w="0" w:type="dxa"/>
            <w:left w:w="108" w:type="dxa"/>
            <w:bottom w:w="0" w:type="dxa"/>
            <w:right w:w="108" w:type="dxa"/>
          </w:tblCellMar>
        </w:tblPrEx>
        <w:trPr>
          <w:trHeight w:val="425" w:hRule="atLeast"/>
          <w:jc w:val="center"/>
        </w:trPr>
        <w:tc>
          <w:tcPr>
            <w:tcW w:w="95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2</w:t>
            </w:r>
          </w:p>
        </w:tc>
        <w:tc>
          <w:tcPr>
            <w:tcW w:w="123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_GB2312" w:hAnsi="仿宋_GB2312" w:eastAsia="仿宋_GB2312" w:cs="仿宋_GB2312"/>
                <w:kern w:val="0"/>
                <w:sz w:val="24"/>
              </w:rPr>
            </w:pPr>
          </w:p>
        </w:tc>
        <w:tc>
          <w:tcPr>
            <w:tcW w:w="16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沙子河</w:t>
            </w:r>
          </w:p>
        </w:tc>
        <w:tc>
          <w:tcPr>
            <w:tcW w:w="274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鲜峰桥</w:t>
            </w:r>
          </w:p>
        </w:tc>
        <w:tc>
          <w:tcPr>
            <w:tcW w:w="1710" w:type="dxa"/>
            <w:tcBorders>
              <w:top w:val="nil"/>
              <w:left w:val="nil"/>
              <w:bottom w:val="single" w:color="auto" w:sz="4" w:space="0"/>
              <w:right w:val="nil"/>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固定站</w:t>
            </w:r>
          </w:p>
        </w:tc>
      </w:tr>
      <w:tr>
        <w:tblPrEx>
          <w:tblCellMar>
            <w:top w:w="0" w:type="dxa"/>
            <w:left w:w="108" w:type="dxa"/>
            <w:bottom w:w="0" w:type="dxa"/>
            <w:right w:w="108" w:type="dxa"/>
          </w:tblCellMar>
        </w:tblPrEx>
        <w:trPr>
          <w:trHeight w:val="425" w:hRule="atLeast"/>
          <w:jc w:val="center"/>
        </w:trPr>
        <w:tc>
          <w:tcPr>
            <w:tcW w:w="95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3</w:t>
            </w:r>
          </w:p>
        </w:tc>
        <w:tc>
          <w:tcPr>
            <w:tcW w:w="123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_GB2312" w:hAnsi="仿宋_GB2312" w:eastAsia="仿宋_GB2312" w:cs="仿宋_GB2312"/>
                <w:kern w:val="0"/>
                <w:sz w:val="24"/>
              </w:rPr>
            </w:pPr>
          </w:p>
        </w:tc>
        <w:tc>
          <w:tcPr>
            <w:tcW w:w="16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螃蟹沟</w:t>
            </w:r>
          </w:p>
        </w:tc>
        <w:tc>
          <w:tcPr>
            <w:tcW w:w="274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于岗子</w:t>
            </w:r>
          </w:p>
        </w:tc>
        <w:tc>
          <w:tcPr>
            <w:tcW w:w="1710" w:type="dxa"/>
            <w:tcBorders>
              <w:top w:val="nil"/>
              <w:left w:val="nil"/>
              <w:bottom w:val="single" w:color="auto" w:sz="4" w:space="0"/>
              <w:right w:val="nil"/>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固定站</w:t>
            </w:r>
          </w:p>
        </w:tc>
      </w:tr>
      <w:tr>
        <w:tblPrEx>
          <w:tblCellMar>
            <w:top w:w="0" w:type="dxa"/>
            <w:left w:w="108" w:type="dxa"/>
            <w:bottom w:w="0" w:type="dxa"/>
            <w:right w:w="108" w:type="dxa"/>
          </w:tblCellMar>
        </w:tblPrEx>
        <w:trPr>
          <w:trHeight w:val="425" w:hRule="atLeast"/>
          <w:jc w:val="center"/>
        </w:trPr>
        <w:tc>
          <w:tcPr>
            <w:tcW w:w="95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4</w:t>
            </w:r>
          </w:p>
        </w:tc>
        <w:tc>
          <w:tcPr>
            <w:tcW w:w="123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_GB2312" w:hAnsi="仿宋_GB2312" w:eastAsia="仿宋_GB2312" w:cs="仿宋_GB2312"/>
                <w:kern w:val="0"/>
                <w:sz w:val="24"/>
              </w:rPr>
            </w:pPr>
          </w:p>
        </w:tc>
        <w:tc>
          <w:tcPr>
            <w:tcW w:w="16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绕阳河</w:t>
            </w:r>
          </w:p>
        </w:tc>
        <w:tc>
          <w:tcPr>
            <w:tcW w:w="274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龙家泵站</w:t>
            </w:r>
          </w:p>
        </w:tc>
        <w:tc>
          <w:tcPr>
            <w:tcW w:w="1710" w:type="dxa"/>
            <w:tcBorders>
              <w:top w:val="nil"/>
              <w:left w:val="nil"/>
              <w:bottom w:val="single" w:color="auto" w:sz="4" w:space="0"/>
              <w:right w:val="nil"/>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溯源站</w:t>
            </w:r>
          </w:p>
        </w:tc>
      </w:tr>
      <w:tr>
        <w:tblPrEx>
          <w:tblCellMar>
            <w:top w:w="0" w:type="dxa"/>
            <w:left w:w="108" w:type="dxa"/>
            <w:bottom w:w="0" w:type="dxa"/>
            <w:right w:w="108" w:type="dxa"/>
          </w:tblCellMar>
        </w:tblPrEx>
        <w:trPr>
          <w:trHeight w:val="425" w:hRule="atLeast"/>
          <w:jc w:val="center"/>
        </w:trPr>
        <w:tc>
          <w:tcPr>
            <w:tcW w:w="95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5</w:t>
            </w:r>
          </w:p>
        </w:tc>
        <w:tc>
          <w:tcPr>
            <w:tcW w:w="123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_GB2312" w:hAnsi="仿宋_GB2312" w:eastAsia="仿宋_GB2312" w:cs="仿宋_GB2312"/>
                <w:kern w:val="0"/>
                <w:sz w:val="24"/>
              </w:rPr>
            </w:pPr>
          </w:p>
        </w:tc>
        <w:tc>
          <w:tcPr>
            <w:tcW w:w="16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双绕总干渠</w:t>
            </w:r>
          </w:p>
        </w:tc>
        <w:tc>
          <w:tcPr>
            <w:tcW w:w="274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双绕河闸</w:t>
            </w:r>
          </w:p>
        </w:tc>
        <w:tc>
          <w:tcPr>
            <w:tcW w:w="1710" w:type="dxa"/>
            <w:tcBorders>
              <w:top w:val="nil"/>
              <w:left w:val="nil"/>
              <w:bottom w:val="single" w:color="auto" w:sz="4" w:space="0"/>
              <w:right w:val="nil"/>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溯源站</w:t>
            </w:r>
          </w:p>
        </w:tc>
      </w:tr>
      <w:tr>
        <w:tblPrEx>
          <w:tblCellMar>
            <w:top w:w="0" w:type="dxa"/>
            <w:left w:w="108" w:type="dxa"/>
            <w:bottom w:w="0" w:type="dxa"/>
            <w:right w:w="108" w:type="dxa"/>
          </w:tblCellMar>
        </w:tblPrEx>
        <w:trPr>
          <w:trHeight w:val="425" w:hRule="atLeast"/>
          <w:jc w:val="center"/>
        </w:trPr>
        <w:tc>
          <w:tcPr>
            <w:tcW w:w="95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6</w:t>
            </w:r>
          </w:p>
        </w:tc>
        <w:tc>
          <w:tcPr>
            <w:tcW w:w="123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_GB2312" w:hAnsi="仿宋_GB2312" w:eastAsia="仿宋_GB2312" w:cs="仿宋_GB2312"/>
                <w:kern w:val="0"/>
                <w:sz w:val="24"/>
              </w:rPr>
            </w:pPr>
          </w:p>
        </w:tc>
        <w:tc>
          <w:tcPr>
            <w:tcW w:w="16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绕阳河</w:t>
            </w:r>
          </w:p>
        </w:tc>
        <w:tc>
          <w:tcPr>
            <w:tcW w:w="274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曙光泵站</w:t>
            </w:r>
          </w:p>
        </w:tc>
        <w:tc>
          <w:tcPr>
            <w:tcW w:w="1710" w:type="dxa"/>
            <w:tcBorders>
              <w:top w:val="nil"/>
              <w:left w:val="nil"/>
              <w:bottom w:val="single" w:color="auto" w:sz="4" w:space="0"/>
              <w:right w:val="nil"/>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溯源站</w:t>
            </w:r>
          </w:p>
        </w:tc>
      </w:tr>
      <w:tr>
        <w:tblPrEx>
          <w:tblCellMar>
            <w:top w:w="0" w:type="dxa"/>
            <w:left w:w="108" w:type="dxa"/>
            <w:bottom w:w="0" w:type="dxa"/>
            <w:right w:w="108" w:type="dxa"/>
          </w:tblCellMar>
        </w:tblPrEx>
        <w:trPr>
          <w:trHeight w:val="425" w:hRule="atLeast"/>
          <w:jc w:val="center"/>
        </w:trPr>
        <w:tc>
          <w:tcPr>
            <w:tcW w:w="95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7</w:t>
            </w:r>
          </w:p>
        </w:tc>
        <w:tc>
          <w:tcPr>
            <w:tcW w:w="123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_GB2312" w:hAnsi="仿宋_GB2312" w:eastAsia="仿宋_GB2312" w:cs="仿宋_GB2312"/>
                <w:kern w:val="0"/>
                <w:sz w:val="24"/>
              </w:rPr>
            </w:pPr>
          </w:p>
        </w:tc>
        <w:tc>
          <w:tcPr>
            <w:tcW w:w="16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太平河</w:t>
            </w:r>
          </w:p>
        </w:tc>
        <w:tc>
          <w:tcPr>
            <w:tcW w:w="274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银河泵站</w:t>
            </w:r>
          </w:p>
        </w:tc>
        <w:tc>
          <w:tcPr>
            <w:tcW w:w="1710" w:type="dxa"/>
            <w:tcBorders>
              <w:top w:val="nil"/>
              <w:left w:val="nil"/>
              <w:bottom w:val="single" w:color="auto" w:sz="4" w:space="0"/>
              <w:right w:val="nil"/>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溯源站</w:t>
            </w:r>
          </w:p>
        </w:tc>
      </w:tr>
      <w:tr>
        <w:tblPrEx>
          <w:tblCellMar>
            <w:top w:w="0" w:type="dxa"/>
            <w:left w:w="108" w:type="dxa"/>
            <w:bottom w:w="0" w:type="dxa"/>
            <w:right w:w="108" w:type="dxa"/>
          </w:tblCellMar>
        </w:tblPrEx>
        <w:trPr>
          <w:trHeight w:val="425" w:hRule="atLeast"/>
          <w:jc w:val="center"/>
        </w:trPr>
        <w:tc>
          <w:tcPr>
            <w:tcW w:w="95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8</w:t>
            </w:r>
          </w:p>
        </w:tc>
        <w:tc>
          <w:tcPr>
            <w:tcW w:w="123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_GB2312" w:hAnsi="仿宋_GB2312" w:eastAsia="仿宋_GB2312" w:cs="仿宋_GB2312"/>
                <w:kern w:val="0"/>
                <w:sz w:val="24"/>
              </w:rPr>
            </w:pPr>
          </w:p>
        </w:tc>
        <w:tc>
          <w:tcPr>
            <w:tcW w:w="16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一统河</w:t>
            </w:r>
          </w:p>
        </w:tc>
        <w:tc>
          <w:tcPr>
            <w:tcW w:w="274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华锦排口</w:t>
            </w:r>
          </w:p>
        </w:tc>
        <w:tc>
          <w:tcPr>
            <w:tcW w:w="1710" w:type="dxa"/>
            <w:tcBorders>
              <w:top w:val="nil"/>
              <w:left w:val="nil"/>
              <w:bottom w:val="single" w:color="auto" w:sz="4" w:space="0"/>
              <w:right w:val="nil"/>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溯源站</w:t>
            </w:r>
          </w:p>
        </w:tc>
      </w:tr>
      <w:tr>
        <w:tblPrEx>
          <w:tblCellMar>
            <w:top w:w="0" w:type="dxa"/>
            <w:left w:w="108" w:type="dxa"/>
            <w:bottom w:w="0" w:type="dxa"/>
            <w:right w:w="108" w:type="dxa"/>
          </w:tblCellMar>
        </w:tblPrEx>
        <w:trPr>
          <w:trHeight w:val="425" w:hRule="atLeast"/>
          <w:jc w:val="center"/>
        </w:trPr>
        <w:tc>
          <w:tcPr>
            <w:tcW w:w="95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9</w:t>
            </w:r>
          </w:p>
        </w:tc>
        <w:tc>
          <w:tcPr>
            <w:tcW w:w="123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_GB2312" w:hAnsi="仿宋_GB2312" w:eastAsia="仿宋_GB2312" w:cs="仿宋_GB2312"/>
                <w:kern w:val="0"/>
                <w:sz w:val="24"/>
              </w:rPr>
            </w:pPr>
          </w:p>
        </w:tc>
        <w:tc>
          <w:tcPr>
            <w:tcW w:w="16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一统河</w:t>
            </w:r>
          </w:p>
        </w:tc>
        <w:tc>
          <w:tcPr>
            <w:tcW w:w="274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谷家泵站</w:t>
            </w:r>
          </w:p>
        </w:tc>
        <w:tc>
          <w:tcPr>
            <w:tcW w:w="1710" w:type="dxa"/>
            <w:tcBorders>
              <w:top w:val="nil"/>
              <w:left w:val="nil"/>
              <w:bottom w:val="single" w:color="auto" w:sz="4" w:space="0"/>
              <w:right w:val="nil"/>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溯源站</w:t>
            </w:r>
          </w:p>
        </w:tc>
      </w:tr>
      <w:tr>
        <w:tblPrEx>
          <w:tblCellMar>
            <w:top w:w="0" w:type="dxa"/>
            <w:left w:w="108" w:type="dxa"/>
            <w:bottom w:w="0" w:type="dxa"/>
            <w:right w:w="108" w:type="dxa"/>
          </w:tblCellMar>
        </w:tblPrEx>
        <w:trPr>
          <w:trHeight w:val="425" w:hRule="atLeast"/>
          <w:jc w:val="center"/>
        </w:trPr>
        <w:tc>
          <w:tcPr>
            <w:tcW w:w="95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10</w:t>
            </w:r>
          </w:p>
        </w:tc>
        <w:tc>
          <w:tcPr>
            <w:tcW w:w="123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_GB2312" w:hAnsi="仿宋_GB2312" w:eastAsia="仿宋_GB2312" w:cs="仿宋_GB2312"/>
                <w:kern w:val="0"/>
                <w:sz w:val="24"/>
              </w:rPr>
            </w:pPr>
          </w:p>
        </w:tc>
        <w:tc>
          <w:tcPr>
            <w:tcW w:w="16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274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高家泵站</w:t>
            </w:r>
          </w:p>
        </w:tc>
        <w:tc>
          <w:tcPr>
            <w:tcW w:w="1710" w:type="dxa"/>
            <w:tcBorders>
              <w:top w:val="nil"/>
              <w:left w:val="nil"/>
              <w:bottom w:val="single" w:color="auto" w:sz="4" w:space="0"/>
              <w:right w:val="nil"/>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溯源站</w:t>
            </w:r>
          </w:p>
        </w:tc>
      </w:tr>
      <w:tr>
        <w:tblPrEx>
          <w:tblCellMar>
            <w:top w:w="0" w:type="dxa"/>
            <w:left w:w="108" w:type="dxa"/>
            <w:bottom w:w="0" w:type="dxa"/>
            <w:right w:w="108" w:type="dxa"/>
          </w:tblCellMar>
        </w:tblPrEx>
        <w:trPr>
          <w:trHeight w:val="425" w:hRule="atLeast"/>
          <w:jc w:val="center"/>
        </w:trPr>
        <w:tc>
          <w:tcPr>
            <w:tcW w:w="95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11</w:t>
            </w:r>
          </w:p>
        </w:tc>
        <w:tc>
          <w:tcPr>
            <w:tcW w:w="123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_GB2312" w:hAnsi="仿宋_GB2312" w:eastAsia="仿宋_GB2312" w:cs="仿宋_GB2312"/>
                <w:kern w:val="0"/>
                <w:sz w:val="24"/>
              </w:rPr>
            </w:pPr>
          </w:p>
        </w:tc>
        <w:tc>
          <w:tcPr>
            <w:tcW w:w="16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274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八一泵站</w:t>
            </w:r>
          </w:p>
        </w:tc>
        <w:tc>
          <w:tcPr>
            <w:tcW w:w="1710" w:type="dxa"/>
            <w:tcBorders>
              <w:top w:val="nil"/>
              <w:left w:val="nil"/>
              <w:bottom w:val="single" w:color="auto" w:sz="4" w:space="0"/>
              <w:right w:val="nil"/>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溯源站</w:t>
            </w:r>
          </w:p>
        </w:tc>
      </w:tr>
      <w:tr>
        <w:tblPrEx>
          <w:tblCellMar>
            <w:top w:w="0" w:type="dxa"/>
            <w:left w:w="108" w:type="dxa"/>
            <w:bottom w:w="0" w:type="dxa"/>
            <w:right w:w="108" w:type="dxa"/>
          </w:tblCellMar>
        </w:tblPrEx>
        <w:trPr>
          <w:trHeight w:val="425" w:hRule="atLeast"/>
          <w:jc w:val="center"/>
        </w:trPr>
        <w:tc>
          <w:tcPr>
            <w:tcW w:w="95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12</w:t>
            </w:r>
          </w:p>
        </w:tc>
        <w:tc>
          <w:tcPr>
            <w:tcW w:w="123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_GB2312" w:hAnsi="仿宋_GB2312" w:eastAsia="仿宋_GB2312" w:cs="仿宋_GB2312"/>
                <w:kern w:val="0"/>
                <w:sz w:val="24"/>
              </w:rPr>
            </w:pPr>
          </w:p>
        </w:tc>
        <w:tc>
          <w:tcPr>
            <w:tcW w:w="16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274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南迁泵站</w:t>
            </w:r>
          </w:p>
        </w:tc>
        <w:tc>
          <w:tcPr>
            <w:tcW w:w="1710" w:type="dxa"/>
            <w:tcBorders>
              <w:top w:val="nil"/>
              <w:left w:val="nil"/>
              <w:bottom w:val="single" w:color="auto" w:sz="4" w:space="0"/>
              <w:right w:val="nil"/>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溯源站</w:t>
            </w:r>
          </w:p>
        </w:tc>
      </w:tr>
      <w:tr>
        <w:tblPrEx>
          <w:tblCellMar>
            <w:top w:w="0" w:type="dxa"/>
            <w:left w:w="108" w:type="dxa"/>
            <w:bottom w:w="0" w:type="dxa"/>
            <w:right w:w="108" w:type="dxa"/>
          </w:tblCellMar>
        </w:tblPrEx>
        <w:trPr>
          <w:trHeight w:val="425" w:hRule="atLeast"/>
          <w:jc w:val="center"/>
        </w:trPr>
        <w:tc>
          <w:tcPr>
            <w:tcW w:w="95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13</w:t>
            </w:r>
          </w:p>
        </w:tc>
        <w:tc>
          <w:tcPr>
            <w:tcW w:w="123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_GB2312" w:hAnsi="仿宋_GB2312" w:eastAsia="仿宋_GB2312" w:cs="仿宋_GB2312"/>
                <w:kern w:val="0"/>
                <w:sz w:val="24"/>
              </w:rPr>
            </w:pPr>
          </w:p>
        </w:tc>
        <w:tc>
          <w:tcPr>
            <w:tcW w:w="16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辽河入海口</w:t>
            </w:r>
          </w:p>
        </w:tc>
        <w:tc>
          <w:tcPr>
            <w:tcW w:w="274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辽河口海洋浮标站</w:t>
            </w:r>
          </w:p>
        </w:tc>
        <w:tc>
          <w:tcPr>
            <w:tcW w:w="1710" w:type="dxa"/>
            <w:tcBorders>
              <w:top w:val="nil"/>
              <w:left w:val="nil"/>
              <w:bottom w:val="single" w:color="auto" w:sz="4" w:space="0"/>
              <w:right w:val="nil"/>
            </w:tcBorders>
            <w:vAlign w:val="center"/>
          </w:tcPr>
          <w:p>
            <w:pPr>
              <w:widowControl/>
              <w:spacing w:line="240" w:lineRule="auto"/>
              <w:ind w:firstLine="0" w:firstLineChars="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浮标站</w:t>
            </w:r>
          </w:p>
        </w:tc>
      </w:tr>
    </w:tbl>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cs="仿宋_GB2312"/>
          <w:b/>
          <w:szCs w:val="30"/>
          <w:lang w:val="en-US" w:eastAsia="zh-CN"/>
        </w:rPr>
      </w:pPr>
      <w:r>
        <w:rPr>
          <w:rFonts w:hint="eastAsia" w:ascii="仿宋_GB2312" w:hAnsi="仿宋_GB2312" w:cs="仿宋_GB2312"/>
          <w:b/>
          <w:szCs w:val="30"/>
          <w:lang w:val="en-US" w:eastAsia="zh-CN"/>
        </w:rPr>
        <w:t>2.工作方式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固定站、溯源站、海洋浮标站水质监测为省级事权，由省中心负责运行管理，委托社会化运维机构承担日常运维</w:t>
      </w:r>
      <w:r>
        <w:rPr>
          <w:rFonts w:hint="eastAsia" w:ascii="仿宋_GB2312" w:hAnsi="仿宋_GB2312" w:eastAsia="仿宋_GB2312" w:cs="仿宋_GB2312"/>
          <w:szCs w:val="32"/>
        </w:rPr>
        <w:t>，</w:t>
      </w:r>
      <w:r>
        <w:rPr>
          <w:rFonts w:hint="eastAsia" w:ascii="仿宋_GB2312" w:hAnsi="仿宋_GB2312" w:eastAsia="仿宋_GB2312" w:cs="仿宋_GB2312"/>
        </w:rPr>
        <w:t>运行经费由省级财政保障；</w:t>
      </w:r>
      <w:r>
        <w:rPr>
          <w:rFonts w:hint="eastAsia" w:ascii="仿宋_GB2312" w:hAnsi="仿宋_GB2312" w:eastAsia="仿宋_GB2312" w:cs="仿宋_GB2312"/>
          <w:szCs w:val="32"/>
        </w:rPr>
        <w:t>市生态环境</w:t>
      </w:r>
      <w:r>
        <w:rPr>
          <w:rFonts w:hint="eastAsia" w:ascii="仿宋_GB2312" w:hAnsi="仿宋_GB2312" w:cs="仿宋_GB2312"/>
          <w:szCs w:val="32"/>
          <w:lang w:val="en-US" w:eastAsia="zh-CN"/>
        </w:rPr>
        <w:t>局</w:t>
      </w:r>
      <w:r>
        <w:rPr>
          <w:rFonts w:hint="eastAsia" w:ascii="仿宋_GB2312" w:hAnsi="仿宋_GB2312" w:eastAsia="仿宋_GB2312" w:cs="仿宋_GB2312"/>
          <w:szCs w:val="32"/>
        </w:rPr>
        <w:t>配合做好四通一平等基础条件保障并负责落实属地内防范人为干扰主体责任</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shd w:val="clear" w:color="auto" w:fill="auto"/>
        </w:rPr>
      </w:pPr>
      <w:r>
        <w:rPr>
          <w:rFonts w:hint="eastAsia" w:ascii="仿宋_GB2312" w:hAnsi="仿宋_GB2312" w:eastAsia="仿宋_GB2312" w:cs="仿宋_GB2312"/>
          <w:kern w:val="0"/>
          <w:szCs w:val="32"/>
          <w:highlight w:val="none"/>
          <w:shd w:val="clear" w:color="auto" w:fill="auto"/>
        </w:rPr>
        <w:t>责任主体：市生态环境局</w:t>
      </w:r>
      <w:r>
        <w:rPr>
          <w:rFonts w:hint="eastAsia" w:ascii="仿宋_GB2312" w:hAnsi="仿宋_GB2312" w:eastAsia="仿宋_GB2312" w:cs="仿宋_GB2312"/>
          <w:highlight w:val="none"/>
          <w:lang w:val="en-US" w:eastAsia="zh-CN"/>
        </w:rPr>
        <w:t>水科</w:t>
      </w:r>
      <w:r>
        <w:rPr>
          <w:rFonts w:hint="eastAsia" w:ascii="仿宋_GB2312" w:hAnsi="仿宋_GB2312" w:eastAsia="仿宋_GB2312" w:cs="仿宋_GB2312"/>
          <w:kern w:val="0"/>
          <w:szCs w:val="32"/>
          <w:highlight w:val="none"/>
          <w:shd w:val="clear" w:color="auto" w:fill="auto"/>
        </w:rPr>
        <w:t>。</w:t>
      </w:r>
    </w:p>
    <w:bookmarkEnd w:id="144"/>
    <w:p>
      <w:pPr>
        <w:pStyle w:val="2"/>
        <w:keepNext/>
        <w:keepLines/>
        <w:pageBreakBefore w:val="0"/>
        <w:widowControl w:val="0"/>
        <w:kinsoku/>
        <w:wordWrap/>
        <w:overflowPunct/>
        <w:topLinePunct w:val="0"/>
        <w:autoSpaceDE/>
        <w:autoSpaceDN/>
        <w:bidi w:val="0"/>
        <w:adjustRightInd/>
        <w:snapToGrid/>
        <w:spacing w:before="438" w:beforeLines="100" w:after="438" w:afterLines="100" w:line="600" w:lineRule="exact"/>
        <w:ind w:left="0" w:leftChars="0" w:firstLine="0" w:firstLineChars="0"/>
        <w:jc w:val="center"/>
        <w:textAlignment w:val="auto"/>
        <w:rPr>
          <w:b/>
          <w:sz w:val="36"/>
          <w:szCs w:val="36"/>
          <w:highlight w:val="none"/>
        </w:rPr>
      </w:pPr>
      <w:bookmarkStart w:id="154" w:name="_Toc28084"/>
      <w:bookmarkStart w:id="155" w:name="_Toc32706"/>
      <w:bookmarkStart w:id="156" w:name="_Toc21330"/>
      <w:bookmarkStart w:id="157" w:name="_Toc2916"/>
      <w:bookmarkStart w:id="158" w:name="_Toc9284"/>
      <w:bookmarkStart w:id="159" w:name="_Toc6157"/>
      <w:bookmarkStart w:id="160" w:name="_Toc1392053"/>
      <w:bookmarkStart w:id="161" w:name="_Toc34058540"/>
      <w:bookmarkStart w:id="162" w:name="_Toc12390"/>
      <w:bookmarkStart w:id="163" w:name="_Toc5392"/>
      <w:r>
        <w:rPr>
          <w:b/>
          <w:sz w:val="36"/>
          <w:szCs w:val="36"/>
          <w:highlight w:val="none"/>
        </w:rPr>
        <w:t>三、土壤和地下水环境质量监测</w:t>
      </w:r>
      <w:bookmarkEnd w:id="154"/>
      <w:bookmarkEnd w:id="155"/>
      <w:bookmarkEnd w:id="156"/>
      <w:bookmarkEnd w:id="157"/>
      <w:bookmarkEnd w:id="158"/>
      <w:bookmarkEnd w:id="159"/>
      <w:bookmarkEnd w:id="160"/>
      <w:bookmarkEnd w:id="161"/>
      <w:bookmarkEnd w:id="162"/>
      <w:bookmarkEnd w:id="163"/>
    </w:p>
    <w:p>
      <w:pPr>
        <w:pStyle w:val="3"/>
        <w:keepNext/>
        <w:keepLines/>
        <w:pageBreakBefore w:val="0"/>
        <w:widowControl w:val="0"/>
        <w:numPr>
          <w:ilvl w:val="0"/>
          <w:numId w:val="0"/>
        </w:numPr>
        <w:tabs>
          <w:tab w:val="left" w:pos="888"/>
        </w:tabs>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lang w:val="en-US" w:eastAsia="zh-CN"/>
        </w:rPr>
      </w:pPr>
      <w:bookmarkStart w:id="164" w:name="_Toc20854"/>
      <w:bookmarkStart w:id="165" w:name="_Toc25764"/>
      <w:bookmarkStart w:id="166" w:name="_Toc12866"/>
      <w:bookmarkStart w:id="167" w:name="_Toc16527"/>
      <w:bookmarkStart w:id="168" w:name="_Toc5456"/>
      <w:bookmarkStart w:id="169" w:name="_Toc16040"/>
      <w:bookmarkStart w:id="170" w:name="_Toc25148"/>
      <w:bookmarkStart w:id="171" w:name="_Toc11941"/>
      <w:bookmarkStart w:id="172" w:name="_Toc34058543"/>
      <w:bookmarkStart w:id="173" w:name="_Toc472608051"/>
      <w:r>
        <w:rPr>
          <w:rFonts w:hint="eastAsia" w:ascii="楷体_GB2312" w:hAnsi="楷体_GB2312" w:eastAsia="楷体_GB2312" w:cs="楷体_GB2312"/>
          <w:b w:val="0"/>
          <w:lang w:val="en-US" w:eastAsia="zh-CN"/>
        </w:rPr>
        <w:t>（十三）地下水污染防治重点排污单位周边地下水监测</w:t>
      </w:r>
      <w:bookmarkEnd w:id="164"/>
      <w:bookmarkEnd w:id="165"/>
      <w:bookmarkEnd w:id="166"/>
      <w:bookmarkEnd w:id="167"/>
      <w:bookmarkEnd w:id="168"/>
      <w:bookmarkEnd w:id="169"/>
      <w:bookmarkEnd w:id="170"/>
      <w:bookmarkEnd w:id="171"/>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kern w:val="2"/>
          <w:sz w:val="32"/>
          <w:szCs w:val="30"/>
          <w:lang w:val="en-US" w:eastAsia="zh-CN" w:bidi="ar-SA"/>
        </w:rPr>
      </w:pPr>
      <w:r>
        <w:rPr>
          <w:rFonts w:hint="eastAsia" w:ascii="仿宋_GB2312" w:hAnsi="仿宋_GB2312" w:eastAsia="仿宋_GB2312" w:cs="仿宋_GB2312"/>
          <w:b/>
          <w:kern w:val="2"/>
          <w:sz w:val="32"/>
          <w:szCs w:val="30"/>
          <w:lang w:val="en-US" w:eastAsia="zh-CN" w:bidi="ar-SA"/>
        </w:rPr>
        <w:t>1.监测范围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shd w:val="clear" w:color="auto" w:fill="auto"/>
        </w:rPr>
      </w:pPr>
      <w:r>
        <w:rPr>
          <w:rFonts w:hint="eastAsia" w:ascii="仿宋_GB2312" w:hAnsi="仿宋_GB2312" w:eastAsia="仿宋_GB2312" w:cs="仿宋_GB2312"/>
          <w:kern w:val="0"/>
          <w:szCs w:val="32"/>
          <w:highlight w:val="none"/>
          <w:shd w:val="clear" w:color="auto" w:fill="auto"/>
        </w:rPr>
        <w:t>按照“十四五”土壤、地下水和农村生态环境保护规划等要求，</w:t>
      </w:r>
      <w:r>
        <w:rPr>
          <w:rFonts w:hint="eastAsia" w:ascii="仿宋_GB2312" w:hAnsi="仿宋_GB2312" w:cs="仿宋_GB2312"/>
          <w:kern w:val="0"/>
          <w:szCs w:val="32"/>
          <w:highlight w:val="none"/>
          <w:shd w:val="clear" w:color="auto" w:fill="auto"/>
          <w:lang w:eastAsia="zh-CN"/>
        </w:rPr>
        <w:t>市生态环境局</w:t>
      </w:r>
      <w:r>
        <w:rPr>
          <w:rFonts w:hint="eastAsia" w:ascii="仿宋_GB2312" w:hAnsi="仿宋_GB2312" w:eastAsia="仿宋_GB2312" w:cs="仿宋_GB2312"/>
          <w:kern w:val="0"/>
          <w:szCs w:val="32"/>
          <w:highlight w:val="none"/>
          <w:shd w:val="clear" w:color="auto" w:fill="auto"/>
        </w:rPr>
        <w:t>根据管理需求，组织开展地下水污染防治重点排污单位周边地下水环境监测。</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kern w:val="2"/>
          <w:sz w:val="32"/>
          <w:szCs w:val="30"/>
          <w:lang w:val="en-US" w:eastAsia="zh-CN" w:bidi="ar-SA"/>
        </w:rPr>
      </w:pPr>
      <w:r>
        <w:rPr>
          <w:rFonts w:hint="eastAsia" w:ascii="仿宋_GB2312" w:hAnsi="仿宋_GB2312" w:eastAsia="仿宋_GB2312" w:cs="仿宋_GB2312"/>
          <w:b/>
          <w:kern w:val="2"/>
          <w:sz w:val="32"/>
          <w:szCs w:val="30"/>
          <w:lang w:val="en-US" w:eastAsia="zh-CN" w:bidi="ar-SA"/>
        </w:rPr>
        <w:t>2.监测项目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以《地下水质量标准》（GB/T 14848</w:t>
      </w:r>
      <w:r>
        <w:rPr>
          <w:rFonts w:hint="eastAsia" w:ascii="仿宋_GB2312" w:hAnsi="仿宋_GB2312" w:cs="仿宋_GB2312"/>
          <w:lang w:val="en-US" w:eastAsia="zh-CN"/>
        </w:rPr>
        <w:t>-</w:t>
      </w:r>
      <w:r>
        <w:rPr>
          <w:rFonts w:hint="eastAsia" w:ascii="仿宋_GB2312" w:hAnsi="仿宋_GB2312" w:eastAsia="仿宋_GB2312" w:cs="仿宋_GB2312"/>
        </w:rPr>
        <w:t>2017）表1常规指标为主，根据污染源行业类型和污染物排放情况，适当增加特征指标。同时，为便于水化学分析结果审核，可增测钙、镁、钾、碳酸根和碳酸氢根等指标。有条件的地区可选择部分区域和点位开展地下水中新污染物试点监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特征指标：根据污染源行业类型和污染物排放情况，适当增加部分典型特征指标。</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kern w:val="2"/>
          <w:sz w:val="32"/>
          <w:szCs w:val="30"/>
          <w:lang w:val="en-US" w:eastAsia="zh-CN" w:bidi="ar-SA"/>
        </w:rPr>
      </w:pPr>
      <w:r>
        <w:rPr>
          <w:rFonts w:hint="eastAsia" w:ascii="仿宋_GB2312" w:hAnsi="仿宋_GB2312" w:eastAsia="仿宋_GB2312" w:cs="仿宋_GB2312"/>
          <w:b/>
          <w:kern w:val="2"/>
          <w:sz w:val="32"/>
          <w:szCs w:val="30"/>
          <w:lang w:val="en-US" w:eastAsia="zh-CN" w:bidi="ar-SA"/>
        </w:rPr>
        <w:t>3.监测频次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根据《地下水质量标准》（GB/T 14848</w:t>
      </w:r>
      <w:r>
        <w:rPr>
          <w:rFonts w:hint="eastAsia" w:ascii="仿宋_GB2312" w:hAnsi="仿宋_GB2312" w:eastAsia="仿宋_GB2312" w:cs="仿宋_GB2312"/>
          <w:lang w:val="en-US" w:eastAsia="zh-CN"/>
        </w:rPr>
        <w:t>-</w:t>
      </w:r>
      <w:r>
        <w:rPr>
          <w:rFonts w:hint="eastAsia" w:ascii="仿宋_GB2312" w:hAnsi="仿宋_GB2312" w:eastAsia="仿宋_GB2312" w:cs="仿宋_GB2312"/>
        </w:rPr>
        <w:t>2017）确定。</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kern w:val="2"/>
          <w:sz w:val="32"/>
          <w:szCs w:val="30"/>
          <w:lang w:val="en-US" w:eastAsia="zh-CN" w:bidi="ar-SA"/>
        </w:rPr>
      </w:pPr>
      <w:r>
        <w:rPr>
          <w:rFonts w:hint="eastAsia" w:ascii="仿宋_GB2312" w:hAnsi="仿宋_GB2312" w:eastAsia="仿宋_GB2312" w:cs="仿宋_GB2312"/>
          <w:b/>
          <w:kern w:val="2"/>
          <w:sz w:val="32"/>
          <w:szCs w:val="30"/>
          <w:lang w:val="en-US" w:eastAsia="zh-CN" w:bidi="ar-SA"/>
        </w:rPr>
        <w:t>4.工作方式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地下水污染防治重点排污单位周边地下水环境监测为市级事权，市级财政保障经费，由市生态环境局组织开展监测和数据分析评价、编制质量管理报告。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责任主体：市生态环境局土</w:t>
      </w:r>
      <w:r>
        <w:rPr>
          <w:rFonts w:hint="eastAsia" w:ascii="仿宋_GB2312" w:hAnsi="仿宋_GB2312" w:cs="仿宋_GB2312"/>
          <w:lang w:val="en-US" w:eastAsia="zh-CN"/>
        </w:rPr>
        <w:t>壤</w:t>
      </w:r>
      <w:r>
        <w:rPr>
          <w:rFonts w:hint="eastAsia" w:ascii="仿宋_GB2312" w:hAnsi="仿宋_GB2312" w:eastAsia="仿宋_GB2312" w:cs="仿宋_GB2312"/>
        </w:rPr>
        <w:t>科。</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kern w:val="2"/>
          <w:sz w:val="32"/>
          <w:szCs w:val="30"/>
          <w:lang w:val="en-US" w:eastAsia="zh-CN" w:bidi="ar-SA"/>
        </w:rPr>
      </w:pPr>
      <w:r>
        <w:rPr>
          <w:rFonts w:hint="eastAsia" w:ascii="仿宋_GB2312" w:hAnsi="仿宋_GB2312" w:eastAsia="仿宋_GB2312" w:cs="仿宋_GB2312"/>
          <w:b/>
          <w:kern w:val="2"/>
          <w:sz w:val="32"/>
          <w:szCs w:val="30"/>
          <w:lang w:val="en-US" w:eastAsia="zh-CN" w:bidi="ar-SA"/>
        </w:rPr>
        <w:t>5.数据报送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3月25日前，</w:t>
      </w:r>
      <w:r>
        <w:rPr>
          <w:rFonts w:hint="eastAsia" w:ascii="仿宋_GB2312" w:hAnsi="仿宋_GB2312" w:cs="仿宋_GB2312"/>
          <w:lang w:eastAsia="zh-CN"/>
        </w:rPr>
        <w:t>市生态环境局</w:t>
      </w:r>
      <w:r>
        <w:rPr>
          <w:rFonts w:hint="eastAsia" w:ascii="仿宋_GB2312" w:hAnsi="仿宋_GB2312" w:eastAsia="仿宋_GB2312" w:cs="仿宋_GB2312"/>
        </w:rPr>
        <w:t>向省厅报送监测工作实施方案。</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12月20日前，完成全部监测并报送监测报告</w:t>
      </w:r>
      <w:r>
        <w:rPr>
          <w:rFonts w:hint="eastAsia" w:ascii="仿宋_GB2312" w:hAnsi="仿宋_GB2312" w:eastAsia="仿宋_GB2312" w:cs="仿宋_GB2312"/>
          <w:lang w:eastAsia="zh-CN"/>
        </w:rPr>
        <w:t>。</w:t>
      </w:r>
      <w:bookmarkEnd w:id="172"/>
      <w:bookmarkStart w:id="174" w:name="_Toc19429"/>
      <w:bookmarkStart w:id="175" w:name="_Toc11446"/>
      <w:bookmarkStart w:id="176" w:name="_Toc32422"/>
      <w:bookmarkStart w:id="177" w:name="_Toc8770"/>
      <w:bookmarkStart w:id="178" w:name="_Toc5199"/>
      <w:bookmarkStart w:id="179" w:name="_Toc9563"/>
      <w:bookmarkStart w:id="180" w:name="_Toc12324"/>
      <w:bookmarkStart w:id="181" w:name="_Toc535217741"/>
      <w:bookmarkStart w:id="182" w:name="_Toc1392056"/>
      <w:bookmarkStart w:id="183" w:name="_Toc34058544"/>
    </w:p>
    <w:p>
      <w:pPr>
        <w:keepNext w:val="0"/>
        <w:keepLines w:val="0"/>
        <w:pageBreakBefore w:val="0"/>
        <w:widowControl w:val="0"/>
        <w:kinsoku/>
        <w:wordWrap/>
        <w:overflowPunct/>
        <w:topLinePunct w:val="0"/>
        <w:autoSpaceDE/>
        <w:autoSpaceDN/>
        <w:bidi w:val="0"/>
        <w:adjustRightInd/>
        <w:snapToGrid/>
        <w:spacing w:before="438" w:beforeLines="100" w:after="438" w:afterLines="100" w:line="600" w:lineRule="exact"/>
        <w:ind w:left="0" w:leftChars="0" w:firstLine="0" w:firstLineChars="0"/>
        <w:jc w:val="center"/>
        <w:textAlignment w:val="auto"/>
        <w:outlineLvl w:val="0"/>
        <w:rPr>
          <w:rFonts w:ascii="Times New Roman" w:hAnsi="Times New Roman" w:eastAsia="黑体" w:cs="Times New Roman"/>
          <w:b/>
          <w:bCs/>
          <w:kern w:val="44"/>
          <w:sz w:val="36"/>
          <w:szCs w:val="36"/>
          <w:highlight w:val="none"/>
          <w:lang w:val="en-US" w:eastAsia="zh-CN" w:bidi="ar-SA"/>
        </w:rPr>
      </w:pPr>
      <w:bookmarkStart w:id="184" w:name="_Toc17192"/>
      <w:r>
        <w:rPr>
          <w:rFonts w:ascii="Times New Roman" w:hAnsi="Times New Roman" w:eastAsia="黑体" w:cs="Times New Roman"/>
          <w:b/>
          <w:bCs/>
          <w:kern w:val="44"/>
          <w:sz w:val="36"/>
          <w:szCs w:val="36"/>
          <w:highlight w:val="none"/>
          <w:lang w:val="en-US" w:eastAsia="zh-CN" w:bidi="ar-SA"/>
        </w:rPr>
        <w:t>四、海洋生态环境监测</w:t>
      </w:r>
      <w:bookmarkEnd w:id="174"/>
      <w:bookmarkEnd w:id="175"/>
      <w:bookmarkEnd w:id="176"/>
      <w:bookmarkEnd w:id="177"/>
      <w:bookmarkEnd w:id="178"/>
      <w:bookmarkEnd w:id="179"/>
      <w:bookmarkEnd w:id="180"/>
      <w:bookmarkEnd w:id="184"/>
    </w:p>
    <w:p>
      <w:pPr>
        <w:pStyle w:val="3"/>
        <w:keepNext/>
        <w:keepLines/>
        <w:pageBreakBefore w:val="0"/>
        <w:widowControl w:val="0"/>
        <w:numPr>
          <w:ilvl w:val="0"/>
          <w:numId w:val="0"/>
        </w:numPr>
        <w:tabs>
          <w:tab w:val="left" w:pos="888"/>
        </w:tabs>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lang w:val="en-US" w:eastAsia="zh-CN"/>
        </w:rPr>
      </w:pPr>
      <w:bookmarkStart w:id="185" w:name="_Toc11200"/>
      <w:bookmarkStart w:id="186" w:name="_Toc15897"/>
      <w:bookmarkStart w:id="187" w:name="_Toc22647"/>
      <w:bookmarkStart w:id="188" w:name="_Toc25991"/>
      <w:bookmarkStart w:id="189" w:name="_Toc12219"/>
      <w:bookmarkStart w:id="190" w:name="_Toc162"/>
      <w:bookmarkStart w:id="191" w:name="_Toc1426"/>
      <w:bookmarkStart w:id="192" w:name="_Toc9679"/>
      <w:r>
        <w:rPr>
          <w:rFonts w:hint="eastAsia" w:ascii="楷体_GB2312" w:hAnsi="楷体_GB2312" w:eastAsia="楷体_GB2312" w:cs="楷体_GB2312"/>
          <w:b w:val="0"/>
          <w:lang w:val="en-US" w:eastAsia="zh-CN"/>
        </w:rPr>
        <w:t>（十四）近岸海域海洋垃圾监测</w:t>
      </w:r>
      <w:bookmarkEnd w:id="185"/>
      <w:bookmarkEnd w:id="186"/>
      <w:bookmarkEnd w:id="187"/>
      <w:bookmarkEnd w:id="188"/>
      <w:bookmarkEnd w:id="189"/>
      <w:bookmarkEnd w:id="190"/>
      <w:bookmarkEnd w:id="191"/>
      <w:bookmarkEnd w:id="192"/>
    </w:p>
    <w:p>
      <w:pPr>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kern w:val="2"/>
          <w:sz w:val="32"/>
          <w:szCs w:val="30"/>
          <w:lang w:val="en-US" w:eastAsia="zh-CN" w:bidi="ar-SA"/>
        </w:rPr>
      </w:pPr>
      <w:r>
        <w:rPr>
          <w:rFonts w:hint="eastAsia" w:ascii="仿宋_GB2312" w:hAnsi="仿宋_GB2312" w:eastAsia="仿宋_GB2312" w:cs="仿宋_GB2312"/>
          <w:b/>
          <w:kern w:val="2"/>
          <w:sz w:val="32"/>
          <w:szCs w:val="30"/>
          <w:lang w:val="en-US" w:eastAsia="zh-CN" w:bidi="ar-SA"/>
        </w:rPr>
        <w:t>1.监测范围</w:t>
      </w:r>
    </w:p>
    <w:p>
      <w:pPr>
        <w:pageBreakBefore w:val="0"/>
        <w:widowControl w:val="0"/>
        <w:kinsoku/>
        <w:wordWrap/>
        <w:overflowPunct/>
        <w:topLinePunct w:val="0"/>
        <w:autoSpaceDE/>
        <w:autoSpaceDN/>
        <w:bidi w:val="0"/>
        <w:spacing w:line="600" w:lineRule="exact"/>
        <w:ind w:firstLine="640"/>
        <w:textAlignment w:val="auto"/>
        <w:rPr>
          <w:rFonts w:eastAsia="仿宋"/>
        </w:rPr>
      </w:pPr>
      <w:r>
        <w:rPr>
          <w:rFonts w:hint="eastAsia" w:ascii="仿宋_GB2312" w:hAnsi="仿宋_GB2312" w:eastAsia="仿宋_GB2312" w:cs="仿宋_GB2312"/>
        </w:rPr>
        <w:t>沿海城市</w:t>
      </w:r>
      <w:r>
        <w:rPr>
          <w:rFonts w:hint="eastAsia" w:ascii="仿宋_GB2312" w:hAnsi="仿宋_GB2312" w:eastAsia="仿宋_GB2312" w:cs="仿宋_GB2312"/>
          <w:lang w:eastAsia="zh-CN"/>
        </w:rPr>
        <w:t>，</w:t>
      </w:r>
      <w:r>
        <w:rPr>
          <w:rFonts w:hint="eastAsia" w:ascii="仿宋_GB2312" w:hAnsi="仿宋_GB2312" w:eastAsia="仿宋_GB2312" w:cs="仿宋_GB2312"/>
        </w:rPr>
        <w:t>根据实际覆盖</w:t>
      </w:r>
      <w:r>
        <w:rPr>
          <w:rFonts w:hint="eastAsia" w:ascii="仿宋_GB2312" w:hAnsi="仿宋_GB2312" w:eastAsia="仿宋_GB2312" w:cs="仿宋_GB2312"/>
          <w:lang w:eastAsia="zh-CN"/>
        </w:rPr>
        <w:t>到</w:t>
      </w:r>
      <w:r>
        <w:rPr>
          <w:rFonts w:hint="eastAsia" w:ascii="仿宋_GB2312" w:hAnsi="仿宋_GB2312" w:eastAsia="仿宋_GB2312" w:cs="仿宋_GB2312"/>
        </w:rPr>
        <w:t>沿海县（区）；辽河口邻近海域开展海面漂浮垃圾和海底垃圾（选测）监测。</w:t>
      </w:r>
      <w:r>
        <w:rPr>
          <w:rFonts w:hint="eastAsia" w:ascii="仿宋_GB2312" w:hAnsi="仿宋_GB2312" w:eastAsia="仿宋_GB2312" w:cs="仿宋_GB2312"/>
          <w:highlight w:val="none"/>
        </w:rPr>
        <w:t>海滩垃圾监测点见表4-</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w:t>
      </w:r>
    </w:p>
    <w:p>
      <w:pPr>
        <w:keepNext/>
        <w:keepLines/>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9"/>
        <w:rPr>
          <w:rFonts w:hint="eastAsia" w:ascii="仿宋_GB2312" w:hAnsi="仿宋_GB2312" w:cs="仿宋_GB2312"/>
          <w:b/>
          <w:bCs/>
          <w:sz w:val="24"/>
          <w:highlight w:val="none"/>
          <w:lang w:val="en-US" w:eastAsia="zh-CN"/>
        </w:rPr>
      </w:pPr>
      <w:bookmarkStart w:id="193" w:name="_Toc12801"/>
      <w:r>
        <w:rPr>
          <w:rFonts w:hint="eastAsia" w:ascii="仿宋_GB2312" w:hAnsi="仿宋_GB2312" w:cs="仿宋_GB2312"/>
          <w:b/>
          <w:bCs/>
          <w:sz w:val="24"/>
          <w:highlight w:val="none"/>
          <w:lang w:val="en-US" w:eastAsia="zh-CN"/>
        </w:rPr>
        <w:t>表4-1  海滩垃圾监测点信息表</w:t>
      </w:r>
      <w:bookmarkEnd w:id="193"/>
    </w:p>
    <w:tbl>
      <w:tblPr>
        <w:tblStyle w:val="56"/>
        <w:tblW w:w="8522"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3117"/>
        <w:gridCol w:w="3918"/>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7" w:type="dxa"/>
            <w:shd w:val="clear" w:color="auto" w:fill="FFFFFF"/>
            <w:vAlign w:val="center"/>
          </w:tcPr>
          <w:p>
            <w:pPr>
              <w:spacing w:line="240" w:lineRule="auto"/>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3117" w:type="dxa"/>
            <w:shd w:val="clear" w:color="auto" w:fill="FFFFFF"/>
            <w:vAlign w:val="center"/>
          </w:tcPr>
          <w:p>
            <w:pPr>
              <w:spacing w:line="240" w:lineRule="auto"/>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点位名称</w:t>
            </w:r>
          </w:p>
        </w:tc>
        <w:tc>
          <w:tcPr>
            <w:tcW w:w="3918" w:type="dxa"/>
            <w:shd w:val="clear" w:color="auto" w:fill="FFFFFF"/>
            <w:vAlign w:val="center"/>
          </w:tcPr>
          <w:p>
            <w:pPr>
              <w:spacing w:line="240" w:lineRule="auto"/>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监测点所在地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7" w:type="dxa"/>
            <w:vAlign w:val="center"/>
          </w:tcPr>
          <w:p>
            <w:pPr>
              <w:spacing w:line="240" w:lineRule="auto"/>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3117"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盘锦市辽河口邻近海域</w:t>
            </w:r>
          </w:p>
        </w:tc>
        <w:tc>
          <w:tcPr>
            <w:tcW w:w="3918"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盘锦市辽滨新区</w:t>
            </w:r>
          </w:p>
        </w:tc>
      </w:tr>
    </w:tbl>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kern w:val="2"/>
          <w:sz w:val="32"/>
          <w:szCs w:val="30"/>
          <w:lang w:val="en-US" w:eastAsia="zh-CN" w:bidi="ar-SA"/>
        </w:rPr>
      </w:pPr>
      <w:r>
        <w:rPr>
          <w:rFonts w:hint="eastAsia" w:ascii="仿宋_GB2312" w:hAnsi="仿宋_GB2312" w:cs="仿宋_GB2312"/>
          <w:b/>
          <w:kern w:val="2"/>
          <w:sz w:val="32"/>
          <w:szCs w:val="30"/>
          <w:lang w:val="en-US" w:eastAsia="zh-CN" w:bidi="ar-SA"/>
        </w:rPr>
        <w:t>2.</w:t>
      </w:r>
      <w:r>
        <w:rPr>
          <w:rFonts w:hint="eastAsia" w:ascii="仿宋_GB2312" w:hAnsi="仿宋_GB2312" w:eastAsia="仿宋_GB2312" w:cs="仿宋_GB2312"/>
          <w:b/>
          <w:kern w:val="2"/>
          <w:sz w:val="32"/>
          <w:szCs w:val="30"/>
          <w:lang w:val="en-US" w:eastAsia="zh-CN" w:bidi="ar-SA"/>
        </w:rPr>
        <w:t>工作方式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近岸海域海洋垃圾监测为市级事权，市级财政保障经费，</w:t>
      </w:r>
      <w:r>
        <w:rPr>
          <w:rFonts w:hint="eastAsia" w:ascii="仿宋_GB2312" w:hAnsi="仿宋_GB2312" w:cs="仿宋_GB2312"/>
          <w:lang w:eastAsia="zh-CN"/>
        </w:rPr>
        <w:t>由市</w:t>
      </w:r>
      <w:r>
        <w:rPr>
          <w:rFonts w:hint="eastAsia" w:ascii="仿宋_GB2312" w:hAnsi="仿宋_GB2312" w:eastAsia="仿宋_GB2312" w:cs="仿宋_GB2312"/>
        </w:rPr>
        <w:t>生态环境</w:t>
      </w:r>
      <w:r>
        <w:rPr>
          <w:rFonts w:hint="eastAsia" w:ascii="仿宋_GB2312" w:hAnsi="仿宋_GB2312" w:cs="仿宋_GB2312"/>
          <w:lang w:val="en-US" w:eastAsia="zh-CN"/>
        </w:rPr>
        <w:t>局</w:t>
      </w:r>
      <w:r>
        <w:rPr>
          <w:rFonts w:hint="eastAsia" w:ascii="仿宋_GB2312" w:hAnsi="仿宋_GB2312" w:eastAsia="仿宋_GB2312" w:cs="仿宋_GB2312"/>
        </w:rPr>
        <w:t>组织实施。</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rPr>
      </w:pPr>
      <w:r>
        <w:rPr>
          <w:rFonts w:hint="eastAsia" w:ascii="仿宋_GB2312" w:hAnsi="仿宋_GB2312" w:eastAsia="仿宋_GB2312" w:cs="仿宋_GB2312"/>
        </w:rPr>
        <w:t>责任主体：市生态环境局</w:t>
      </w:r>
      <w:r>
        <w:rPr>
          <w:rFonts w:hint="eastAsia" w:ascii="仿宋_GB2312" w:hAnsi="仿宋_GB2312" w:eastAsia="仿宋_GB2312" w:cs="仿宋_GB2312"/>
          <w:lang w:val="en-US" w:eastAsia="zh-CN"/>
        </w:rPr>
        <w:t>水科</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kern w:val="2"/>
          <w:sz w:val="32"/>
          <w:szCs w:val="30"/>
          <w:lang w:val="en-US" w:eastAsia="zh-CN" w:bidi="ar-SA"/>
        </w:rPr>
      </w:pPr>
      <w:r>
        <w:rPr>
          <w:rFonts w:hint="eastAsia" w:ascii="仿宋_GB2312" w:hAnsi="仿宋_GB2312" w:cs="仿宋_GB2312"/>
          <w:b/>
          <w:kern w:val="2"/>
          <w:sz w:val="32"/>
          <w:szCs w:val="30"/>
          <w:lang w:val="en-US" w:eastAsia="zh-CN" w:bidi="ar-SA"/>
        </w:rPr>
        <w:t>3.</w:t>
      </w:r>
      <w:r>
        <w:rPr>
          <w:rFonts w:hint="eastAsia" w:ascii="仿宋_GB2312" w:hAnsi="仿宋_GB2312" w:eastAsia="仿宋_GB2312" w:cs="仿宋_GB2312"/>
          <w:b/>
          <w:kern w:val="2"/>
          <w:sz w:val="32"/>
          <w:szCs w:val="30"/>
          <w:lang w:val="en-US" w:eastAsia="zh-CN" w:bidi="ar-SA"/>
        </w:rPr>
        <w:t>监测项目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海面漂浮垃圾、海滩垃圾、海底垃圾的种类、数量、重量。</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kern w:val="2"/>
          <w:sz w:val="32"/>
          <w:szCs w:val="30"/>
          <w:lang w:val="en-US" w:eastAsia="zh-CN" w:bidi="ar-SA"/>
        </w:rPr>
      </w:pPr>
      <w:r>
        <w:rPr>
          <w:rFonts w:hint="eastAsia" w:ascii="仿宋_GB2312" w:hAnsi="仿宋_GB2312" w:eastAsia="仿宋_GB2312" w:cs="仿宋_GB2312"/>
          <w:b/>
          <w:kern w:val="2"/>
          <w:sz w:val="32"/>
          <w:szCs w:val="30"/>
          <w:lang w:val="en-US" w:eastAsia="zh-CN" w:bidi="ar-SA"/>
        </w:rPr>
        <w:t>4.点位布设</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lang w:bidi="ar"/>
        </w:rPr>
        <w:t>海滩垃圾监测区域紧邻开阔海域，没有防波堤。</w:t>
      </w:r>
      <w:r>
        <w:rPr>
          <w:rFonts w:hint="eastAsia" w:ascii="仿宋_GB2312" w:hAnsi="仿宋_GB2312" w:eastAsia="仿宋_GB2312" w:cs="仿宋_GB2312"/>
        </w:rPr>
        <w:t>监测的海滩应覆盖滨海旅游娱乐区、农渔业区、港口航运区等海洋功能区。根据海滩长度确定监测断面数量：长度</w:t>
      </w:r>
      <w:r>
        <w:rPr>
          <w:rFonts w:hint="eastAsia" w:ascii="仿宋_GB2312" w:hAnsi="仿宋_GB2312" w:cs="仿宋_GB2312"/>
          <w:lang w:eastAsia="zh-CN"/>
        </w:rPr>
        <w:t>小于</w:t>
      </w:r>
      <w:r>
        <w:rPr>
          <w:rFonts w:hint="eastAsia" w:ascii="仿宋_GB2312" w:hAnsi="仿宋_GB2312" w:eastAsia="仿宋_GB2312" w:cs="仿宋_GB2312"/>
        </w:rPr>
        <w:t>2 km的海滩</w:t>
      </w:r>
      <w:r>
        <w:rPr>
          <w:rFonts w:hint="eastAsia" w:ascii="仿宋_GB2312" w:hAnsi="仿宋_GB2312" w:cs="仿宋_GB2312"/>
          <w:lang w:eastAsia="zh-CN"/>
        </w:rPr>
        <w:t>，</w:t>
      </w:r>
      <w:r>
        <w:rPr>
          <w:rFonts w:hint="eastAsia" w:ascii="仿宋_GB2312" w:hAnsi="仿宋_GB2312" w:eastAsia="仿宋_GB2312" w:cs="仿宋_GB2312"/>
        </w:rPr>
        <w:t>宜布设不少于</w:t>
      </w:r>
      <w:r>
        <w:rPr>
          <w:rFonts w:hint="eastAsia" w:ascii="仿宋_GB2312" w:hAnsi="仿宋_GB2312" w:cs="仿宋_GB2312"/>
          <w:lang w:val="en-US" w:eastAsia="zh-CN"/>
        </w:rPr>
        <w:t>3</w:t>
      </w:r>
      <w:r>
        <w:rPr>
          <w:rFonts w:hint="eastAsia" w:ascii="仿宋_GB2312" w:hAnsi="仿宋_GB2312" w:eastAsia="仿宋_GB2312" w:cs="仿宋_GB2312"/>
        </w:rPr>
        <w:t>个监测断面；长度为2-5</w:t>
      </w:r>
      <w:bookmarkStart w:id="194" w:name="_Hlk97728867"/>
      <w:r>
        <w:rPr>
          <w:rFonts w:hint="eastAsia" w:ascii="仿宋_GB2312" w:hAnsi="仿宋_GB2312" w:eastAsia="仿宋_GB2312" w:cs="仿宋_GB2312"/>
        </w:rPr>
        <w:t>km</w:t>
      </w:r>
      <w:bookmarkEnd w:id="194"/>
      <w:r>
        <w:rPr>
          <w:rFonts w:hint="eastAsia" w:ascii="仿宋_GB2312" w:hAnsi="仿宋_GB2312" w:eastAsia="仿宋_GB2312" w:cs="仿宋_GB2312"/>
        </w:rPr>
        <w:t>的海滩</w:t>
      </w:r>
      <w:r>
        <w:rPr>
          <w:rFonts w:hint="eastAsia" w:ascii="仿宋_GB2312" w:hAnsi="仿宋_GB2312" w:cs="仿宋_GB2312"/>
          <w:lang w:eastAsia="zh-CN"/>
        </w:rPr>
        <w:t>，</w:t>
      </w:r>
      <w:r>
        <w:rPr>
          <w:rFonts w:hint="eastAsia" w:ascii="仿宋_GB2312" w:hAnsi="仿宋_GB2312" w:eastAsia="仿宋_GB2312" w:cs="仿宋_GB2312"/>
        </w:rPr>
        <w:t>宜布设不少于</w:t>
      </w:r>
      <w:r>
        <w:rPr>
          <w:rFonts w:hint="eastAsia" w:ascii="仿宋_GB2312" w:hAnsi="仿宋_GB2312" w:cs="仿宋_GB2312"/>
          <w:lang w:val="en-US" w:eastAsia="zh-CN"/>
        </w:rPr>
        <w:t>4</w:t>
      </w:r>
      <w:r>
        <w:rPr>
          <w:rFonts w:hint="eastAsia" w:ascii="仿宋_GB2312" w:hAnsi="仿宋_GB2312" w:eastAsia="仿宋_GB2312" w:cs="仿宋_GB2312"/>
        </w:rPr>
        <w:t>个监测断面；长度大于5km的海滩</w:t>
      </w:r>
      <w:r>
        <w:rPr>
          <w:rFonts w:hint="eastAsia" w:ascii="仿宋_GB2312" w:hAnsi="仿宋_GB2312" w:cs="仿宋_GB2312"/>
          <w:lang w:eastAsia="zh-CN"/>
        </w:rPr>
        <w:t>，</w:t>
      </w:r>
      <w:r>
        <w:rPr>
          <w:rFonts w:hint="eastAsia" w:ascii="仿宋_GB2312" w:hAnsi="仿宋_GB2312" w:eastAsia="仿宋_GB2312" w:cs="仿宋_GB2312"/>
        </w:rPr>
        <w:t>宜布设不少于</w:t>
      </w:r>
      <w:r>
        <w:rPr>
          <w:rFonts w:hint="eastAsia" w:ascii="仿宋_GB2312" w:hAnsi="仿宋_GB2312" w:cs="仿宋_GB2312"/>
          <w:lang w:val="en-US" w:eastAsia="zh-CN"/>
        </w:rPr>
        <w:t>5</w:t>
      </w:r>
      <w:r>
        <w:rPr>
          <w:rFonts w:hint="eastAsia" w:ascii="仿宋_GB2312" w:hAnsi="仿宋_GB2312" w:eastAsia="仿宋_GB2312" w:cs="仿宋_GB2312"/>
        </w:rPr>
        <w:t>个监测断面。</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rPr>
        <w:t>海面漂浮垃圾监测应能代表管辖区域海面漂浮垃圾总体状况。</w:t>
      </w:r>
      <w:r>
        <w:rPr>
          <w:rFonts w:hint="eastAsia" w:ascii="仿宋_GB2312" w:hAnsi="仿宋_GB2312" w:eastAsia="仿宋_GB2312" w:cs="仿宋_GB2312"/>
          <w:highlight w:val="none"/>
        </w:rPr>
        <w:t>海湾面积小于10km</w:t>
      </w:r>
      <w:r>
        <w:rPr>
          <w:rFonts w:hint="eastAsia" w:ascii="仿宋_GB2312" w:hAnsi="仿宋_GB2312" w:eastAsia="仿宋_GB2312" w:cs="仿宋_GB2312"/>
          <w:highlight w:val="none"/>
          <w:vertAlign w:val="superscript"/>
        </w:rPr>
        <w:t>2</w:t>
      </w:r>
      <w:r>
        <w:rPr>
          <w:rFonts w:hint="eastAsia" w:ascii="仿宋_GB2312" w:hAnsi="仿宋_GB2312" w:eastAsia="仿宋_GB2312" w:cs="仿宋_GB2312"/>
          <w:highlight w:val="none"/>
        </w:rPr>
        <w:t>，宜设置不少于1个垂直于湾底的监测断面；海湾面积10-100km</w:t>
      </w:r>
      <w:r>
        <w:rPr>
          <w:rFonts w:hint="eastAsia" w:ascii="仿宋_GB2312" w:hAnsi="仿宋_GB2312" w:eastAsia="仿宋_GB2312" w:cs="仿宋_GB2312"/>
          <w:highlight w:val="none"/>
          <w:vertAlign w:val="superscript"/>
        </w:rPr>
        <w:t>2</w:t>
      </w:r>
      <w:r>
        <w:rPr>
          <w:rFonts w:hint="eastAsia" w:ascii="仿宋_GB2312" w:hAnsi="仿宋_GB2312" w:eastAsia="仿宋_GB2312" w:cs="仿宋_GB2312"/>
          <w:highlight w:val="none"/>
        </w:rPr>
        <w:t>，宜设置不少于2个垂直于湾底的监测断面；海湾面积大于等于100km</w:t>
      </w:r>
      <w:r>
        <w:rPr>
          <w:rFonts w:hint="eastAsia" w:ascii="仿宋_GB2312" w:hAnsi="仿宋_GB2312" w:eastAsia="仿宋_GB2312" w:cs="仿宋_GB2312"/>
          <w:highlight w:val="none"/>
          <w:vertAlign w:val="superscript"/>
        </w:rPr>
        <w:t>2</w:t>
      </w:r>
      <w:r>
        <w:rPr>
          <w:rFonts w:hint="eastAsia" w:ascii="仿宋_GB2312" w:hAnsi="仿宋_GB2312" w:eastAsia="仿宋_GB2312" w:cs="仿宋_GB2312"/>
          <w:highlight w:val="none"/>
        </w:rPr>
        <w:t>，宜设置不少于3个垂直于湾底的监测断面。监测断面应均匀分布于监测区域，监测断面上的采样点位均匀布设。河口区域以扇形方式设置不少于3条监测断面。</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kern w:val="2"/>
          <w:sz w:val="32"/>
          <w:szCs w:val="30"/>
          <w:lang w:val="en-US" w:eastAsia="zh-CN" w:bidi="ar-SA"/>
        </w:rPr>
      </w:pPr>
      <w:r>
        <w:rPr>
          <w:rFonts w:hint="eastAsia" w:ascii="仿宋_GB2312" w:hAnsi="仿宋_GB2312" w:eastAsia="仿宋_GB2312" w:cs="仿宋_GB2312"/>
          <w:b/>
          <w:kern w:val="2"/>
          <w:sz w:val="32"/>
          <w:szCs w:val="30"/>
          <w:lang w:val="en-US" w:eastAsia="zh-CN" w:bidi="ar-SA"/>
        </w:rPr>
        <w:t>5.监测频次及时间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近岸海域海洋垃圾监测频次为1次</w:t>
      </w:r>
      <w:r>
        <w:rPr>
          <w:rFonts w:hint="eastAsia" w:ascii="仿宋_GB2312" w:hAnsi="仿宋_GB2312" w:eastAsia="仿宋_GB2312" w:cs="仿宋_GB2312"/>
          <w:highlight w:val="none"/>
          <w:lang w:val="en-US" w:eastAsia="zh-CN"/>
        </w:rPr>
        <w:t>/年</w:t>
      </w:r>
      <w:r>
        <w:rPr>
          <w:rFonts w:hint="eastAsia" w:ascii="仿宋_GB2312" w:hAnsi="仿宋_GB2312" w:eastAsia="仿宋_GB2312" w:cs="仿宋_GB2312"/>
          <w:highlight w:val="none"/>
        </w:rPr>
        <w:t>，原则上于8-9月实施，河口区邻近海域宜于丰水期监测。</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kern w:val="2"/>
          <w:sz w:val="32"/>
          <w:szCs w:val="30"/>
          <w:lang w:val="en-US" w:eastAsia="zh-CN" w:bidi="ar-SA"/>
        </w:rPr>
      </w:pPr>
      <w:r>
        <w:rPr>
          <w:rFonts w:hint="eastAsia" w:ascii="仿宋_GB2312" w:hAnsi="仿宋_GB2312" w:eastAsia="仿宋_GB2312" w:cs="仿宋_GB2312"/>
          <w:b/>
          <w:kern w:val="2"/>
          <w:sz w:val="32"/>
          <w:szCs w:val="30"/>
          <w:lang w:val="en-US" w:eastAsia="zh-CN" w:bidi="ar-SA"/>
        </w:rPr>
        <w:t>6.数据报送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市生态环境</w:t>
      </w:r>
      <w:r>
        <w:rPr>
          <w:rFonts w:hint="eastAsia" w:ascii="仿宋_GB2312" w:hAnsi="仿宋_GB2312" w:cs="仿宋_GB2312"/>
          <w:highlight w:val="none"/>
          <w:lang w:val="en-US" w:eastAsia="zh-CN"/>
        </w:rPr>
        <w:t>局</w:t>
      </w:r>
      <w:r>
        <w:rPr>
          <w:rFonts w:hint="eastAsia" w:ascii="仿宋_GB2312" w:hAnsi="仿宋_GB2312" w:eastAsia="仿宋_GB2312" w:cs="仿宋_GB2312"/>
          <w:highlight w:val="none"/>
        </w:rPr>
        <w:t>监测完成后，于监测月的次月底前将监测数据、工作照片（每个监测区域5幅以上，应包括监测区域海洋垃圾整体情况、各断面或点位海洋垃圾情况、断面布设情况、样品采集过程、垃圾收集汇总情况等，照片标记采样时间、地点名称等信息）通过海洋环境监测数据平台报送</w:t>
      </w:r>
      <w:r>
        <w:rPr>
          <w:rFonts w:hint="eastAsia" w:ascii="仿宋_GB2312" w:hAnsi="仿宋_GB2312" w:eastAsia="仿宋_GB2312" w:cs="仿宋_GB2312"/>
          <w:highlight w:val="none"/>
          <w:lang w:eastAsia="zh-CN"/>
        </w:rPr>
        <w:t>国家海洋中心</w:t>
      </w:r>
      <w:r>
        <w:rPr>
          <w:rFonts w:hint="eastAsia" w:ascii="仿宋_GB2312" w:hAnsi="仿宋_GB2312" w:eastAsia="仿宋_GB2312" w:cs="仿宋_GB231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kern w:val="2"/>
          <w:sz w:val="32"/>
          <w:szCs w:val="30"/>
          <w:lang w:val="en-US" w:eastAsia="zh-CN" w:bidi="ar-SA"/>
        </w:rPr>
      </w:pPr>
      <w:r>
        <w:rPr>
          <w:rFonts w:hint="eastAsia" w:ascii="仿宋_GB2312" w:hAnsi="仿宋_GB2312" w:eastAsia="仿宋_GB2312" w:cs="仿宋_GB2312"/>
          <w:b/>
          <w:kern w:val="2"/>
          <w:sz w:val="32"/>
          <w:szCs w:val="30"/>
          <w:lang w:val="en-US" w:eastAsia="zh-CN" w:bidi="ar-SA"/>
        </w:rPr>
        <w:t>7.质量保证与质量控制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（1）内部质量控制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eastAsia="仿宋"/>
        </w:rPr>
      </w:pPr>
      <w:r>
        <w:rPr>
          <w:rFonts w:hint="eastAsia" w:ascii="仿宋_GB2312" w:hAnsi="仿宋_GB2312" w:eastAsia="仿宋_GB2312" w:cs="仿宋_GB2312"/>
          <w:highlight w:val="none"/>
        </w:rPr>
        <w:t>依据《海洋垃圾监测与评价指南（试行）》要求实施（国家更新了指南需另行下发）。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（2）外部质量控制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国家海洋中心组织开展海洋垃圾监测质量监督检查。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监测单位编制监测实施方案和质量控制方案，于6月30日前报送大连中心。大连中心于8-9月对各任务承担单位进行1次监督检查</w:t>
      </w:r>
      <w:r>
        <w:rPr>
          <w:rFonts w:hint="eastAsia" w:ascii="仿宋_GB2312" w:hAnsi="仿宋_GB2312" w:cs="仿宋_GB2312"/>
          <w:highlight w:val="none"/>
          <w:lang w:eastAsia="zh-CN"/>
        </w:rPr>
        <w:t>，</w:t>
      </w:r>
      <w:r>
        <w:rPr>
          <w:rFonts w:hint="eastAsia" w:ascii="仿宋_GB2312" w:hAnsi="仿宋_GB2312" w:eastAsia="仿宋_GB2312" w:cs="仿宋_GB2312"/>
          <w:highlight w:val="none"/>
        </w:rPr>
        <w:t>监测单位配合大连中心做好前期准备工作。</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kern w:val="2"/>
          <w:sz w:val="32"/>
          <w:szCs w:val="30"/>
          <w:lang w:val="en-US" w:eastAsia="zh-CN" w:bidi="ar-SA"/>
        </w:rPr>
      </w:pPr>
      <w:r>
        <w:rPr>
          <w:rFonts w:hint="eastAsia" w:ascii="仿宋_GB2312" w:hAnsi="仿宋_GB2312" w:eastAsia="仿宋_GB2312" w:cs="仿宋_GB2312"/>
          <w:b/>
          <w:kern w:val="2"/>
          <w:sz w:val="32"/>
          <w:szCs w:val="30"/>
          <w:lang w:val="en-US" w:eastAsia="zh-CN" w:bidi="ar-SA"/>
        </w:rPr>
        <w:t>8.评价及报告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cs="仿宋_GB2312"/>
          <w:highlight w:val="none"/>
          <w:lang w:eastAsia="zh-CN"/>
        </w:rPr>
        <w:t>市生态环境局</w:t>
      </w:r>
      <w:r>
        <w:rPr>
          <w:rFonts w:hint="eastAsia" w:ascii="仿宋_GB2312" w:hAnsi="仿宋_GB2312" w:eastAsia="仿宋_GB2312" w:cs="仿宋_GB2312"/>
          <w:highlight w:val="none"/>
        </w:rPr>
        <w:t>根据监测数据、记录信息和调查情况，编制本市年度海洋垃圾监测评价报告，并于10月31日前报送国家海洋中心，同步报送省厅海洋生态环境处。评价报告内容包括但不限于监测概况（任务实施单位、监测区域环境概况等，并附环境照片），监测工作实施情况，质量保证和控制，监测结果与评价结论（海洋垃圾分布状况、近五年变化趋势分析、来源及潜在影响分析等）及存在问题，管理对策建议。其中海滩垃圾评价不包含小于2.5cm的中块垃圾。（报告中垃圾密度单位统一为个/km</w:t>
      </w:r>
      <w:r>
        <w:rPr>
          <w:rFonts w:hint="eastAsia" w:ascii="仿宋_GB2312" w:hAnsi="仿宋_GB2312" w:eastAsia="仿宋_GB2312" w:cs="仿宋_GB2312"/>
          <w:highlight w:val="none"/>
          <w:vertAlign w:val="superscript"/>
        </w:rPr>
        <w:t>2</w:t>
      </w:r>
      <w:r>
        <w:rPr>
          <w:rFonts w:hint="eastAsia" w:ascii="仿宋_GB2312" w:hAnsi="仿宋_GB2312" w:eastAsia="仿宋_GB2312" w:cs="仿宋_GB2312"/>
          <w:highlight w:val="none"/>
        </w:rPr>
        <w:t>，垃圾重量、数量、监测面积、断面数量均需报送）。</w:t>
      </w:r>
      <w:bookmarkStart w:id="195" w:name="_Toc12908"/>
      <w:bookmarkStart w:id="196" w:name="_Toc13531"/>
      <w:bookmarkStart w:id="197" w:name="_Toc31427"/>
      <w:bookmarkStart w:id="198" w:name="_Toc27825"/>
      <w:bookmarkStart w:id="199" w:name="_Toc12098"/>
      <w:bookmarkStart w:id="200" w:name="_Toc8422"/>
      <w:bookmarkStart w:id="201" w:name="_Toc14150"/>
    </w:p>
    <w:p>
      <w:pPr>
        <w:keepNext w:val="0"/>
        <w:keepLines w:val="0"/>
        <w:pageBreakBefore w:val="0"/>
        <w:widowControl w:val="0"/>
        <w:numPr>
          <w:ilvl w:val="0"/>
          <w:numId w:val="5"/>
        </w:numPr>
        <w:kinsoku/>
        <w:wordWrap/>
        <w:overflowPunct/>
        <w:topLinePunct w:val="0"/>
        <w:autoSpaceDE/>
        <w:autoSpaceDN/>
        <w:bidi w:val="0"/>
        <w:adjustRightInd/>
        <w:snapToGrid/>
        <w:spacing w:before="438" w:beforeLines="100" w:after="438" w:afterLines="100" w:line="600" w:lineRule="exact"/>
        <w:ind w:left="0" w:leftChars="0" w:firstLine="0" w:firstLineChars="0"/>
        <w:jc w:val="center"/>
        <w:textAlignment w:val="auto"/>
        <w:outlineLvl w:val="0"/>
        <w:rPr>
          <w:rFonts w:ascii="Times New Roman" w:hAnsi="Times New Roman" w:eastAsia="黑体" w:cs="Times New Roman"/>
          <w:b/>
          <w:bCs/>
          <w:kern w:val="44"/>
          <w:sz w:val="36"/>
          <w:szCs w:val="36"/>
          <w:highlight w:val="none"/>
          <w:lang w:val="en-US" w:eastAsia="zh-CN" w:bidi="ar-SA"/>
        </w:rPr>
      </w:pPr>
      <w:bookmarkStart w:id="202" w:name="_Toc4476"/>
      <w:r>
        <w:rPr>
          <w:rFonts w:ascii="Times New Roman" w:hAnsi="Times New Roman" w:eastAsia="黑体" w:cs="Times New Roman"/>
          <w:b/>
          <w:bCs/>
          <w:kern w:val="44"/>
          <w:sz w:val="36"/>
          <w:szCs w:val="36"/>
          <w:highlight w:val="none"/>
          <w:lang w:val="en-US" w:eastAsia="zh-CN" w:bidi="ar-SA"/>
        </w:rPr>
        <w:t>生态质量监测及其他专项监测</w:t>
      </w:r>
      <w:bookmarkEnd w:id="173"/>
      <w:bookmarkEnd w:id="181"/>
      <w:bookmarkEnd w:id="182"/>
      <w:bookmarkEnd w:id="183"/>
      <w:bookmarkEnd w:id="195"/>
      <w:bookmarkEnd w:id="196"/>
      <w:bookmarkEnd w:id="197"/>
      <w:bookmarkEnd w:id="198"/>
      <w:bookmarkEnd w:id="199"/>
      <w:bookmarkEnd w:id="200"/>
      <w:bookmarkEnd w:id="201"/>
      <w:bookmarkEnd w:id="202"/>
      <w:bookmarkStart w:id="203" w:name="_Toc30433"/>
      <w:bookmarkStart w:id="204" w:name="_Toc3315"/>
      <w:bookmarkStart w:id="205" w:name="_Toc21148"/>
      <w:bookmarkStart w:id="206" w:name="_Toc8573"/>
      <w:bookmarkStart w:id="207" w:name="_Toc6482"/>
      <w:bookmarkStart w:id="208" w:name="_Toc535217745"/>
      <w:bookmarkStart w:id="209" w:name="_Toc67684895"/>
      <w:bookmarkStart w:id="210" w:name="_Toc32698"/>
      <w:bookmarkStart w:id="211" w:name="_Toc1392060"/>
      <w:bookmarkStart w:id="212" w:name="_Toc34058548"/>
      <w:bookmarkStart w:id="213" w:name="_Toc8119"/>
      <w:bookmarkStart w:id="214" w:name="_Toc535217747"/>
      <w:bookmarkStart w:id="215" w:name="_Toc1392062"/>
    </w:p>
    <w:p>
      <w:pPr>
        <w:keepNext w:val="0"/>
        <w:keepLines w:val="0"/>
        <w:pageBreakBefore w:val="0"/>
        <w:widowControl w:val="0"/>
        <w:numPr>
          <w:ilvl w:val="0"/>
          <w:numId w:val="0"/>
        </w:numPr>
        <w:kinsoku/>
        <w:wordWrap/>
        <w:overflowPunct/>
        <w:topLinePunct w:val="0"/>
        <w:autoSpaceDE/>
        <w:autoSpaceDN/>
        <w:bidi w:val="0"/>
        <w:adjustRightInd/>
        <w:snapToGrid/>
        <w:spacing w:before="220" w:beforeLines="50" w:after="220" w:afterLines="50" w:line="600" w:lineRule="exact"/>
        <w:ind w:leftChars="0" w:firstLine="640" w:firstLineChars="200"/>
        <w:jc w:val="both"/>
        <w:textAlignment w:val="auto"/>
        <w:outlineLvl w:val="1"/>
        <w:rPr>
          <w:rFonts w:hint="eastAsia" w:ascii="楷体_GB2312" w:hAnsi="楷体_GB2312" w:eastAsia="楷体_GB2312" w:cs="楷体_GB2312"/>
          <w:b w:val="0"/>
          <w:lang w:val="en-US" w:eastAsia="zh-CN"/>
        </w:rPr>
      </w:pPr>
      <w:bookmarkStart w:id="216" w:name="_Toc30461"/>
      <w:r>
        <w:rPr>
          <w:rFonts w:hint="eastAsia" w:ascii="楷体_GB2312" w:hAnsi="楷体_GB2312" w:eastAsia="楷体_GB2312" w:cs="楷体_GB2312"/>
          <w:b w:val="0"/>
          <w:lang w:val="en-US" w:eastAsia="zh-CN"/>
        </w:rPr>
        <w:t>（十五）乡镇级及以下集中式饮用水水源地水质监测</w:t>
      </w:r>
      <w:bookmarkEnd w:id="203"/>
      <w:bookmarkEnd w:id="204"/>
      <w:bookmarkEnd w:id="205"/>
      <w:bookmarkEnd w:id="206"/>
      <w:bookmarkEnd w:id="207"/>
      <w:bookmarkEnd w:id="208"/>
      <w:bookmarkEnd w:id="209"/>
      <w:bookmarkEnd w:id="210"/>
      <w:bookmarkEnd w:id="211"/>
      <w:bookmarkEnd w:id="212"/>
      <w:bookmarkEnd w:id="213"/>
      <w:bookmarkEnd w:id="216"/>
    </w:p>
    <w:p>
      <w:pPr>
        <w:pageBreakBefore w:val="0"/>
        <w:widowControl w:val="0"/>
        <w:kinsoku/>
        <w:wordWrap/>
        <w:overflowPunct/>
        <w:topLinePunct w:val="0"/>
        <w:autoSpaceDE/>
        <w:autoSpaceDN/>
        <w:bidi w:val="0"/>
        <w:adjustRightInd w:val="0"/>
        <w:snapToGrid w:val="0"/>
        <w:spacing w:line="600" w:lineRule="exact"/>
        <w:ind w:firstLine="643"/>
        <w:textAlignment w:val="auto"/>
        <w:outlineLvl w:val="9"/>
        <w:rPr>
          <w:rFonts w:hint="eastAsia" w:ascii="仿宋_GB2312" w:hAnsi="仿宋_GB2312" w:eastAsia="仿宋_GB2312" w:cs="仿宋_GB2312"/>
          <w:b/>
          <w:szCs w:val="30"/>
        </w:rPr>
      </w:pPr>
      <w:bookmarkStart w:id="217" w:name="_Toc29500"/>
      <w:bookmarkEnd w:id="217"/>
      <w:bookmarkStart w:id="218" w:name="_Toc29105"/>
      <w:bookmarkEnd w:id="218"/>
      <w:bookmarkStart w:id="219" w:name="_Toc22643"/>
      <w:bookmarkEnd w:id="219"/>
      <w:bookmarkStart w:id="220" w:name="_Toc9242"/>
      <w:bookmarkEnd w:id="220"/>
      <w:bookmarkStart w:id="221" w:name="_Toc29231"/>
      <w:bookmarkEnd w:id="221"/>
      <w:bookmarkStart w:id="222" w:name="_Toc22545"/>
      <w:bookmarkEnd w:id="222"/>
      <w:bookmarkStart w:id="223" w:name="_Toc236"/>
      <w:bookmarkEnd w:id="223"/>
      <w:r>
        <w:rPr>
          <w:rFonts w:hint="eastAsia" w:ascii="仿宋_GB2312" w:hAnsi="仿宋_GB2312" w:eastAsia="仿宋_GB2312" w:cs="仿宋_GB2312"/>
          <w:b/>
          <w:szCs w:val="30"/>
        </w:rPr>
        <w:t>1.监测范围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21</w:t>
      </w:r>
      <w:r>
        <w:rPr>
          <w:rFonts w:hint="eastAsia" w:ascii="仿宋_GB2312" w:hAnsi="仿宋_GB2312" w:eastAsia="仿宋_GB2312" w:cs="仿宋_GB2312"/>
        </w:rPr>
        <w:t>个农村“千吨万人”饮用水水源地，</w:t>
      </w:r>
      <w:r>
        <w:rPr>
          <w:rFonts w:hint="eastAsia" w:ascii="仿宋_GB2312" w:hAnsi="仿宋_GB2312" w:cs="仿宋_GB2312"/>
          <w:lang w:val="en-US" w:eastAsia="zh-CN"/>
        </w:rPr>
        <w:t>均为地下水型水源地，</w:t>
      </w:r>
      <w:r>
        <w:rPr>
          <w:rFonts w:hint="eastAsia" w:ascii="仿宋_GB2312" w:hAnsi="仿宋_GB2312" w:eastAsia="仿宋_GB2312" w:cs="仿宋_GB2312"/>
        </w:rPr>
        <w:t>名单见表5-</w:t>
      </w:r>
      <w:r>
        <w:rPr>
          <w:rFonts w:hint="eastAsia" w:ascii="仿宋_GB2312" w:hAnsi="仿宋_GB2312" w:eastAsia="仿宋_GB2312" w:cs="仿宋_GB2312"/>
          <w:lang w:val="en-US" w:eastAsia="zh-CN"/>
        </w:rPr>
        <w:t>1</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2</w:t>
      </w:r>
      <w:r>
        <w:rPr>
          <w:rFonts w:hint="eastAsia" w:ascii="仿宋_GB2312" w:hAnsi="仿宋_GB2312" w:cs="仿宋_GB2312"/>
          <w:lang w:eastAsia="zh-CN"/>
        </w:rPr>
        <w:t>）</w:t>
      </w:r>
      <w:r>
        <w:rPr>
          <w:rFonts w:hint="eastAsia" w:ascii="仿宋_GB2312" w:hAnsi="仿宋_GB2312" w:cs="仿宋_GB2312"/>
          <w:highlight w:val="none"/>
          <w:lang w:val="en-US" w:eastAsia="zh-CN"/>
        </w:rPr>
        <w:t>10</w:t>
      </w:r>
      <w:r>
        <w:rPr>
          <w:rFonts w:hint="eastAsia" w:ascii="仿宋_GB2312" w:hAnsi="仿宋_GB2312" w:eastAsia="仿宋_GB2312" w:cs="仿宋_GB2312"/>
        </w:rPr>
        <w:t>个乡镇级集中式饮用水水源地</w:t>
      </w:r>
      <w:r>
        <w:rPr>
          <w:rFonts w:hint="eastAsia" w:ascii="仿宋_GB2312" w:hAnsi="仿宋_GB2312" w:cs="仿宋_GB2312"/>
          <w:lang w:eastAsia="zh-CN"/>
        </w:rPr>
        <w:t>，</w:t>
      </w:r>
      <w:r>
        <w:rPr>
          <w:rFonts w:hint="eastAsia" w:ascii="仿宋_GB2312" w:hAnsi="仿宋_GB2312" w:cs="仿宋_GB2312"/>
          <w:lang w:val="en-US" w:eastAsia="zh-CN"/>
        </w:rPr>
        <w:t>均为地下水型水源地</w:t>
      </w:r>
      <w:r>
        <w:rPr>
          <w:rFonts w:hint="eastAsia" w:ascii="仿宋_GB2312" w:hAnsi="仿宋_GB2312" w:eastAsia="仿宋_GB2312" w:cs="仿宋_GB2312"/>
        </w:rPr>
        <w:t>，名单见表5-</w:t>
      </w:r>
      <w:r>
        <w:rPr>
          <w:rFonts w:hint="eastAsia" w:ascii="仿宋_GB2312" w:hAnsi="仿宋_GB2312" w:eastAsia="仿宋_GB2312" w:cs="仿宋_GB2312"/>
          <w:lang w:val="en-US" w:eastAsia="zh-CN"/>
        </w:rPr>
        <w:t>2</w:t>
      </w:r>
      <w:r>
        <w:rPr>
          <w:rFonts w:hint="eastAsia" w:ascii="仿宋_GB2312" w:hAnsi="仿宋_GB2312" w:eastAsia="仿宋_GB2312" w:cs="仿宋_GB2312"/>
        </w:rPr>
        <w:t>。</w:t>
      </w:r>
    </w:p>
    <w:p>
      <w:pPr>
        <w:keepNext/>
        <w:keepLines/>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仿宋_GB2312" w:hAnsi="仿宋_GB2312" w:eastAsia="仿宋_GB2312" w:cs="仿宋_GB2312"/>
          <w:b/>
          <w:bCs/>
          <w:sz w:val="24"/>
          <w:lang w:eastAsia="zh-CN"/>
        </w:rPr>
      </w:pPr>
      <w:bookmarkStart w:id="224" w:name="_Toc30344"/>
      <w:r>
        <w:rPr>
          <w:rFonts w:hint="eastAsia" w:ascii="仿宋_GB2312" w:hAnsi="仿宋_GB2312" w:eastAsia="仿宋_GB2312" w:cs="仿宋_GB2312"/>
          <w:b/>
          <w:bCs/>
          <w:sz w:val="24"/>
        </w:rPr>
        <w:t>表5-</w:t>
      </w:r>
      <w:r>
        <w:rPr>
          <w:rFonts w:hint="eastAsia" w:ascii="仿宋_GB2312" w:hAnsi="仿宋_GB2312" w:eastAsia="仿宋_GB2312" w:cs="仿宋_GB2312"/>
          <w:b/>
          <w:bCs/>
          <w:sz w:val="24"/>
          <w:lang w:val="en-US" w:eastAsia="zh-CN"/>
        </w:rPr>
        <w:t>1</w:t>
      </w:r>
      <w:r>
        <w:rPr>
          <w:rFonts w:hint="eastAsia" w:ascii="仿宋_GB2312" w:hAnsi="仿宋_GB2312" w:eastAsia="仿宋_GB2312" w:cs="仿宋_GB2312"/>
          <w:b/>
          <w:bCs/>
          <w:sz w:val="24"/>
        </w:rPr>
        <w:t xml:space="preserve">  农村“千吨万人”饮用水水源地监测名单</w:t>
      </w:r>
      <w:bookmarkEnd w:id="224"/>
    </w:p>
    <w:tbl>
      <w:tblPr>
        <w:tblStyle w:val="56"/>
        <w:tblW w:w="9060" w:type="dxa"/>
        <w:jc w:val="center"/>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577"/>
        <w:gridCol w:w="3217"/>
        <w:gridCol w:w="709"/>
        <w:gridCol w:w="1176"/>
        <w:gridCol w:w="1232"/>
        <w:gridCol w:w="1448"/>
        <w:gridCol w:w="701"/>
      </w:tblGrid>
      <w:tr>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74" w:hRule="atLeast"/>
          <w:tblHeader/>
          <w:jc w:val="center"/>
        </w:trPr>
        <w:tc>
          <w:tcPr>
            <w:tcW w:w="577" w:type="dxa"/>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3217" w:type="dxa"/>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水源名称</w:t>
            </w:r>
          </w:p>
        </w:tc>
        <w:tc>
          <w:tcPr>
            <w:tcW w:w="709" w:type="dxa"/>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地市</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区县</w:t>
            </w:r>
          </w:p>
        </w:tc>
        <w:tc>
          <w:tcPr>
            <w:tcW w:w="1232" w:type="dxa"/>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水源地级别</w:t>
            </w:r>
          </w:p>
        </w:tc>
        <w:tc>
          <w:tcPr>
            <w:tcW w:w="1448" w:type="dxa"/>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水源地类型</w:t>
            </w:r>
          </w:p>
        </w:tc>
        <w:tc>
          <w:tcPr>
            <w:tcW w:w="701" w:type="dxa"/>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状态</w:t>
            </w:r>
          </w:p>
        </w:tc>
      </w:tr>
      <w:tr>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7" w:type="dxa"/>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w:t>
            </w:r>
          </w:p>
        </w:tc>
        <w:tc>
          <w:tcPr>
            <w:tcW w:w="3217"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辽河油田曙二</w:t>
            </w:r>
          </w:p>
        </w:tc>
        <w:tc>
          <w:tcPr>
            <w:tcW w:w="709"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兴隆台区</w:t>
            </w:r>
          </w:p>
        </w:tc>
        <w:tc>
          <w:tcPr>
            <w:tcW w:w="1232"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7" w:type="dxa"/>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2</w:t>
            </w:r>
          </w:p>
        </w:tc>
        <w:tc>
          <w:tcPr>
            <w:tcW w:w="3217"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辽河油田供电水源地</w:t>
            </w:r>
          </w:p>
        </w:tc>
        <w:tc>
          <w:tcPr>
            <w:tcW w:w="709"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兴隆台区</w:t>
            </w:r>
          </w:p>
        </w:tc>
        <w:tc>
          <w:tcPr>
            <w:tcW w:w="1232"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7" w:type="dxa"/>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p>
        </w:tc>
        <w:tc>
          <w:tcPr>
            <w:tcW w:w="3217"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辽河油田黄金带</w:t>
            </w:r>
          </w:p>
        </w:tc>
        <w:tc>
          <w:tcPr>
            <w:tcW w:w="709"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lang w:eastAsia="zh-CN"/>
              </w:rPr>
              <w:t>大洼区</w:t>
            </w:r>
          </w:p>
        </w:tc>
        <w:tc>
          <w:tcPr>
            <w:tcW w:w="1232"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7" w:type="dxa"/>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p>
        </w:tc>
        <w:tc>
          <w:tcPr>
            <w:tcW w:w="3217"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新兴镇</w:t>
            </w:r>
          </w:p>
        </w:tc>
        <w:tc>
          <w:tcPr>
            <w:tcW w:w="709"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lang w:eastAsia="zh-CN"/>
              </w:rPr>
              <w:t>大洼区</w:t>
            </w:r>
          </w:p>
        </w:tc>
        <w:tc>
          <w:tcPr>
            <w:tcW w:w="1232"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7" w:type="dxa"/>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5</w:t>
            </w:r>
          </w:p>
        </w:tc>
        <w:tc>
          <w:tcPr>
            <w:tcW w:w="3217"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清水镇</w:t>
            </w:r>
          </w:p>
        </w:tc>
        <w:tc>
          <w:tcPr>
            <w:tcW w:w="709"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lang w:eastAsia="zh-CN"/>
              </w:rPr>
              <w:t>大洼区</w:t>
            </w:r>
          </w:p>
        </w:tc>
        <w:tc>
          <w:tcPr>
            <w:tcW w:w="1232"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7" w:type="dxa"/>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6</w:t>
            </w:r>
          </w:p>
        </w:tc>
        <w:tc>
          <w:tcPr>
            <w:tcW w:w="3217"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唐家镇1</w:t>
            </w:r>
          </w:p>
        </w:tc>
        <w:tc>
          <w:tcPr>
            <w:tcW w:w="709"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lang w:eastAsia="zh-CN"/>
              </w:rPr>
              <w:t>大洼区</w:t>
            </w:r>
          </w:p>
        </w:tc>
        <w:tc>
          <w:tcPr>
            <w:tcW w:w="1232"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7" w:type="dxa"/>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7</w:t>
            </w:r>
          </w:p>
        </w:tc>
        <w:tc>
          <w:tcPr>
            <w:tcW w:w="3217"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唐家镇2</w:t>
            </w:r>
          </w:p>
        </w:tc>
        <w:tc>
          <w:tcPr>
            <w:tcW w:w="709"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lang w:eastAsia="zh-CN"/>
              </w:rPr>
              <w:t>大洼区</w:t>
            </w:r>
          </w:p>
        </w:tc>
        <w:tc>
          <w:tcPr>
            <w:tcW w:w="1232"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7" w:type="dxa"/>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8</w:t>
            </w:r>
          </w:p>
        </w:tc>
        <w:tc>
          <w:tcPr>
            <w:tcW w:w="3217"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王家镇</w:t>
            </w:r>
          </w:p>
        </w:tc>
        <w:tc>
          <w:tcPr>
            <w:tcW w:w="709"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lang w:eastAsia="zh-CN"/>
              </w:rPr>
              <w:t>大洼区</w:t>
            </w:r>
          </w:p>
        </w:tc>
        <w:tc>
          <w:tcPr>
            <w:tcW w:w="1232"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7" w:type="dxa"/>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9</w:t>
            </w:r>
          </w:p>
        </w:tc>
        <w:tc>
          <w:tcPr>
            <w:tcW w:w="3217"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新开镇</w:t>
            </w:r>
          </w:p>
        </w:tc>
        <w:tc>
          <w:tcPr>
            <w:tcW w:w="709"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lang w:eastAsia="zh-CN"/>
              </w:rPr>
              <w:t>大洼区</w:t>
            </w:r>
          </w:p>
        </w:tc>
        <w:tc>
          <w:tcPr>
            <w:tcW w:w="1232"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7" w:type="dxa"/>
            <w:vAlign w:val="center"/>
          </w:tcPr>
          <w:p>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10</w:t>
            </w:r>
          </w:p>
        </w:tc>
        <w:tc>
          <w:tcPr>
            <w:tcW w:w="3217"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东风镇</w:t>
            </w:r>
          </w:p>
        </w:tc>
        <w:tc>
          <w:tcPr>
            <w:tcW w:w="709"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lang w:eastAsia="zh-CN"/>
              </w:rPr>
              <w:t>大洼区</w:t>
            </w:r>
          </w:p>
        </w:tc>
        <w:tc>
          <w:tcPr>
            <w:tcW w:w="1232"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7" w:type="dxa"/>
            <w:vAlign w:val="center"/>
          </w:tcPr>
          <w:p>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11</w:t>
            </w:r>
          </w:p>
        </w:tc>
        <w:tc>
          <w:tcPr>
            <w:tcW w:w="3217"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西安镇</w:t>
            </w:r>
          </w:p>
        </w:tc>
        <w:tc>
          <w:tcPr>
            <w:tcW w:w="709"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lang w:eastAsia="zh-CN"/>
              </w:rPr>
              <w:t>大洼区</w:t>
            </w:r>
          </w:p>
        </w:tc>
        <w:tc>
          <w:tcPr>
            <w:tcW w:w="1232"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7" w:type="dxa"/>
            <w:vAlign w:val="center"/>
          </w:tcPr>
          <w:p>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12</w:t>
            </w:r>
          </w:p>
        </w:tc>
        <w:tc>
          <w:tcPr>
            <w:tcW w:w="3217"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田庄台镇</w:t>
            </w:r>
          </w:p>
        </w:tc>
        <w:tc>
          <w:tcPr>
            <w:tcW w:w="709"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lang w:eastAsia="zh-CN"/>
              </w:rPr>
              <w:t>大洼区</w:t>
            </w:r>
          </w:p>
        </w:tc>
        <w:tc>
          <w:tcPr>
            <w:tcW w:w="1232"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7" w:type="dxa"/>
            <w:vAlign w:val="center"/>
          </w:tcPr>
          <w:p>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13</w:t>
            </w:r>
          </w:p>
        </w:tc>
        <w:tc>
          <w:tcPr>
            <w:tcW w:w="3217"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荣兴镇</w:t>
            </w:r>
          </w:p>
        </w:tc>
        <w:tc>
          <w:tcPr>
            <w:tcW w:w="709"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lang w:eastAsia="zh-CN"/>
              </w:rPr>
              <w:t>大洼区</w:t>
            </w:r>
          </w:p>
        </w:tc>
        <w:tc>
          <w:tcPr>
            <w:tcW w:w="1232"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7" w:type="dxa"/>
            <w:vAlign w:val="center"/>
          </w:tcPr>
          <w:p>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14</w:t>
            </w:r>
          </w:p>
        </w:tc>
        <w:tc>
          <w:tcPr>
            <w:tcW w:w="3217"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二界沟</w:t>
            </w:r>
          </w:p>
        </w:tc>
        <w:tc>
          <w:tcPr>
            <w:tcW w:w="709"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lang w:eastAsia="zh-CN"/>
              </w:rPr>
              <w:t>大洼区</w:t>
            </w:r>
          </w:p>
        </w:tc>
        <w:tc>
          <w:tcPr>
            <w:tcW w:w="1232"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7" w:type="dxa"/>
            <w:vAlign w:val="center"/>
          </w:tcPr>
          <w:p>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15</w:t>
            </w:r>
          </w:p>
        </w:tc>
        <w:tc>
          <w:tcPr>
            <w:tcW w:w="3217"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甜水镇</w:t>
            </w:r>
          </w:p>
        </w:tc>
        <w:tc>
          <w:tcPr>
            <w:tcW w:w="709"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盘山县</w:t>
            </w:r>
          </w:p>
        </w:tc>
        <w:tc>
          <w:tcPr>
            <w:tcW w:w="1232"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7" w:type="dxa"/>
            <w:vAlign w:val="center"/>
          </w:tcPr>
          <w:p>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16</w:t>
            </w:r>
          </w:p>
        </w:tc>
        <w:tc>
          <w:tcPr>
            <w:tcW w:w="3217"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胡家镇</w:t>
            </w:r>
          </w:p>
        </w:tc>
        <w:tc>
          <w:tcPr>
            <w:tcW w:w="709"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盘山县</w:t>
            </w:r>
          </w:p>
        </w:tc>
        <w:tc>
          <w:tcPr>
            <w:tcW w:w="1232"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7" w:type="dxa"/>
            <w:vAlign w:val="center"/>
          </w:tcPr>
          <w:p>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17</w:t>
            </w:r>
          </w:p>
        </w:tc>
        <w:tc>
          <w:tcPr>
            <w:tcW w:w="3217"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太平镇</w:t>
            </w:r>
          </w:p>
        </w:tc>
        <w:tc>
          <w:tcPr>
            <w:tcW w:w="709"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盘山县</w:t>
            </w:r>
          </w:p>
        </w:tc>
        <w:tc>
          <w:tcPr>
            <w:tcW w:w="1232"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7" w:type="dxa"/>
            <w:vAlign w:val="center"/>
          </w:tcPr>
          <w:p>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18</w:t>
            </w:r>
          </w:p>
        </w:tc>
        <w:tc>
          <w:tcPr>
            <w:tcW w:w="3217"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陈家镇</w:t>
            </w:r>
          </w:p>
        </w:tc>
        <w:tc>
          <w:tcPr>
            <w:tcW w:w="709"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盘山县</w:t>
            </w:r>
          </w:p>
        </w:tc>
        <w:tc>
          <w:tcPr>
            <w:tcW w:w="1232"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7" w:type="dxa"/>
            <w:vAlign w:val="center"/>
          </w:tcPr>
          <w:p>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19</w:t>
            </w:r>
          </w:p>
        </w:tc>
        <w:tc>
          <w:tcPr>
            <w:tcW w:w="3217"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坝墙子镇</w:t>
            </w:r>
          </w:p>
        </w:tc>
        <w:tc>
          <w:tcPr>
            <w:tcW w:w="709"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盘山县</w:t>
            </w:r>
          </w:p>
        </w:tc>
        <w:tc>
          <w:tcPr>
            <w:tcW w:w="1232"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7" w:type="dxa"/>
            <w:vAlign w:val="center"/>
          </w:tcPr>
          <w:p>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20</w:t>
            </w:r>
          </w:p>
        </w:tc>
        <w:tc>
          <w:tcPr>
            <w:tcW w:w="3217"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沙岭镇</w:t>
            </w:r>
          </w:p>
        </w:tc>
        <w:tc>
          <w:tcPr>
            <w:tcW w:w="709"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盘山县</w:t>
            </w:r>
          </w:p>
        </w:tc>
        <w:tc>
          <w:tcPr>
            <w:tcW w:w="1232"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7" w:type="dxa"/>
            <w:vAlign w:val="center"/>
          </w:tcPr>
          <w:p>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21</w:t>
            </w:r>
          </w:p>
        </w:tc>
        <w:tc>
          <w:tcPr>
            <w:tcW w:w="3217"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古城子镇</w:t>
            </w:r>
          </w:p>
        </w:tc>
        <w:tc>
          <w:tcPr>
            <w:tcW w:w="709"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盘山县</w:t>
            </w:r>
          </w:p>
        </w:tc>
        <w:tc>
          <w:tcPr>
            <w:tcW w:w="1232"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bl>
    <w:p>
      <w:pPr>
        <w:keepNext/>
        <w:keepLines/>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eastAsia="仿宋"/>
          <w:b/>
          <w:bCs/>
          <w:sz w:val="24"/>
        </w:rPr>
      </w:pPr>
      <w:bookmarkStart w:id="225" w:name="_Toc12284"/>
      <w:r>
        <w:rPr>
          <w:rFonts w:eastAsia="仿宋"/>
          <w:b/>
          <w:bCs/>
          <w:sz w:val="24"/>
        </w:rPr>
        <w:t>表5-</w:t>
      </w:r>
      <w:r>
        <w:rPr>
          <w:rFonts w:hint="eastAsia" w:eastAsia="仿宋"/>
          <w:b/>
          <w:bCs/>
          <w:sz w:val="24"/>
          <w:lang w:val="en-US" w:eastAsia="zh-CN"/>
        </w:rPr>
        <w:t>2</w:t>
      </w:r>
      <w:r>
        <w:rPr>
          <w:rFonts w:eastAsia="仿宋"/>
          <w:b/>
          <w:bCs/>
          <w:sz w:val="24"/>
        </w:rPr>
        <w:t xml:space="preserve">  乡镇级集中式饮用水源地监测名单</w:t>
      </w:r>
      <w:bookmarkEnd w:id="225"/>
    </w:p>
    <w:tbl>
      <w:tblPr>
        <w:tblStyle w:val="56"/>
        <w:tblpPr w:leftFromText="180" w:rightFromText="180" w:vertAnchor="text" w:horzAnchor="page" w:tblpXSpec="center" w:tblpY="430"/>
        <w:tblOverlap w:val="never"/>
        <w:tblW w:w="960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786"/>
        <w:gridCol w:w="825"/>
        <w:gridCol w:w="1016"/>
        <w:gridCol w:w="1310"/>
        <w:gridCol w:w="1292"/>
        <w:gridCol w:w="779"/>
        <w:gridCol w:w="1090"/>
        <w:gridCol w:w="80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01" w:type="dxa"/>
            <w:vAlign w:val="center"/>
          </w:tcPr>
          <w:p>
            <w:pPr>
              <w:widowControl/>
              <w:spacing w:line="240" w:lineRule="auto"/>
              <w:ind w:firstLine="0" w:firstLineChars="0"/>
              <w:jc w:val="left"/>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序号</w:t>
            </w:r>
          </w:p>
        </w:tc>
        <w:tc>
          <w:tcPr>
            <w:tcW w:w="1786" w:type="dxa"/>
            <w:vAlign w:val="center"/>
          </w:tcPr>
          <w:p>
            <w:pPr>
              <w:widowControl/>
              <w:spacing w:line="240" w:lineRule="auto"/>
              <w:ind w:firstLine="0" w:firstLineChars="0"/>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水源名称</w:t>
            </w:r>
          </w:p>
        </w:tc>
        <w:tc>
          <w:tcPr>
            <w:tcW w:w="825" w:type="dxa"/>
            <w:vAlign w:val="center"/>
          </w:tcPr>
          <w:p>
            <w:pPr>
              <w:widowControl/>
              <w:spacing w:line="240" w:lineRule="auto"/>
              <w:ind w:firstLine="0" w:firstLineChars="0"/>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地市</w:t>
            </w:r>
          </w:p>
        </w:tc>
        <w:tc>
          <w:tcPr>
            <w:tcW w:w="1016" w:type="dxa"/>
            <w:vAlign w:val="center"/>
          </w:tcPr>
          <w:p>
            <w:pPr>
              <w:widowControl/>
              <w:spacing w:line="240" w:lineRule="auto"/>
              <w:ind w:firstLine="0" w:firstLineChars="0"/>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区县</w:t>
            </w:r>
          </w:p>
        </w:tc>
        <w:tc>
          <w:tcPr>
            <w:tcW w:w="1310" w:type="dxa"/>
            <w:vAlign w:val="center"/>
          </w:tcPr>
          <w:p>
            <w:pPr>
              <w:widowControl/>
              <w:spacing w:line="240" w:lineRule="auto"/>
              <w:ind w:firstLine="0" w:firstLineChars="0"/>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水源地级别</w:t>
            </w:r>
          </w:p>
        </w:tc>
        <w:tc>
          <w:tcPr>
            <w:tcW w:w="1292" w:type="dxa"/>
            <w:vAlign w:val="center"/>
          </w:tcPr>
          <w:p>
            <w:pPr>
              <w:widowControl/>
              <w:spacing w:line="240" w:lineRule="auto"/>
              <w:ind w:firstLine="0" w:firstLineChars="0"/>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水源地</w:t>
            </w:r>
          </w:p>
          <w:p>
            <w:pPr>
              <w:widowControl/>
              <w:spacing w:line="240" w:lineRule="auto"/>
              <w:ind w:firstLine="0" w:firstLineChars="0"/>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类型</w:t>
            </w:r>
          </w:p>
        </w:tc>
        <w:tc>
          <w:tcPr>
            <w:tcW w:w="779" w:type="dxa"/>
            <w:vAlign w:val="center"/>
          </w:tcPr>
          <w:p>
            <w:pPr>
              <w:widowControl/>
              <w:spacing w:line="240" w:lineRule="auto"/>
              <w:ind w:firstLine="0" w:firstLineChars="0"/>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状态</w:t>
            </w:r>
          </w:p>
        </w:tc>
        <w:tc>
          <w:tcPr>
            <w:tcW w:w="1090" w:type="dxa"/>
            <w:vAlign w:val="center"/>
          </w:tcPr>
          <w:p>
            <w:pPr>
              <w:widowControl/>
              <w:spacing w:line="240" w:lineRule="auto"/>
              <w:ind w:firstLine="0" w:firstLineChars="0"/>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监测频次</w:t>
            </w:r>
          </w:p>
        </w:tc>
        <w:tc>
          <w:tcPr>
            <w:tcW w:w="801" w:type="dxa"/>
            <w:vAlign w:val="center"/>
          </w:tcPr>
          <w:p>
            <w:pPr>
              <w:widowControl/>
              <w:spacing w:line="240" w:lineRule="auto"/>
              <w:ind w:firstLine="0" w:firstLineChars="0"/>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1</w:t>
            </w:r>
          </w:p>
        </w:tc>
        <w:tc>
          <w:tcPr>
            <w:tcW w:w="1786" w:type="dxa"/>
            <w:vAlign w:val="center"/>
          </w:tcPr>
          <w:p>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大洼街道</w:t>
            </w:r>
          </w:p>
        </w:tc>
        <w:tc>
          <w:tcPr>
            <w:tcW w:w="825"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盘锦</w:t>
            </w:r>
          </w:p>
        </w:tc>
        <w:tc>
          <w:tcPr>
            <w:tcW w:w="1016"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lang w:eastAsia="zh-CN"/>
              </w:rPr>
            </w:pPr>
            <w:r>
              <w:rPr>
                <w:rFonts w:hint="eastAsia" w:ascii="仿宋_GB2312" w:hAnsi="仿宋_GB2312" w:cs="仿宋_GB2312"/>
                <w:kern w:val="0"/>
                <w:sz w:val="21"/>
                <w:szCs w:val="21"/>
                <w:lang w:eastAsia="zh-CN"/>
              </w:rPr>
              <w:t>大洼区</w:t>
            </w:r>
          </w:p>
        </w:tc>
        <w:tc>
          <w:tcPr>
            <w:tcW w:w="1310"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乡镇级</w:t>
            </w:r>
          </w:p>
        </w:tc>
        <w:tc>
          <w:tcPr>
            <w:tcW w:w="1292"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地下水型</w:t>
            </w:r>
          </w:p>
        </w:tc>
        <w:tc>
          <w:tcPr>
            <w:tcW w:w="779"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在用</w:t>
            </w:r>
          </w:p>
        </w:tc>
        <w:tc>
          <w:tcPr>
            <w:tcW w:w="1090"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半年</w:t>
            </w:r>
          </w:p>
        </w:tc>
        <w:tc>
          <w:tcPr>
            <w:tcW w:w="801" w:type="dxa"/>
            <w:vAlign w:val="center"/>
          </w:tcPr>
          <w:p>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c>
          <w:tcPr>
            <w:tcW w:w="1786" w:type="dxa"/>
            <w:vAlign w:val="center"/>
          </w:tcPr>
          <w:p>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榆树街道</w:t>
            </w:r>
          </w:p>
        </w:tc>
        <w:tc>
          <w:tcPr>
            <w:tcW w:w="825"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盘锦</w:t>
            </w:r>
          </w:p>
        </w:tc>
        <w:tc>
          <w:tcPr>
            <w:tcW w:w="1016"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lang w:eastAsia="zh-CN"/>
              </w:rPr>
            </w:pPr>
            <w:r>
              <w:rPr>
                <w:rFonts w:hint="eastAsia" w:ascii="仿宋_GB2312" w:hAnsi="仿宋_GB2312" w:cs="仿宋_GB2312"/>
                <w:kern w:val="0"/>
                <w:sz w:val="21"/>
                <w:szCs w:val="21"/>
                <w:lang w:eastAsia="zh-CN"/>
              </w:rPr>
              <w:t>大洼区</w:t>
            </w:r>
          </w:p>
        </w:tc>
        <w:tc>
          <w:tcPr>
            <w:tcW w:w="1310"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乡镇级</w:t>
            </w:r>
          </w:p>
        </w:tc>
        <w:tc>
          <w:tcPr>
            <w:tcW w:w="1292"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地下水型</w:t>
            </w:r>
          </w:p>
        </w:tc>
        <w:tc>
          <w:tcPr>
            <w:tcW w:w="779"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在用</w:t>
            </w:r>
          </w:p>
        </w:tc>
        <w:tc>
          <w:tcPr>
            <w:tcW w:w="1090"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半年</w:t>
            </w:r>
          </w:p>
        </w:tc>
        <w:tc>
          <w:tcPr>
            <w:tcW w:w="801" w:type="dxa"/>
            <w:vAlign w:val="center"/>
          </w:tcPr>
          <w:p>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1786" w:type="dxa"/>
            <w:vAlign w:val="center"/>
          </w:tcPr>
          <w:p>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田家街道</w:t>
            </w:r>
          </w:p>
        </w:tc>
        <w:tc>
          <w:tcPr>
            <w:tcW w:w="825"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盘锦</w:t>
            </w:r>
          </w:p>
        </w:tc>
        <w:tc>
          <w:tcPr>
            <w:tcW w:w="1016"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lang w:eastAsia="zh-CN"/>
              </w:rPr>
            </w:pPr>
            <w:r>
              <w:rPr>
                <w:rFonts w:hint="eastAsia" w:ascii="仿宋_GB2312" w:hAnsi="仿宋_GB2312" w:cs="仿宋_GB2312"/>
                <w:kern w:val="0"/>
                <w:sz w:val="21"/>
                <w:szCs w:val="21"/>
                <w:lang w:eastAsia="zh-CN"/>
              </w:rPr>
              <w:t>大洼区</w:t>
            </w:r>
          </w:p>
        </w:tc>
        <w:tc>
          <w:tcPr>
            <w:tcW w:w="1310"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乡镇级</w:t>
            </w:r>
          </w:p>
        </w:tc>
        <w:tc>
          <w:tcPr>
            <w:tcW w:w="1292"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地下水型</w:t>
            </w:r>
          </w:p>
        </w:tc>
        <w:tc>
          <w:tcPr>
            <w:tcW w:w="779"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在用</w:t>
            </w:r>
          </w:p>
        </w:tc>
        <w:tc>
          <w:tcPr>
            <w:tcW w:w="1090"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半年</w:t>
            </w:r>
          </w:p>
        </w:tc>
        <w:tc>
          <w:tcPr>
            <w:tcW w:w="801" w:type="dxa"/>
            <w:vAlign w:val="center"/>
          </w:tcPr>
          <w:p>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4</w:t>
            </w:r>
          </w:p>
        </w:tc>
        <w:tc>
          <w:tcPr>
            <w:tcW w:w="1786" w:type="dxa"/>
            <w:vAlign w:val="center"/>
          </w:tcPr>
          <w:p>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新立镇</w:t>
            </w:r>
          </w:p>
        </w:tc>
        <w:tc>
          <w:tcPr>
            <w:tcW w:w="825"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盘锦</w:t>
            </w:r>
          </w:p>
        </w:tc>
        <w:tc>
          <w:tcPr>
            <w:tcW w:w="1016"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lang w:eastAsia="zh-CN"/>
              </w:rPr>
            </w:pPr>
            <w:r>
              <w:rPr>
                <w:rFonts w:hint="eastAsia" w:ascii="仿宋_GB2312" w:hAnsi="仿宋_GB2312" w:cs="仿宋_GB2312"/>
                <w:kern w:val="0"/>
                <w:sz w:val="21"/>
                <w:szCs w:val="21"/>
                <w:lang w:eastAsia="zh-CN"/>
              </w:rPr>
              <w:t>大洼区</w:t>
            </w:r>
          </w:p>
        </w:tc>
        <w:tc>
          <w:tcPr>
            <w:tcW w:w="1310"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乡镇级</w:t>
            </w:r>
          </w:p>
        </w:tc>
        <w:tc>
          <w:tcPr>
            <w:tcW w:w="1292"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地下水型</w:t>
            </w:r>
          </w:p>
        </w:tc>
        <w:tc>
          <w:tcPr>
            <w:tcW w:w="779"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在用</w:t>
            </w:r>
          </w:p>
        </w:tc>
        <w:tc>
          <w:tcPr>
            <w:tcW w:w="1090"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半年</w:t>
            </w:r>
          </w:p>
        </w:tc>
        <w:tc>
          <w:tcPr>
            <w:tcW w:w="801" w:type="dxa"/>
            <w:vAlign w:val="center"/>
          </w:tcPr>
          <w:p>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786" w:type="dxa"/>
            <w:vAlign w:val="center"/>
          </w:tcPr>
          <w:p>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平安镇</w:t>
            </w:r>
          </w:p>
        </w:tc>
        <w:tc>
          <w:tcPr>
            <w:tcW w:w="825"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盘锦</w:t>
            </w:r>
          </w:p>
        </w:tc>
        <w:tc>
          <w:tcPr>
            <w:tcW w:w="1016"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lang w:eastAsia="zh-CN"/>
              </w:rPr>
            </w:pPr>
            <w:r>
              <w:rPr>
                <w:rFonts w:hint="eastAsia" w:ascii="仿宋_GB2312" w:hAnsi="仿宋_GB2312" w:cs="仿宋_GB2312"/>
                <w:kern w:val="0"/>
                <w:sz w:val="21"/>
                <w:szCs w:val="21"/>
                <w:lang w:eastAsia="zh-CN"/>
              </w:rPr>
              <w:t>大洼区</w:t>
            </w:r>
          </w:p>
        </w:tc>
        <w:tc>
          <w:tcPr>
            <w:tcW w:w="1310"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乡镇级</w:t>
            </w:r>
          </w:p>
        </w:tc>
        <w:tc>
          <w:tcPr>
            <w:tcW w:w="1292"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地下水型</w:t>
            </w:r>
          </w:p>
        </w:tc>
        <w:tc>
          <w:tcPr>
            <w:tcW w:w="779"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在用</w:t>
            </w:r>
          </w:p>
        </w:tc>
        <w:tc>
          <w:tcPr>
            <w:tcW w:w="1090"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半年</w:t>
            </w:r>
          </w:p>
        </w:tc>
        <w:tc>
          <w:tcPr>
            <w:tcW w:w="801" w:type="dxa"/>
            <w:vAlign w:val="center"/>
          </w:tcPr>
          <w:p>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6</w:t>
            </w:r>
          </w:p>
        </w:tc>
        <w:tc>
          <w:tcPr>
            <w:tcW w:w="1786" w:type="dxa"/>
            <w:vAlign w:val="center"/>
          </w:tcPr>
          <w:p>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赵圈河镇</w:t>
            </w:r>
          </w:p>
        </w:tc>
        <w:tc>
          <w:tcPr>
            <w:tcW w:w="825"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盘锦</w:t>
            </w:r>
          </w:p>
        </w:tc>
        <w:tc>
          <w:tcPr>
            <w:tcW w:w="1016"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lang w:eastAsia="zh-CN"/>
              </w:rPr>
            </w:pPr>
            <w:r>
              <w:rPr>
                <w:rFonts w:hint="eastAsia" w:ascii="仿宋_GB2312" w:hAnsi="仿宋_GB2312" w:cs="仿宋_GB2312"/>
                <w:kern w:val="0"/>
                <w:sz w:val="21"/>
                <w:szCs w:val="21"/>
                <w:lang w:eastAsia="zh-CN"/>
              </w:rPr>
              <w:t>大洼区</w:t>
            </w:r>
          </w:p>
        </w:tc>
        <w:tc>
          <w:tcPr>
            <w:tcW w:w="1310"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乡镇级</w:t>
            </w:r>
          </w:p>
        </w:tc>
        <w:tc>
          <w:tcPr>
            <w:tcW w:w="1292"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地下水型</w:t>
            </w:r>
          </w:p>
        </w:tc>
        <w:tc>
          <w:tcPr>
            <w:tcW w:w="779"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在用</w:t>
            </w:r>
          </w:p>
        </w:tc>
        <w:tc>
          <w:tcPr>
            <w:tcW w:w="1090"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半年</w:t>
            </w:r>
          </w:p>
        </w:tc>
        <w:tc>
          <w:tcPr>
            <w:tcW w:w="801" w:type="dxa"/>
            <w:vAlign w:val="center"/>
          </w:tcPr>
          <w:p>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7</w:t>
            </w:r>
          </w:p>
        </w:tc>
        <w:tc>
          <w:tcPr>
            <w:tcW w:w="1786" w:type="dxa"/>
            <w:vAlign w:val="center"/>
          </w:tcPr>
          <w:p>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高升街道水源地</w:t>
            </w:r>
          </w:p>
        </w:tc>
        <w:tc>
          <w:tcPr>
            <w:tcW w:w="825"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盘锦</w:t>
            </w:r>
          </w:p>
        </w:tc>
        <w:tc>
          <w:tcPr>
            <w:tcW w:w="1016"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盘山县</w:t>
            </w:r>
          </w:p>
        </w:tc>
        <w:tc>
          <w:tcPr>
            <w:tcW w:w="1310"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乡镇级</w:t>
            </w:r>
          </w:p>
        </w:tc>
        <w:tc>
          <w:tcPr>
            <w:tcW w:w="1292"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地下水型</w:t>
            </w:r>
          </w:p>
        </w:tc>
        <w:tc>
          <w:tcPr>
            <w:tcW w:w="779"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在用</w:t>
            </w:r>
          </w:p>
        </w:tc>
        <w:tc>
          <w:tcPr>
            <w:tcW w:w="1090"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半年</w:t>
            </w:r>
          </w:p>
        </w:tc>
        <w:tc>
          <w:tcPr>
            <w:tcW w:w="801" w:type="dxa"/>
            <w:vAlign w:val="center"/>
          </w:tcPr>
          <w:p>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8</w:t>
            </w:r>
          </w:p>
        </w:tc>
        <w:tc>
          <w:tcPr>
            <w:tcW w:w="1786" w:type="dxa"/>
            <w:vAlign w:val="center"/>
          </w:tcPr>
          <w:p>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辽河油田井下</w:t>
            </w:r>
          </w:p>
        </w:tc>
        <w:tc>
          <w:tcPr>
            <w:tcW w:w="825"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盘锦</w:t>
            </w:r>
          </w:p>
        </w:tc>
        <w:tc>
          <w:tcPr>
            <w:tcW w:w="1016"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盘山县</w:t>
            </w:r>
          </w:p>
        </w:tc>
        <w:tc>
          <w:tcPr>
            <w:tcW w:w="1310"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乡镇级</w:t>
            </w:r>
          </w:p>
        </w:tc>
        <w:tc>
          <w:tcPr>
            <w:tcW w:w="1292"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地下水型</w:t>
            </w:r>
          </w:p>
        </w:tc>
        <w:tc>
          <w:tcPr>
            <w:tcW w:w="779"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在用</w:t>
            </w:r>
          </w:p>
        </w:tc>
        <w:tc>
          <w:tcPr>
            <w:tcW w:w="1090"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半年</w:t>
            </w:r>
          </w:p>
        </w:tc>
        <w:tc>
          <w:tcPr>
            <w:tcW w:w="801" w:type="dxa"/>
            <w:vAlign w:val="center"/>
          </w:tcPr>
          <w:p>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9</w:t>
            </w:r>
          </w:p>
        </w:tc>
        <w:tc>
          <w:tcPr>
            <w:tcW w:w="1786" w:type="dxa"/>
            <w:vAlign w:val="center"/>
          </w:tcPr>
          <w:p>
            <w:pPr>
              <w:widowControl/>
              <w:spacing w:line="0" w:lineRule="atLeast"/>
              <w:ind w:firstLine="0" w:firstLineChars="0"/>
              <w:jc w:val="left"/>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东郭街道水源地</w:t>
            </w:r>
          </w:p>
        </w:tc>
        <w:tc>
          <w:tcPr>
            <w:tcW w:w="825" w:type="dxa"/>
            <w:vAlign w:val="center"/>
          </w:tcPr>
          <w:p>
            <w:pPr>
              <w:widowControl/>
              <w:spacing w:line="0" w:lineRule="atLeast"/>
              <w:ind w:firstLine="0" w:firstLineChars="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盘锦</w:t>
            </w:r>
          </w:p>
        </w:tc>
        <w:tc>
          <w:tcPr>
            <w:tcW w:w="1016" w:type="dxa"/>
            <w:vAlign w:val="center"/>
          </w:tcPr>
          <w:p>
            <w:pPr>
              <w:widowControl/>
              <w:spacing w:line="0" w:lineRule="atLeast"/>
              <w:ind w:firstLine="0" w:firstLineChars="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盘山县</w:t>
            </w:r>
          </w:p>
        </w:tc>
        <w:tc>
          <w:tcPr>
            <w:tcW w:w="1310" w:type="dxa"/>
            <w:vAlign w:val="center"/>
          </w:tcPr>
          <w:p>
            <w:pPr>
              <w:widowControl/>
              <w:spacing w:line="0" w:lineRule="atLeast"/>
              <w:ind w:firstLine="0" w:firstLineChars="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乡镇级</w:t>
            </w:r>
          </w:p>
        </w:tc>
        <w:tc>
          <w:tcPr>
            <w:tcW w:w="1292" w:type="dxa"/>
            <w:vAlign w:val="center"/>
          </w:tcPr>
          <w:p>
            <w:pPr>
              <w:widowControl/>
              <w:spacing w:line="0" w:lineRule="atLeast"/>
              <w:ind w:firstLine="0" w:firstLineChars="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地下水型</w:t>
            </w:r>
          </w:p>
        </w:tc>
        <w:tc>
          <w:tcPr>
            <w:tcW w:w="779" w:type="dxa"/>
            <w:vAlign w:val="center"/>
          </w:tcPr>
          <w:p>
            <w:pPr>
              <w:widowControl/>
              <w:spacing w:line="0" w:lineRule="atLeast"/>
              <w:ind w:firstLine="0" w:firstLineChars="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在用</w:t>
            </w:r>
          </w:p>
        </w:tc>
        <w:tc>
          <w:tcPr>
            <w:tcW w:w="1090" w:type="dxa"/>
            <w:vAlign w:val="center"/>
          </w:tcPr>
          <w:p>
            <w:pPr>
              <w:widowControl/>
              <w:spacing w:line="240" w:lineRule="auto"/>
              <w:ind w:left="0" w:leftChars="0" w:firstLine="0" w:firstLineChars="0"/>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半年</w:t>
            </w:r>
          </w:p>
        </w:tc>
        <w:tc>
          <w:tcPr>
            <w:tcW w:w="801" w:type="dxa"/>
            <w:vAlign w:val="center"/>
          </w:tcPr>
          <w:p>
            <w:pPr>
              <w:widowControl/>
              <w:spacing w:line="240" w:lineRule="auto"/>
              <w:ind w:firstLine="0" w:firstLineChars="0"/>
              <w:jc w:val="left"/>
              <w:rPr>
                <w:rFonts w:hint="eastAsia" w:ascii="仿宋_GB2312" w:hAnsi="仿宋_GB2312" w:eastAsia="仿宋_GB2312" w:cs="仿宋_GB2312"/>
                <w:kern w:val="0"/>
                <w:sz w:val="21"/>
                <w:szCs w:val="21"/>
                <w:highlight w:val="none"/>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pPr>
              <w:widowControl/>
              <w:spacing w:line="240" w:lineRule="auto"/>
              <w:ind w:firstLine="0" w:firstLineChars="0"/>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10</w:t>
            </w:r>
          </w:p>
        </w:tc>
        <w:tc>
          <w:tcPr>
            <w:tcW w:w="1786" w:type="dxa"/>
            <w:vAlign w:val="center"/>
          </w:tcPr>
          <w:p>
            <w:pPr>
              <w:widowControl/>
              <w:spacing w:line="0" w:lineRule="atLeast"/>
              <w:ind w:firstLine="0" w:firstLineChars="0"/>
              <w:jc w:val="left"/>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石新镇水源地</w:t>
            </w:r>
          </w:p>
        </w:tc>
        <w:tc>
          <w:tcPr>
            <w:tcW w:w="825" w:type="dxa"/>
            <w:vAlign w:val="center"/>
          </w:tcPr>
          <w:p>
            <w:pPr>
              <w:widowControl/>
              <w:spacing w:line="0" w:lineRule="atLeast"/>
              <w:ind w:firstLine="0" w:firstLineChars="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盘锦</w:t>
            </w:r>
          </w:p>
        </w:tc>
        <w:tc>
          <w:tcPr>
            <w:tcW w:w="1016" w:type="dxa"/>
            <w:vAlign w:val="center"/>
          </w:tcPr>
          <w:p>
            <w:pPr>
              <w:widowControl/>
              <w:spacing w:line="0" w:lineRule="atLeast"/>
              <w:ind w:firstLine="0" w:firstLineChars="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盘山县</w:t>
            </w:r>
          </w:p>
        </w:tc>
        <w:tc>
          <w:tcPr>
            <w:tcW w:w="1310" w:type="dxa"/>
            <w:vAlign w:val="center"/>
          </w:tcPr>
          <w:p>
            <w:pPr>
              <w:widowControl/>
              <w:spacing w:line="0" w:lineRule="atLeast"/>
              <w:ind w:firstLine="0" w:firstLineChars="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乡镇级</w:t>
            </w:r>
          </w:p>
        </w:tc>
        <w:tc>
          <w:tcPr>
            <w:tcW w:w="1292" w:type="dxa"/>
            <w:vAlign w:val="center"/>
          </w:tcPr>
          <w:p>
            <w:pPr>
              <w:widowControl/>
              <w:spacing w:line="0" w:lineRule="atLeast"/>
              <w:ind w:firstLine="0" w:firstLineChars="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地下水型</w:t>
            </w:r>
          </w:p>
        </w:tc>
        <w:tc>
          <w:tcPr>
            <w:tcW w:w="779" w:type="dxa"/>
            <w:vAlign w:val="center"/>
          </w:tcPr>
          <w:p>
            <w:pPr>
              <w:widowControl/>
              <w:spacing w:line="0" w:lineRule="atLeast"/>
              <w:ind w:firstLine="0" w:firstLineChars="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在用</w:t>
            </w:r>
          </w:p>
        </w:tc>
        <w:tc>
          <w:tcPr>
            <w:tcW w:w="1090" w:type="dxa"/>
            <w:vAlign w:val="center"/>
          </w:tcPr>
          <w:p>
            <w:pPr>
              <w:widowControl/>
              <w:spacing w:line="240" w:lineRule="auto"/>
              <w:ind w:left="0" w:leftChars="0" w:firstLine="0" w:firstLineChars="0"/>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半年</w:t>
            </w:r>
          </w:p>
        </w:tc>
        <w:tc>
          <w:tcPr>
            <w:tcW w:w="801" w:type="dxa"/>
            <w:vAlign w:val="center"/>
          </w:tcPr>
          <w:p>
            <w:pPr>
              <w:widowControl/>
              <w:spacing w:line="240" w:lineRule="auto"/>
              <w:ind w:firstLine="0" w:firstLineChars="0"/>
              <w:jc w:val="left"/>
              <w:rPr>
                <w:rFonts w:hint="eastAsia" w:ascii="仿宋_GB2312" w:hAnsi="仿宋_GB2312" w:eastAsia="仿宋_GB2312" w:cs="仿宋_GB2312"/>
                <w:kern w:val="0"/>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2.监测项目</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《地下水质量标准》（GB/T 14848-2017）表1中37项指标（总α放射性和总β放射性指标为选测项目）；各地可根据当地污染实际情况，适当增加区域特征污染物。</w:t>
      </w:r>
    </w:p>
    <w:p>
      <w:pPr>
        <w:keepNext w:val="0"/>
        <w:keepLines w:val="0"/>
        <w:pageBreakBefore w:val="0"/>
        <w:widowControl w:val="0"/>
        <w:kinsoku/>
        <w:wordWrap/>
        <w:overflowPunct/>
        <w:topLinePunct w:val="0"/>
        <w:autoSpaceDE/>
        <w:autoSpaceDN/>
        <w:bidi w:val="0"/>
        <w:adjustRightInd w:val="0"/>
        <w:snapToGrid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3.监测频次</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每半年监测1次（前后两次采样时间须间隔4个月），全年</w:t>
      </w:r>
      <w:r>
        <w:rPr>
          <w:rFonts w:hint="eastAsia" w:ascii="仿宋_GB2312" w:hAnsi="仿宋_GB2312" w:eastAsia="仿宋_GB2312" w:cs="仿宋_GB2312"/>
          <w:lang w:val="en-US" w:eastAsia="zh-CN"/>
        </w:rPr>
        <w:t>2</w:t>
      </w:r>
      <w:r>
        <w:rPr>
          <w:rFonts w:hint="eastAsia" w:ascii="仿宋_GB2312" w:hAnsi="仿宋_GB2312" w:eastAsia="仿宋_GB2312" w:cs="仿宋_GB2312"/>
        </w:rPr>
        <w:t>次。如遇异常情况需加密监测。</w:t>
      </w:r>
    </w:p>
    <w:p>
      <w:pPr>
        <w:keepNext w:val="0"/>
        <w:keepLines w:val="0"/>
        <w:pageBreakBefore w:val="0"/>
        <w:widowControl w:val="0"/>
        <w:kinsoku/>
        <w:wordWrap/>
        <w:overflowPunct/>
        <w:topLinePunct w:val="0"/>
        <w:autoSpaceDE/>
        <w:autoSpaceDN/>
        <w:bidi w:val="0"/>
        <w:adjustRightInd w:val="0"/>
        <w:snapToGrid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4.工作方式</w:t>
      </w:r>
    </w:p>
    <w:p>
      <w:pPr>
        <w:rPr>
          <w:rFonts w:hint="eastAsia"/>
          <w:sz w:val="32"/>
          <w:szCs w:val="32"/>
          <w:highlight w:val="none"/>
          <w:lang w:val="en-US" w:eastAsia="zh-CN"/>
        </w:rPr>
      </w:pPr>
      <w:r>
        <w:rPr>
          <w:rFonts w:hint="eastAsia"/>
          <w:sz w:val="32"/>
          <w:szCs w:val="32"/>
          <w:highlight w:val="none"/>
          <w:lang w:val="en-US" w:eastAsia="zh-CN"/>
        </w:rPr>
        <w:t>乡镇级及以下集中式饮用水水源地水质监测为县（区）级事权，县（区）级财政保障经费，市生态环境局可配合开展采样及监测。</w:t>
      </w:r>
    </w:p>
    <w:p>
      <w:pPr>
        <w:rPr>
          <w:rFonts w:hint="eastAsia" w:ascii="仿宋_GB2312" w:hAnsi="仿宋_GB2312" w:cs="仿宋_GB2312"/>
          <w:highlight w:val="none"/>
          <w:lang w:eastAsia="zh-CN"/>
        </w:rPr>
      </w:pPr>
      <w:r>
        <w:rPr>
          <w:rFonts w:hint="eastAsia"/>
          <w:sz w:val="32"/>
          <w:szCs w:val="32"/>
          <w:highlight w:val="none"/>
          <w:lang w:val="en-US" w:eastAsia="zh-CN"/>
        </w:rPr>
        <w:t>责任主体：盘山县、大洼区和兴隆台区分局。</w:t>
      </w:r>
    </w:p>
    <w:p>
      <w:pPr>
        <w:keepNext w:val="0"/>
        <w:keepLines w:val="0"/>
        <w:pageBreakBefore w:val="0"/>
        <w:widowControl w:val="0"/>
        <w:kinsoku/>
        <w:wordWrap/>
        <w:overflowPunct/>
        <w:topLinePunct w:val="0"/>
        <w:autoSpaceDE/>
        <w:autoSpaceDN/>
        <w:bidi w:val="0"/>
        <w:adjustRightInd w:val="0"/>
        <w:snapToGrid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5.数据报送</w:t>
      </w:r>
    </w:p>
    <w:p>
      <w:pPr>
        <w:keepNext w:val="0"/>
        <w:keepLines w:val="0"/>
        <w:pageBreakBefore w:val="0"/>
        <w:widowControl w:val="0"/>
        <w:kinsoku/>
        <w:wordWrap/>
        <w:overflowPunct/>
        <w:topLinePunct w:val="0"/>
        <w:autoSpaceDE/>
        <w:autoSpaceDN/>
        <w:bidi w:val="0"/>
        <w:spacing w:line="600" w:lineRule="exact"/>
        <w:ind w:firstLine="640"/>
        <w:textAlignment w:val="auto"/>
        <w:rPr>
          <w:rFonts w:eastAsia="仿宋"/>
        </w:rPr>
      </w:pPr>
      <w:r>
        <w:rPr>
          <w:rFonts w:hint="eastAsia" w:eastAsia="仿宋"/>
        </w:rPr>
        <w:t>（1）</w:t>
      </w:r>
      <w:r>
        <w:rPr>
          <w:rFonts w:hint="eastAsia" w:eastAsia="仿宋"/>
          <w:lang w:val="en-US" w:eastAsia="zh-CN"/>
        </w:rPr>
        <w:t>21</w:t>
      </w:r>
      <w:r>
        <w:rPr>
          <w:rFonts w:eastAsia="仿宋"/>
        </w:rPr>
        <w:t>个农村</w:t>
      </w:r>
      <w:r>
        <w:rPr>
          <w:rFonts w:ascii="仿宋" w:hAnsi="仿宋" w:eastAsia="仿宋"/>
        </w:rPr>
        <w:t>“千吨万人”</w:t>
      </w:r>
      <w:r>
        <w:rPr>
          <w:rFonts w:eastAsia="仿宋"/>
        </w:rPr>
        <w:t>饮用水水源地</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市生态环境</w:t>
      </w:r>
      <w:r>
        <w:rPr>
          <w:rFonts w:hint="eastAsia" w:ascii="仿宋_GB2312" w:hAnsi="仿宋_GB2312" w:cs="仿宋_GB2312"/>
          <w:lang w:val="en-US" w:eastAsia="zh-CN"/>
        </w:rPr>
        <w:t>局</w:t>
      </w:r>
      <w:r>
        <w:rPr>
          <w:rFonts w:hint="eastAsia" w:ascii="仿宋_GB2312" w:hAnsi="仿宋_GB2312" w:eastAsia="仿宋_GB2312" w:cs="仿宋_GB2312"/>
          <w:highlight w:val="none"/>
        </w:rPr>
        <w:t>组织</w:t>
      </w:r>
      <w:r>
        <w:rPr>
          <w:rFonts w:hint="eastAsia" w:ascii="仿宋_GB2312" w:hAnsi="仿宋_GB2312" w:cs="仿宋_GB2312"/>
          <w:highlight w:val="none"/>
          <w:lang w:val="en-US" w:eastAsia="zh-CN"/>
        </w:rPr>
        <w:t>相关分局</w:t>
      </w:r>
      <w:r>
        <w:rPr>
          <w:rFonts w:hint="eastAsia" w:ascii="仿宋_GB2312" w:hAnsi="仿宋_GB2312" w:eastAsia="仿宋_GB2312" w:cs="仿宋_GB2312"/>
        </w:rPr>
        <w:t>上报数据，驻市分支机构审核，通过总站生态农村监测业务系统报送。6月30日、1</w:t>
      </w:r>
      <w:r>
        <w:rPr>
          <w:rFonts w:hint="eastAsia" w:ascii="仿宋_GB2312" w:hAnsi="仿宋_GB2312" w:eastAsia="仿宋_GB2312" w:cs="仿宋_GB2312"/>
          <w:lang w:val="en-US" w:eastAsia="zh-CN"/>
        </w:rPr>
        <w:t>2</w:t>
      </w:r>
      <w:r>
        <w:rPr>
          <w:rFonts w:hint="eastAsia" w:ascii="仿宋_GB2312" w:hAnsi="仿宋_GB2312" w:eastAsia="仿宋_GB2312" w:cs="仿宋_GB2312"/>
        </w:rPr>
        <w:t>月30日</w:t>
      </w:r>
      <w:r>
        <w:rPr>
          <w:rFonts w:hint="eastAsia" w:ascii="仿宋_GB2312" w:hAnsi="仿宋_GB2312" w:eastAsia="仿宋_GB2312" w:cs="仿宋_GB2312"/>
          <w:lang w:eastAsia="zh-CN"/>
        </w:rPr>
        <w:t>前</w:t>
      </w:r>
      <w:r>
        <w:rPr>
          <w:rFonts w:hint="eastAsia" w:ascii="仿宋_GB2312" w:hAnsi="仿宋_GB2312" w:eastAsia="仿宋_GB2312" w:cs="仿宋_GB2312"/>
        </w:rPr>
        <w:t>报送地下水饮用水源的监测数据。202</w:t>
      </w:r>
      <w:r>
        <w:rPr>
          <w:rFonts w:hint="eastAsia" w:ascii="仿宋_GB2312" w:hAnsi="仿宋_GB2312" w:eastAsia="仿宋_GB2312" w:cs="仿宋_GB2312"/>
          <w:lang w:val="en-US" w:eastAsia="zh-CN"/>
        </w:rPr>
        <w:t>5</w:t>
      </w:r>
      <w:r>
        <w:rPr>
          <w:rFonts w:hint="eastAsia" w:ascii="仿宋_GB2312" w:hAnsi="仿宋_GB2312" w:eastAsia="仿宋_GB2312" w:cs="仿宋_GB2312"/>
        </w:rPr>
        <w:t>年1月31日前报送“千吨万人”饮用水源地年度质量监测报告。</w:t>
      </w:r>
    </w:p>
    <w:p>
      <w:pPr>
        <w:keepNext w:val="0"/>
        <w:keepLines w:val="0"/>
        <w:pageBreakBefore w:val="0"/>
        <w:widowControl w:val="0"/>
        <w:kinsoku/>
        <w:wordWrap/>
        <w:overflowPunct/>
        <w:topLinePunct w:val="0"/>
        <w:autoSpaceDE/>
        <w:autoSpaceDN/>
        <w:bidi w:val="0"/>
        <w:spacing w:line="600" w:lineRule="exact"/>
        <w:ind w:firstLine="640"/>
        <w:textAlignment w:val="auto"/>
        <w:rPr>
          <w:rFonts w:eastAsia="仿宋"/>
        </w:rPr>
      </w:pPr>
      <w:bookmarkStart w:id="226" w:name="_Hlk98046068"/>
      <w:r>
        <w:rPr>
          <w:rFonts w:hint="eastAsia" w:eastAsia="仿宋"/>
        </w:rPr>
        <w:t>（2）</w:t>
      </w:r>
      <w:r>
        <w:rPr>
          <w:rFonts w:hint="eastAsia" w:eastAsia="仿宋"/>
          <w:highlight w:val="none"/>
          <w:lang w:val="en-US" w:eastAsia="zh-CN"/>
        </w:rPr>
        <w:t>10</w:t>
      </w:r>
      <w:r>
        <w:rPr>
          <w:highlight w:val="none"/>
        </w:rPr>
        <w:t>个</w:t>
      </w:r>
      <w:r>
        <w:t>乡镇级</w:t>
      </w:r>
      <w:r>
        <w:rPr>
          <w:rFonts w:hint="eastAsia"/>
        </w:rPr>
        <w:t>集中式</w:t>
      </w:r>
      <w:r>
        <w:t>饮用水水源地</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rPr>
        <w:t>市生态环境</w:t>
      </w:r>
      <w:r>
        <w:rPr>
          <w:rFonts w:hint="eastAsia" w:ascii="仿宋_GB2312" w:hAnsi="仿宋_GB2312" w:cs="仿宋_GB2312"/>
          <w:lang w:val="en-US" w:eastAsia="zh-CN"/>
        </w:rPr>
        <w:t>局</w:t>
      </w:r>
      <w:r>
        <w:rPr>
          <w:rFonts w:hint="eastAsia" w:ascii="仿宋_GB2312" w:hAnsi="仿宋_GB2312" w:eastAsia="仿宋_GB2312" w:cs="仿宋_GB2312"/>
        </w:rPr>
        <w:t>组织</w:t>
      </w:r>
      <w:r>
        <w:rPr>
          <w:rFonts w:hint="eastAsia" w:ascii="仿宋_GB2312" w:hAnsi="仿宋_GB2312" w:cs="仿宋_GB2312"/>
          <w:highlight w:val="none"/>
          <w:lang w:val="en-US" w:eastAsia="zh-CN"/>
        </w:rPr>
        <w:t>相关分局</w:t>
      </w:r>
      <w:r>
        <w:rPr>
          <w:rFonts w:hint="eastAsia" w:ascii="仿宋_GB2312" w:hAnsi="仿宋_GB2312" w:eastAsia="仿宋_GB2312" w:cs="仿宋_GB2312"/>
        </w:rPr>
        <w:t>上报数据。6月30日、1</w:t>
      </w:r>
      <w:r>
        <w:rPr>
          <w:rFonts w:hint="eastAsia" w:ascii="仿宋_GB2312" w:hAnsi="仿宋_GB2312" w:eastAsia="仿宋_GB2312" w:cs="仿宋_GB2312"/>
          <w:lang w:val="en-US" w:eastAsia="zh-CN"/>
        </w:rPr>
        <w:t>2</w:t>
      </w:r>
      <w:r>
        <w:rPr>
          <w:rFonts w:hint="eastAsia" w:ascii="仿宋_GB2312" w:hAnsi="仿宋_GB2312" w:eastAsia="仿宋_GB2312" w:cs="仿宋_GB2312"/>
        </w:rPr>
        <w:t>月30日</w:t>
      </w:r>
      <w:r>
        <w:rPr>
          <w:rFonts w:hint="eastAsia" w:ascii="仿宋_GB2312" w:hAnsi="仿宋_GB2312" w:eastAsia="仿宋_GB2312" w:cs="仿宋_GB2312"/>
          <w:lang w:eastAsia="zh-CN"/>
        </w:rPr>
        <w:t>前</w:t>
      </w:r>
      <w:r>
        <w:rPr>
          <w:rFonts w:hint="eastAsia" w:ascii="仿宋_GB2312" w:hAnsi="仿宋_GB2312" w:eastAsia="仿宋_GB2312" w:cs="仿宋_GB2312"/>
        </w:rPr>
        <w:t>报送地下水饮用水源的监测数据</w:t>
      </w:r>
      <w:r>
        <w:rPr>
          <w:rFonts w:hint="eastAsia" w:ascii="仿宋_GB2312" w:hAnsi="仿宋_GB2312" w:eastAsia="仿宋_GB2312" w:cs="仿宋_GB2312"/>
          <w:lang w:eastAsia="zh-CN"/>
        </w:rPr>
        <w:t>，</w:t>
      </w:r>
      <w:r>
        <w:rPr>
          <w:rFonts w:hint="eastAsia" w:ascii="仿宋_GB2312" w:hAnsi="仿宋_GB2312" w:eastAsia="仿宋_GB2312" w:cs="仿宋_GB2312"/>
          <w:highlight w:val="none"/>
        </w:rPr>
        <w:t>并附正式监测报告。</w:t>
      </w:r>
      <w:r>
        <w:rPr>
          <w:rFonts w:hint="eastAsia" w:ascii="仿宋_GB2312" w:hAnsi="仿宋_GB2312" w:eastAsia="仿宋_GB2312" w:cs="仿宋_GB2312"/>
        </w:rPr>
        <w:t>202</w:t>
      </w:r>
      <w:r>
        <w:rPr>
          <w:rFonts w:hint="eastAsia" w:ascii="仿宋_GB2312" w:hAnsi="仿宋_GB2312" w:eastAsia="仿宋_GB2312" w:cs="仿宋_GB2312"/>
          <w:lang w:val="en-US" w:eastAsia="zh-CN"/>
        </w:rPr>
        <w:t>5</w:t>
      </w:r>
      <w:r>
        <w:rPr>
          <w:rFonts w:hint="eastAsia" w:ascii="仿宋_GB2312" w:hAnsi="仿宋_GB2312" w:eastAsia="仿宋_GB2312" w:cs="仿宋_GB2312"/>
        </w:rPr>
        <w:t>年1月31日前报送年度质量监测报告。数据报送邮箱</w:t>
      </w:r>
      <w:r>
        <w:rPr>
          <w:rFonts w:hint="eastAsia" w:ascii="仿宋_GB2312" w:hAnsi="仿宋_GB2312" w:eastAsia="仿宋_GB2312" w:cs="仿宋_GB2312"/>
          <w:highlight w:val="none"/>
        </w:rPr>
        <w:t>syc.ssthjt@ln.gov.cn。</w:t>
      </w:r>
    </w:p>
    <w:p>
      <w:pPr>
        <w:keepNext w:val="0"/>
        <w:keepLines w:val="0"/>
        <w:pageBreakBefore w:val="0"/>
        <w:widowControl w:val="0"/>
        <w:kinsoku/>
        <w:wordWrap/>
        <w:overflowPunct/>
        <w:topLinePunct w:val="0"/>
        <w:autoSpaceDE/>
        <w:autoSpaceDN/>
        <w:bidi w:val="0"/>
        <w:adjustRightInd w:val="0"/>
        <w:snapToGrid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6.注意事项</w:t>
      </w:r>
    </w:p>
    <w:p>
      <w:pPr>
        <w:keepNext w:val="0"/>
        <w:keepLines w:val="0"/>
        <w:pageBreakBefore w:val="0"/>
        <w:widowControl w:val="0"/>
        <w:numPr>
          <w:ilvl w:val="255"/>
          <w:numId w:val="0"/>
        </w:numPr>
        <w:kinsoku/>
        <w:wordWrap/>
        <w:overflowPunct/>
        <w:topLinePunct w:val="0"/>
        <w:autoSpaceDE/>
        <w:autoSpaceDN/>
        <w:bidi w:val="0"/>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如水源地调整为备用，或停用撤销、实施‘两断三清’等情况导致不具备监测条件无法开展监测的，应由市生态环境</w:t>
      </w:r>
      <w:r>
        <w:rPr>
          <w:rFonts w:hint="eastAsia" w:ascii="仿宋_GB2312" w:hAnsi="仿宋_GB2312" w:cs="仿宋_GB2312"/>
          <w:highlight w:val="none"/>
          <w:lang w:val="en-US" w:eastAsia="zh-CN"/>
        </w:rPr>
        <w:t>局</w:t>
      </w:r>
      <w:r>
        <w:rPr>
          <w:rFonts w:hint="eastAsia" w:ascii="仿宋_GB2312" w:hAnsi="仿宋_GB2312" w:eastAsia="仿宋_GB2312" w:cs="仿宋_GB2312"/>
          <w:highlight w:val="none"/>
        </w:rPr>
        <w:t>提供水源所在地水行政主管部门出具的相关证明材料，报经省厅同意后，方可每年6-7月份开展一次常规监测，或停止监测。如监测点位水质异常，必须组织核查，“千吨万人”向省中心报送超标原因分析、“乡镇级以下”向省厅水源监管处报送超标原因分析。</w:t>
      </w:r>
    </w:p>
    <w:bookmarkEnd w:id="226"/>
    <w:p>
      <w:pPr>
        <w:pStyle w:val="3"/>
        <w:keepNext/>
        <w:keepLines/>
        <w:pageBreakBefore w:val="0"/>
        <w:widowControl w:val="0"/>
        <w:numPr>
          <w:ilvl w:val="0"/>
          <w:numId w:val="0"/>
        </w:numPr>
        <w:tabs>
          <w:tab w:val="left" w:pos="888"/>
        </w:tabs>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lang w:val="en-US" w:eastAsia="zh-CN"/>
        </w:rPr>
      </w:pPr>
      <w:bookmarkStart w:id="227" w:name="_Toc15782"/>
      <w:bookmarkStart w:id="228" w:name="_Toc452"/>
      <w:bookmarkStart w:id="229" w:name="_Toc31672"/>
      <w:bookmarkStart w:id="230" w:name="_Toc15921"/>
      <w:bookmarkStart w:id="231" w:name="_Toc535217746"/>
      <w:bookmarkStart w:id="232" w:name="_Toc2018"/>
      <w:bookmarkStart w:id="233" w:name="_Toc1392061"/>
      <w:bookmarkStart w:id="234" w:name="_Toc8651"/>
      <w:bookmarkStart w:id="235" w:name="_Toc67684896"/>
      <w:bookmarkStart w:id="236" w:name="_Toc4082"/>
      <w:bookmarkStart w:id="237" w:name="_Toc34058549"/>
      <w:bookmarkStart w:id="238" w:name="_Toc25228"/>
      <w:r>
        <w:rPr>
          <w:rFonts w:hint="eastAsia" w:ascii="楷体_GB2312" w:hAnsi="楷体_GB2312" w:eastAsia="楷体_GB2312" w:cs="楷体_GB2312"/>
          <w:b w:val="0"/>
          <w:lang w:val="en-US" w:eastAsia="zh-CN"/>
        </w:rPr>
        <w:t>（十六）农田灌溉水质监测</w:t>
      </w:r>
      <w:bookmarkEnd w:id="227"/>
      <w:bookmarkEnd w:id="228"/>
      <w:bookmarkEnd w:id="229"/>
      <w:bookmarkEnd w:id="230"/>
      <w:bookmarkEnd w:id="231"/>
      <w:bookmarkEnd w:id="232"/>
      <w:bookmarkEnd w:id="233"/>
      <w:bookmarkEnd w:id="234"/>
      <w:bookmarkEnd w:id="235"/>
      <w:bookmarkEnd w:id="236"/>
      <w:bookmarkEnd w:id="237"/>
      <w:bookmarkEnd w:id="238"/>
    </w:p>
    <w:p>
      <w:pPr>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1.监测范围</w:t>
      </w:r>
    </w:p>
    <w:p>
      <w:pPr>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设计</w:t>
      </w:r>
      <w:r>
        <w:rPr>
          <w:rFonts w:hint="eastAsia" w:ascii="仿宋_GB2312" w:hAnsi="仿宋_GB2312" w:eastAsia="仿宋_GB2312" w:cs="仿宋_GB2312"/>
        </w:rPr>
        <w:t>灌溉规模在10万亩及以上的农田灌溉区，名单见表5-</w:t>
      </w:r>
      <w:r>
        <w:rPr>
          <w:rFonts w:hint="eastAsia" w:ascii="仿宋_GB2312" w:hAnsi="仿宋_GB2312" w:eastAsia="仿宋_GB2312" w:cs="仿宋_GB2312"/>
          <w:lang w:val="en-US" w:eastAsia="zh-CN"/>
        </w:rPr>
        <w:t>3</w:t>
      </w:r>
      <w:r>
        <w:rPr>
          <w:rFonts w:hint="eastAsia" w:ascii="仿宋_GB2312" w:hAnsi="仿宋_GB2312" w:eastAsia="仿宋_GB2312" w:cs="仿宋_GB2312"/>
        </w:rPr>
        <w:t>。</w:t>
      </w:r>
    </w:p>
    <w:p>
      <w:pPr>
        <w:keepNext/>
        <w:keepLines/>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仿宋_GB2312" w:hAnsi="仿宋_GB2312" w:eastAsia="仿宋_GB2312" w:cs="仿宋_GB2312"/>
          <w:b/>
          <w:bCs/>
          <w:sz w:val="24"/>
          <w:lang w:eastAsia="zh-CN"/>
        </w:rPr>
      </w:pPr>
      <w:bookmarkStart w:id="239" w:name="_Toc30807"/>
      <w:r>
        <w:rPr>
          <w:rFonts w:hint="eastAsia" w:ascii="仿宋_GB2312" w:hAnsi="仿宋_GB2312" w:eastAsia="仿宋_GB2312" w:cs="仿宋_GB2312"/>
          <w:b/>
          <w:bCs/>
          <w:sz w:val="24"/>
        </w:rPr>
        <w:t>表5-</w:t>
      </w:r>
      <w:r>
        <w:rPr>
          <w:rFonts w:hint="eastAsia" w:ascii="仿宋_GB2312" w:hAnsi="仿宋_GB2312" w:eastAsia="仿宋_GB2312" w:cs="仿宋_GB2312"/>
          <w:b/>
          <w:bCs/>
          <w:sz w:val="24"/>
          <w:lang w:val="en-US" w:eastAsia="zh-CN"/>
        </w:rPr>
        <w:t>3</w:t>
      </w:r>
      <w:r>
        <w:rPr>
          <w:rFonts w:hint="eastAsia" w:ascii="仿宋_GB2312" w:hAnsi="仿宋_GB2312" w:eastAsia="仿宋_GB2312" w:cs="仿宋_GB2312"/>
          <w:b/>
          <w:bCs/>
          <w:sz w:val="24"/>
        </w:rPr>
        <w:t xml:space="preserve">  规模10万亩以上农田灌溉区监测名单</w:t>
      </w:r>
      <w:bookmarkEnd w:id="239"/>
    </w:p>
    <w:tbl>
      <w:tblPr>
        <w:tblStyle w:val="56"/>
        <w:tblW w:w="8829"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82"/>
        <w:gridCol w:w="1741"/>
        <w:gridCol w:w="2519"/>
        <w:gridCol w:w="1218"/>
        <w:gridCol w:w="1253"/>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16" w:type="dxa"/>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cs="仿宋_GB2312"/>
                <w:b/>
                <w:bCs/>
                <w:kern w:val="0"/>
                <w:sz w:val="24"/>
                <w:lang w:val="en-US" w:eastAsia="zh-CN"/>
              </w:rPr>
              <w:t>序号</w:t>
            </w:r>
          </w:p>
        </w:tc>
        <w:tc>
          <w:tcPr>
            <w:tcW w:w="1282" w:type="dxa"/>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县（区）</w:t>
            </w:r>
          </w:p>
        </w:tc>
        <w:tc>
          <w:tcPr>
            <w:tcW w:w="1741" w:type="dxa"/>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农田灌区名称</w:t>
            </w:r>
          </w:p>
        </w:tc>
        <w:tc>
          <w:tcPr>
            <w:tcW w:w="2519" w:type="dxa"/>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点位名称</w:t>
            </w:r>
          </w:p>
        </w:tc>
        <w:tc>
          <w:tcPr>
            <w:tcW w:w="1218" w:type="dxa"/>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经度(°)</w:t>
            </w:r>
          </w:p>
        </w:tc>
        <w:tc>
          <w:tcPr>
            <w:tcW w:w="1253" w:type="dxa"/>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纬度(°)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16" w:type="dxa"/>
            <w:vAlign w:val="center"/>
          </w:tcPr>
          <w:p>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cs="仿宋_GB2312"/>
                <w:kern w:val="0"/>
                <w:sz w:val="24"/>
                <w:lang w:val="en-US" w:eastAsia="zh-CN"/>
              </w:rPr>
              <w:t>1</w:t>
            </w:r>
          </w:p>
        </w:tc>
        <w:tc>
          <w:tcPr>
            <w:tcW w:w="1282"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大洼区</w:t>
            </w:r>
          </w:p>
        </w:tc>
        <w:tc>
          <w:tcPr>
            <w:tcW w:w="1741"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大洼灌区</w:t>
            </w:r>
          </w:p>
        </w:tc>
        <w:tc>
          <w:tcPr>
            <w:tcW w:w="2519"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大辽河-南河沿排灌站</w:t>
            </w:r>
          </w:p>
        </w:tc>
        <w:tc>
          <w:tcPr>
            <w:tcW w:w="1218"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122.3125</w:t>
            </w:r>
          </w:p>
        </w:tc>
        <w:tc>
          <w:tcPr>
            <w:tcW w:w="1253" w:type="dxa"/>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40.9593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vMerge w:val="restart"/>
            <w:vAlign w:val="center"/>
          </w:tcPr>
          <w:p>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cs="仿宋_GB2312"/>
                <w:kern w:val="0"/>
                <w:sz w:val="24"/>
                <w:lang w:val="en-US" w:eastAsia="zh-CN"/>
              </w:rPr>
              <w:t>2</w:t>
            </w:r>
          </w:p>
        </w:tc>
        <w:tc>
          <w:tcPr>
            <w:tcW w:w="1282" w:type="dxa"/>
            <w:vMerge w:val="restart"/>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盘山县</w:t>
            </w:r>
          </w:p>
        </w:tc>
        <w:tc>
          <w:tcPr>
            <w:tcW w:w="1741" w:type="dxa"/>
            <w:vMerge w:val="restart"/>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盘山灌区</w:t>
            </w:r>
          </w:p>
        </w:tc>
        <w:tc>
          <w:tcPr>
            <w:tcW w:w="2519" w:type="dxa"/>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辽河-</w:t>
            </w:r>
            <w:r>
              <w:rPr>
                <w:rFonts w:hint="eastAsia" w:ascii="仿宋_GB2312" w:hAnsi="仿宋_GB2312" w:cs="仿宋_GB2312"/>
                <w:kern w:val="0"/>
                <w:sz w:val="24"/>
                <w:lang w:eastAsia="zh-CN"/>
              </w:rPr>
              <w:t>孙家排灌站</w:t>
            </w:r>
          </w:p>
        </w:tc>
        <w:tc>
          <w:tcPr>
            <w:tcW w:w="1218" w:type="dxa"/>
            <w:vAlign w:val="center"/>
          </w:tcPr>
          <w:p>
            <w:pPr>
              <w:widowControl/>
              <w:spacing w:line="240" w:lineRule="auto"/>
              <w:ind w:firstLine="0" w:firstLineChars="0"/>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122.2</w:t>
            </w:r>
            <w:r>
              <w:rPr>
                <w:rFonts w:hint="eastAsia" w:ascii="仿宋_GB2312" w:hAnsi="仿宋_GB2312" w:cs="仿宋_GB2312"/>
                <w:kern w:val="0"/>
                <w:sz w:val="24"/>
                <w:lang w:val="en-US" w:eastAsia="zh-CN"/>
              </w:rPr>
              <w:t>181</w:t>
            </w:r>
          </w:p>
        </w:tc>
        <w:tc>
          <w:tcPr>
            <w:tcW w:w="1253" w:type="dxa"/>
            <w:vAlign w:val="center"/>
          </w:tcPr>
          <w:p>
            <w:pPr>
              <w:widowControl/>
              <w:spacing w:line="240" w:lineRule="auto"/>
              <w:ind w:firstLine="0" w:firstLineChars="0"/>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41.</w:t>
            </w:r>
            <w:r>
              <w:rPr>
                <w:rFonts w:hint="eastAsia" w:ascii="仿宋_GB2312" w:hAnsi="仿宋_GB2312" w:cs="仿宋_GB2312"/>
                <w:kern w:val="0"/>
                <w:sz w:val="24"/>
                <w:lang w:val="en-US" w:eastAsia="zh-CN"/>
              </w:rPr>
              <w:t>1994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vMerge w:val="continue"/>
            <w:vAlign w:val="center"/>
          </w:tcPr>
          <w:p>
            <w:pPr>
              <w:widowControl/>
              <w:spacing w:line="240" w:lineRule="auto"/>
              <w:ind w:firstLine="0" w:firstLineChars="0"/>
              <w:jc w:val="left"/>
              <w:rPr>
                <w:rFonts w:hint="eastAsia" w:ascii="仿宋_GB2312" w:hAnsi="仿宋_GB2312" w:eastAsia="仿宋_GB2312" w:cs="仿宋_GB2312"/>
                <w:kern w:val="0"/>
                <w:sz w:val="24"/>
              </w:rPr>
            </w:pPr>
          </w:p>
        </w:tc>
        <w:tc>
          <w:tcPr>
            <w:tcW w:w="1282" w:type="dxa"/>
            <w:vMerge w:val="continue"/>
            <w:vAlign w:val="center"/>
          </w:tcPr>
          <w:p>
            <w:pPr>
              <w:widowControl/>
              <w:spacing w:line="240" w:lineRule="auto"/>
              <w:ind w:firstLine="0" w:firstLineChars="0"/>
              <w:jc w:val="center"/>
              <w:rPr>
                <w:rFonts w:hint="eastAsia" w:ascii="仿宋_GB2312" w:hAnsi="仿宋_GB2312" w:eastAsia="仿宋_GB2312" w:cs="仿宋_GB2312"/>
                <w:kern w:val="0"/>
                <w:sz w:val="24"/>
              </w:rPr>
            </w:pPr>
          </w:p>
        </w:tc>
        <w:tc>
          <w:tcPr>
            <w:tcW w:w="1741" w:type="dxa"/>
            <w:vMerge w:val="continue"/>
            <w:vAlign w:val="center"/>
          </w:tcPr>
          <w:p>
            <w:pPr>
              <w:widowControl/>
              <w:spacing w:line="240" w:lineRule="auto"/>
              <w:ind w:firstLine="0" w:firstLineChars="0"/>
              <w:jc w:val="center"/>
              <w:rPr>
                <w:rFonts w:hint="eastAsia" w:ascii="仿宋_GB2312" w:hAnsi="仿宋_GB2312" w:eastAsia="仿宋_GB2312" w:cs="仿宋_GB2312"/>
                <w:kern w:val="0"/>
                <w:sz w:val="24"/>
              </w:rPr>
            </w:pPr>
          </w:p>
        </w:tc>
        <w:tc>
          <w:tcPr>
            <w:tcW w:w="2519" w:type="dxa"/>
            <w:vAlign w:val="center"/>
          </w:tcPr>
          <w:p>
            <w:pPr>
              <w:widowControl/>
              <w:spacing w:line="240" w:lineRule="auto"/>
              <w:ind w:firstLine="0" w:firstLineChars="0"/>
              <w:jc w:val="center"/>
              <w:rPr>
                <w:rFonts w:hint="default" w:ascii="仿宋_GB2312" w:hAnsi="仿宋_GB2312" w:eastAsia="仿宋_GB2312" w:cs="仿宋_GB2312"/>
                <w:kern w:val="0"/>
                <w:sz w:val="24"/>
                <w:lang w:val="en-US" w:eastAsia="zh-CN"/>
              </w:rPr>
            </w:pPr>
            <w:r>
              <w:rPr>
                <w:rFonts w:hint="eastAsia" w:ascii="仿宋_GB2312" w:hAnsi="仿宋_GB2312" w:cs="仿宋_GB2312"/>
                <w:kern w:val="0"/>
                <w:sz w:val="24"/>
                <w:lang w:eastAsia="zh-CN"/>
              </w:rPr>
              <w:t>绕阳河</w:t>
            </w:r>
            <w:r>
              <w:rPr>
                <w:rFonts w:hint="eastAsia" w:ascii="仿宋_GB2312" w:hAnsi="仿宋_GB2312" w:cs="仿宋_GB2312"/>
                <w:kern w:val="0"/>
                <w:sz w:val="24"/>
                <w:lang w:val="en-US" w:eastAsia="zh-CN"/>
              </w:rPr>
              <w:t>-万金滩桥断面</w:t>
            </w:r>
          </w:p>
        </w:tc>
        <w:tc>
          <w:tcPr>
            <w:tcW w:w="1218" w:type="dxa"/>
            <w:vAlign w:val="center"/>
          </w:tcPr>
          <w:p>
            <w:pPr>
              <w:widowControl/>
              <w:spacing w:line="240" w:lineRule="auto"/>
              <w:ind w:firstLine="0" w:firstLineChars="0"/>
              <w:jc w:val="center"/>
              <w:rPr>
                <w:rFonts w:hint="default" w:ascii="仿宋_GB2312" w:hAnsi="仿宋_GB2312" w:eastAsia="仿宋_GB2312" w:cs="仿宋_GB2312"/>
                <w:kern w:val="0"/>
                <w:sz w:val="24"/>
                <w:lang w:val="en-US" w:eastAsia="zh-CN"/>
              </w:rPr>
            </w:pPr>
            <w:r>
              <w:rPr>
                <w:rFonts w:hint="eastAsia" w:ascii="仿宋_GB2312" w:hAnsi="仿宋_GB2312" w:cs="仿宋_GB2312"/>
                <w:kern w:val="0"/>
                <w:sz w:val="24"/>
                <w:lang w:val="en-US" w:eastAsia="zh-CN"/>
              </w:rPr>
              <w:t>121.8216</w:t>
            </w:r>
          </w:p>
        </w:tc>
        <w:tc>
          <w:tcPr>
            <w:tcW w:w="1253" w:type="dxa"/>
            <w:vAlign w:val="center"/>
          </w:tcPr>
          <w:p>
            <w:pPr>
              <w:widowControl/>
              <w:spacing w:line="240" w:lineRule="auto"/>
              <w:ind w:firstLine="0" w:firstLineChars="0"/>
              <w:jc w:val="center"/>
              <w:rPr>
                <w:rFonts w:hint="default" w:ascii="仿宋_GB2312" w:hAnsi="仿宋_GB2312" w:eastAsia="仿宋_GB2312" w:cs="仿宋_GB2312"/>
                <w:kern w:val="0"/>
                <w:sz w:val="24"/>
                <w:lang w:val="en-US" w:eastAsia="zh-CN"/>
              </w:rPr>
            </w:pPr>
            <w:r>
              <w:rPr>
                <w:rFonts w:hint="eastAsia" w:ascii="仿宋_GB2312" w:hAnsi="仿宋_GB2312" w:cs="仿宋_GB2312"/>
                <w:kern w:val="0"/>
                <w:sz w:val="24"/>
                <w:lang w:val="en-US" w:eastAsia="zh-CN"/>
              </w:rPr>
              <w:t>41.1028</w:t>
            </w:r>
          </w:p>
        </w:tc>
      </w:tr>
    </w:tbl>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2.监测项目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《农田灌溉水质标准》（GB 5084-2021）表1的基本控制项目16项。</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3.监测频次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在灌溉期监测2次，间隔时间不少于1个月。</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4.工作方式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农田灌溉水质监测为市级事权，市级财政保障经费，由市生态环境</w:t>
      </w:r>
      <w:r>
        <w:rPr>
          <w:rFonts w:hint="eastAsia" w:ascii="仿宋_GB2312" w:hAnsi="仿宋_GB2312" w:cs="仿宋_GB2312"/>
          <w:lang w:val="en-US" w:eastAsia="zh-CN"/>
        </w:rPr>
        <w:t>局</w:t>
      </w:r>
      <w:r>
        <w:rPr>
          <w:rFonts w:hint="eastAsia" w:ascii="仿宋_GB2312" w:hAnsi="仿宋_GB2312" w:eastAsia="仿宋_GB2312" w:cs="仿宋_GB2312"/>
        </w:rPr>
        <w:t>组织实施。可委托驻市分支机构组织市级以下监测机构开展监测，或委托社会生态环境监测机构开展监测。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责任主体：市生态环境局</w:t>
      </w:r>
      <w:r>
        <w:rPr>
          <w:rFonts w:hint="eastAsia" w:ascii="仿宋_GB2312" w:hAnsi="仿宋_GB2312" w:eastAsia="仿宋_GB2312" w:cs="仿宋_GB2312"/>
          <w:lang w:val="en-US" w:eastAsia="zh-CN"/>
        </w:rPr>
        <w:t>水科</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5.数据报送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市生态环境</w:t>
      </w:r>
      <w:r>
        <w:rPr>
          <w:rFonts w:hint="eastAsia" w:ascii="仿宋_GB2312" w:hAnsi="仿宋_GB2312" w:cs="仿宋_GB2312"/>
          <w:lang w:val="en-US" w:eastAsia="zh-CN"/>
        </w:rPr>
        <w:t>局</w:t>
      </w:r>
      <w:r>
        <w:rPr>
          <w:rFonts w:hint="eastAsia" w:ascii="仿宋_GB2312" w:hAnsi="仿宋_GB2312" w:eastAsia="仿宋_GB2312" w:cs="仿宋_GB2312"/>
        </w:rPr>
        <w:t>组织各监测单位上报数据，驻市分支机构审核，通过总站生态农村监测业务系统报送。6月30日、1</w:t>
      </w:r>
      <w:r>
        <w:rPr>
          <w:rFonts w:hint="eastAsia" w:ascii="仿宋_GB2312" w:hAnsi="仿宋_GB2312" w:eastAsia="仿宋_GB2312" w:cs="仿宋_GB2312"/>
          <w:lang w:val="en-US" w:eastAsia="zh-CN"/>
        </w:rPr>
        <w:t>2</w:t>
      </w:r>
      <w:r>
        <w:rPr>
          <w:rFonts w:hint="eastAsia" w:ascii="仿宋_GB2312" w:hAnsi="仿宋_GB2312" w:eastAsia="仿宋_GB2312" w:cs="仿宋_GB2312"/>
        </w:rPr>
        <w:t>月30日</w:t>
      </w:r>
      <w:r>
        <w:rPr>
          <w:rFonts w:hint="eastAsia" w:ascii="仿宋_GB2312" w:hAnsi="仿宋_GB2312" w:eastAsia="仿宋_GB2312" w:cs="仿宋_GB2312"/>
          <w:lang w:eastAsia="zh-CN"/>
        </w:rPr>
        <w:t>前</w:t>
      </w:r>
      <w:r>
        <w:rPr>
          <w:rFonts w:hint="eastAsia" w:ascii="仿宋_GB2312" w:hAnsi="仿宋_GB2312" w:eastAsia="仿宋_GB2312" w:cs="仿宋_GB2312"/>
        </w:rPr>
        <w:t>报送农田灌溉水的监测数据。202</w:t>
      </w:r>
      <w:r>
        <w:rPr>
          <w:rFonts w:hint="eastAsia" w:ascii="仿宋_GB2312" w:hAnsi="仿宋_GB2312" w:cs="仿宋_GB2312"/>
          <w:lang w:val="en-US" w:eastAsia="zh-CN"/>
        </w:rPr>
        <w:t>5</w:t>
      </w:r>
      <w:r>
        <w:rPr>
          <w:rFonts w:hint="eastAsia" w:ascii="仿宋_GB2312" w:hAnsi="仿宋_GB2312" w:eastAsia="仿宋_GB2312" w:cs="仿宋_GB2312"/>
        </w:rPr>
        <w:t>年1月31日前报送农田灌溉水年度质量监测报告。</w:t>
      </w:r>
    </w:p>
    <w:p>
      <w:pPr>
        <w:pStyle w:val="3"/>
        <w:keepNext/>
        <w:keepLines/>
        <w:pageBreakBefore w:val="0"/>
        <w:widowControl w:val="0"/>
        <w:numPr>
          <w:ilvl w:val="0"/>
          <w:numId w:val="0"/>
        </w:numPr>
        <w:tabs>
          <w:tab w:val="left" w:pos="888"/>
        </w:tabs>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lang w:val="en-US" w:eastAsia="zh-CN"/>
        </w:rPr>
      </w:pPr>
      <w:bookmarkStart w:id="240" w:name="_Toc24398"/>
      <w:bookmarkStart w:id="241" w:name="_Toc11828"/>
      <w:bookmarkStart w:id="242" w:name="_Toc20071"/>
      <w:bookmarkStart w:id="243" w:name="_Toc19054"/>
      <w:bookmarkStart w:id="244" w:name="_Toc93298295"/>
      <w:bookmarkStart w:id="245" w:name="_Toc3826"/>
      <w:bookmarkStart w:id="246" w:name="_Toc285"/>
      <w:bookmarkStart w:id="247" w:name="_Toc14067"/>
      <w:bookmarkStart w:id="248" w:name="_Toc20480"/>
      <w:bookmarkStart w:id="249" w:name="_Toc387148157"/>
      <w:bookmarkStart w:id="250" w:name="_Toc1373149581"/>
      <w:bookmarkStart w:id="251" w:name="_Toc31673"/>
      <w:bookmarkStart w:id="252" w:name="_Toc19096"/>
      <w:r>
        <w:rPr>
          <w:rFonts w:hint="eastAsia" w:ascii="楷体_GB2312" w:hAnsi="楷体_GB2312" w:eastAsia="楷体_GB2312" w:cs="楷体_GB2312"/>
          <w:b w:val="0"/>
          <w:lang w:val="en-US" w:eastAsia="zh-CN"/>
        </w:rPr>
        <w:t>（十七）农村生活污水处理设施出水水质自行监测和执法监测</w:t>
      </w:r>
      <w:bookmarkEnd w:id="240"/>
      <w:bookmarkEnd w:id="241"/>
      <w:bookmarkEnd w:id="242"/>
      <w:bookmarkEnd w:id="243"/>
      <w:bookmarkEnd w:id="244"/>
      <w:bookmarkEnd w:id="245"/>
      <w:bookmarkEnd w:id="246"/>
      <w:bookmarkEnd w:id="247"/>
      <w:bookmarkEnd w:id="248"/>
      <w:bookmarkEnd w:id="249"/>
      <w:bookmarkEnd w:id="250"/>
      <w:bookmarkEnd w:id="251"/>
      <w:bookmarkEnd w:id="252"/>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lang w:val="en-US" w:eastAsia="zh-CN"/>
        </w:rPr>
        <w:t>1.</w:t>
      </w:r>
      <w:r>
        <w:rPr>
          <w:rFonts w:hint="eastAsia" w:ascii="仿宋_GB2312" w:hAnsi="仿宋_GB2312" w:eastAsia="仿宋_GB2312" w:cs="仿宋_GB2312"/>
          <w:b/>
          <w:szCs w:val="30"/>
        </w:rPr>
        <w:t>监测范围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eastAsia="仿宋"/>
          <w:b/>
          <w:bCs/>
          <w:sz w:val="24"/>
          <w:highlight w:val="none"/>
        </w:rPr>
      </w:pPr>
      <w:r>
        <w:rPr>
          <w:rFonts w:hint="eastAsia" w:ascii="仿宋_GB2312" w:hAnsi="仿宋_GB2312" w:eastAsia="仿宋_GB2312" w:cs="仿宋_GB2312"/>
        </w:rPr>
        <w:t>日处理能力20吨及以上的农村生活污水处理设施</w:t>
      </w:r>
      <w:r>
        <w:rPr>
          <w:rFonts w:hint="eastAsia" w:ascii="仿宋_GB2312" w:hAnsi="仿宋_GB2312" w:cs="仿宋_GB2312"/>
          <w:lang w:eastAsia="zh-CN"/>
        </w:rPr>
        <w:t>（</w:t>
      </w:r>
      <w:r>
        <w:rPr>
          <w:rFonts w:hint="eastAsia" w:ascii="仿宋_GB2312" w:hAnsi="仿宋_GB2312" w:cs="仿宋_GB2312"/>
          <w:lang w:val="en-US" w:eastAsia="zh-CN"/>
        </w:rPr>
        <w:t>175个</w:t>
      </w:r>
      <w:r>
        <w:rPr>
          <w:rFonts w:hint="eastAsia" w:ascii="仿宋_GB2312" w:hAnsi="仿宋_GB2312" w:cs="仿宋_GB2312"/>
          <w:lang w:eastAsia="zh-CN"/>
        </w:rPr>
        <w:t>）</w:t>
      </w:r>
      <w:r>
        <w:rPr>
          <w:rFonts w:hint="eastAsia" w:ascii="仿宋_GB2312" w:hAnsi="仿宋_GB2312" w:eastAsia="仿宋_GB2312" w:cs="仿宋_GB2312"/>
          <w:lang w:val="en-US" w:eastAsia="zh-CN"/>
        </w:rPr>
        <w:t>和</w:t>
      </w:r>
      <w:r>
        <w:rPr>
          <w:rFonts w:hint="eastAsia" w:ascii="仿宋_GB2312" w:hAnsi="仿宋_GB2312" w:eastAsia="仿宋_GB2312" w:cs="仿宋_GB2312"/>
        </w:rPr>
        <w:t>日处理能力</w:t>
      </w:r>
      <w:r>
        <w:rPr>
          <w:rFonts w:hint="eastAsia" w:ascii="仿宋_GB2312" w:hAnsi="仿宋_GB2312" w:eastAsia="仿宋_GB2312" w:cs="仿宋_GB2312"/>
          <w:lang w:val="en-US" w:eastAsia="zh-CN"/>
        </w:rPr>
        <w:t>20吨以下</w:t>
      </w:r>
      <w:r>
        <w:rPr>
          <w:rFonts w:hint="eastAsia" w:ascii="仿宋_GB2312" w:hAnsi="仿宋_GB2312" w:cs="仿宋_GB2312"/>
          <w:lang w:val="en-US" w:eastAsia="zh-CN"/>
        </w:rPr>
        <w:t>的</w:t>
      </w:r>
      <w:r>
        <w:rPr>
          <w:rFonts w:hint="eastAsia" w:ascii="仿宋_GB2312" w:hAnsi="仿宋_GB2312" w:eastAsia="仿宋_GB2312" w:cs="仿宋_GB2312"/>
          <w:lang w:val="en-US" w:eastAsia="zh-CN"/>
        </w:rPr>
        <w:t>农村生活污水处理设施（</w:t>
      </w:r>
      <w:r>
        <w:rPr>
          <w:rFonts w:hint="eastAsia" w:ascii="仿宋_GB2312" w:hAnsi="仿宋_GB2312" w:cs="仿宋_GB2312"/>
          <w:lang w:val="en-US" w:eastAsia="zh-CN"/>
        </w:rPr>
        <w:t>169个，</w:t>
      </w:r>
      <w:r>
        <w:rPr>
          <w:rFonts w:hint="eastAsia" w:ascii="仿宋_GB2312" w:hAnsi="仿宋_GB2312" w:eastAsia="仿宋_GB2312" w:cs="仿宋_GB2312"/>
          <w:lang w:val="en-US" w:eastAsia="zh-CN"/>
        </w:rPr>
        <w:t>部分村</w:t>
      </w:r>
      <w:r>
        <w:rPr>
          <w:rFonts w:hint="eastAsia" w:ascii="仿宋_GB2312" w:hAnsi="仿宋_GB2312" w:cs="仿宋_GB2312"/>
          <w:lang w:val="en-US" w:eastAsia="zh-CN"/>
        </w:rPr>
        <w:t>级</w:t>
      </w:r>
      <w:r>
        <w:rPr>
          <w:rFonts w:hint="eastAsia" w:ascii="仿宋_GB2312" w:hAnsi="仿宋_GB2312" w:eastAsia="仿宋_GB2312" w:cs="仿宋_GB2312"/>
          <w:lang w:val="en-US" w:eastAsia="zh-CN"/>
        </w:rPr>
        <w:t>户用设施可抽测）</w:t>
      </w:r>
      <w:r>
        <w:rPr>
          <w:rFonts w:hint="eastAsia" w:ascii="仿宋_GB2312" w:hAnsi="仿宋_GB2312" w:eastAsia="仿宋_GB2312" w:cs="仿宋_GB2312"/>
        </w:rPr>
        <w:t>，名单见表5-</w:t>
      </w:r>
      <w:r>
        <w:rPr>
          <w:rFonts w:hint="eastAsia" w:ascii="仿宋_GB2312" w:hAnsi="仿宋_GB2312" w:eastAsia="仿宋_GB2312" w:cs="仿宋_GB2312"/>
          <w:lang w:val="en-US" w:eastAsia="zh-CN"/>
        </w:rPr>
        <w:t>4和5-5。</w:t>
      </w:r>
    </w:p>
    <w:p>
      <w:pPr>
        <w:keepNext/>
        <w:keepLines/>
        <w:adjustRightInd w:val="0"/>
        <w:snapToGrid w:val="0"/>
        <w:spacing w:before="120" w:beforeLines="50" w:after="120" w:afterLines="50" w:line="240" w:lineRule="auto"/>
        <w:ind w:firstLine="0" w:firstLineChars="0"/>
        <w:jc w:val="center"/>
        <w:outlineLvl w:val="9"/>
        <w:rPr>
          <w:rFonts w:hint="eastAsia" w:ascii="仿宋_GB2312" w:hAnsi="仿宋_GB2312" w:eastAsia="仿宋_GB2312" w:cs="仿宋_GB2312"/>
          <w:b/>
          <w:bCs/>
          <w:sz w:val="24"/>
          <w:highlight w:val="none"/>
          <w:lang w:eastAsia="zh-CN"/>
        </w:rPr>
      </w:pPr>
      <w:bookmarkStart w:id="253" w:name="_Toc19640"/>
      <w:r>
        <w:rPr>
          <w:rFonts w:hint="eastAsia" w:ascii="仿宋_GB2312" w:hAnsi="仿宋_GB2312" w:eastAsia="仿宋_GB2312" w:cs="仿宋_GB2312"/>
          <w:b/>
          <w:bCs/>
          <w:sz w:val="24"/>
          <w:highlight w:val="none"/>
        </w:rPr>
        <w:t>表5-</w:t>
      </w:r>
      <w:r>
        <w:rPr>
          <w:rFonts w:hint="eastAsia" w:ascii="仿宋_GB2312" w:hAnsi="仿宋_GB2312" w:eastAsia="仿宋_GB2312" w:cs="仿宋_GB2312"/>
          <w:b/>
          <w:bCs/>
          <w:sz w:val="24"/>
          <w:highlight w:val="none"/>
          <w:lang w:val="en-US" w:eastAsia="zh-CN"/>
        </w:rPr>
        <w:t>4</w:t>
      </w:r>
      <w:r>
        <w:rPr>
          <w:rFonts w:hint="eastAsia" w:ascii="仿宋_GB2312" w:hAnsi="仿宋_GB2312" w:eastAsia="仿宋_GB2312" w:cs="仿宋_GB2312"/>
          <w:b/>
          <w:bCs/>
          <w:sz w:val="24"/>
          <w:highlight w:val="none"/>
        </w:rPr>
        <w:t xml:space="preserve">  </w:t>
      </w:r>
      <w:r>
        <w:rPr>
          <w:rFonts w:hint="eastAsia" w:ascii="仿宋_GB2312" w:hAnsi="仿宋_GB2312" w:cs="仿宋_GB2312"/>
          <w:b/>
          <w:bCs/>
          <w:sz w:val="24"/>
          <w:highlight w:val="none"/>
          <w:lang w:eastAsia="zh-CN"/>
        </w:rPr>
        <w:t>日处理能力</w:t>
      </w:r>
      <w:r>
        <w:rPr>
          <w:rFonts w:hint="eastAsia" w:ascii="仿宋_GB2312" w:hAnsi="仿宋_GB2312" w:eastAsia="仿宋_GB2312" w:cs="仿宋_GB2312"/>
          <w:b/>
          <w:bCs/>
          <w:sz w:val="24"/>
          <w:highlight w:val="none"/>
          <w:lang w:val="en-US" w:eastAsia="zh-CN"/>
        </w:rPr>
        <w:t>20吨及以上</w:t>
      </w:r>
      <w:r>
        <w:rPr>
          <w:rFonts w:hint="eastAsia" w:ascii="仿宋_GB2312" w:hAnsi="仿宋_GB2312" w:eastAsia="仿宋_GB2312" w:cs="仿宋_GB2312"/>
          <w:b/>
          <w:bCs/>
          <w:sz w:val="24"/>
          <w:highlight w:val="none"/>
        </w:rPr>
        <w:t>农村</w:t>
      </w:r>
      <w:r>
        <w:rPr>
          <w:rFonts w:hint="eastAsia" w:ascii="仿宋_GB2312" w:hAnsi="仿宋_GB2312" w:cs="仿宋_GB2312"/>
          <w:b/>
          <w:bCs/>
          <w:sz w:val="24"/>
          <w:highlight w:val="none"/>
          <w:lang w:eastAsia="zh-CN"/>
        </w:rPr>
        <w:t>生活</w:t>
      </w:r>
      <w:r>
        <w:rPr>
          <w:rFonts w:hint="eastAsia" w:ascii="仿宋_GB2312" w:hAnsi="仿宋_GB2312" w:eastAsia="仿宋_GB2312" w:cs="仿宋_GB2312"/>
          <w:b/>
          <w:bCs/>
          <w:sz w:val="24"/>
          <w:highlight w:val="none"/>
        </w:rPr>
        <w:t>污水处理设施监测名单</w:t>
      </w:r>
      <w:bookmarkEnd w:id="253"/>
    </w:p>
    <w:tbl>
      <w:tblPr>
        <w:tblStyle w:val="57"/>
        <w:tblW w:w="877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16"/>
        <w:gridCol w:w="1245"/>
        <w:gridCol w:w="1200"/>
        <w:gridCol w:w="1200"/>
        <w:gridCol w:w="1095"/>
        <w:gridCol w:w="207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序号</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县（区）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镇</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（街道）</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村庄名称</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经度（°）</w:t>
            </w: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纬度（°）</w:t>
            </w:r>
          </w:p>
        </w:tc>
        <w:tc>
          <w:tcPr>
            <w:tcW w:w="207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名称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1</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兴隆台区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兴盛街道</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上房村</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122.0046</w:t>
            </w: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41.0931</w:t>
            </w:r>
          </w:p>
        </w:tc>
        <w:tc>
          <w:tcPr>
            <w:tcW w:w="207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上房村污水处理设施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兴隆台区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惠宾街道</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大岗子村</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122.1556</w:t>
            </w: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41.1548</w:t>
            </w:r>
          </w:p>
        </w:tc>
        <w:tc>
          <w:tcPr>
            <w:tcW w:w="207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大岗子村1#（大岗子村污水处理设施）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兴隆台区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惠宾街道</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大岗子村</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122.1714</w:t>
            </w: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41.1449</w:t>
            </w:r>
          </w:p>
        </w:tc>
        <w:tc>
          <w:tcPr>
            <w:tcW w:w="207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大岗子村2#（大岗子村王家污水处理设施）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兴隆台区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惠宾街道</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大岗子村</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122.1856</w:t>
            </w: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41.1412</w:t>
            </w:r>
          </w:p>
        </w:tc>
        <w:tc>
          <w:tcPr>
            <w:tcW w:w="207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大岗子村3#（大岗子村王家污水处理设施）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兴隆台区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惠宾街道</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大岗子村</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122.1790</w:t>
            </w: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41.1312</w:t>
            </w:r>
          </w:p>
        </w:tc>
        <w:tc>
          <w:tcPr>
            <w:tcW w:w="207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大岗子村4#（大岗子村西大屯污水处理设施）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兴隆台区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惠宾街道</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胡家村</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122.1535</w:t>
            </w: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41.1120</w:t>
            </w:r>
          </w:p>
        </w:tc>
        <w:tc>
          <w:tcPr>
            <w:tcW w:w="207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胡家村1#（李家屯污水处理设施）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兴隆台区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惠宾街道</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胡家村</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122.1540</w:t>
            </w: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41.1078</w:t>
            </w:r>
          </w:p>
        </w:tc>
        <w:tc>
          <w:tcPr>
            <w:tcW w:w="207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胡家村2#（陈家屯污水处理设施）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兴隆台区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惠宾街道</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胡家村</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122.1425</w:t>
            </w: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41.1059</w:t>
            </w:r>
          </w:p>
        </w:tc>
        <w:tc>
          <w:tcPr>
            <w:tcW w:w="207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胡家村3#（贺家屯污水处理设施）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双台子区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统一镇</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光正台村</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122.1107</w:t>
            </w: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41.2169</w:t>
            </w:r>
          </w:p>
        </w:tc>
        <w:tc>
          <w:tcPr>
            <w:tcW w:w="207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光正台村4#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双台子区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统一镇</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光正台村</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122.1065</w:t>
            </w: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41.214</w:t>
            </w:r>
          </w:p>
        </w:tc>
        <w:tc>
          <w:tcPr>
            <w:tcW w:w="207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光正台村5#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平安镇</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平房村</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122.137</w:t>
            </w: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40.873</w:t>
            </w:r>
          </w:p>
        </w:tc>
        <w:tc>
          <w:tcPr>
            <w:tcW w:w="207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平房村小型污水处理设施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平安镇</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大亮村</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122.216</w:t>
            </w: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40.895</w:t>
            </w:r>
          </w:p>
        </w:tc>
        <w:tc>
          <w:tcPr>
            <w:tcW w:w="207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大亮村小型污水处理设施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13</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平安镇</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小房村</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122.158</w:t>
            </w: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40.931</w:t>
            </w:r>
          </w:p>
        </w:tc>
        <w:tc>
          <w:tcPr>
            <w:tcW w:w="207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小房村小型污水处理设施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14</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平安镇</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新鑫村</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122.1648</w:t>
            </w: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40.9191</w:t>
            </w:r>
          </w:p>
        </w:tc>
        <w:tc>
          <w:tcPr>
            <w:tcW w:w="207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新鑫村污水处理设施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15</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西安镇</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刘家村</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122.193</w:t>
            </w: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40.931</w:t>
            </w:r>
          </w:p>
        </w:tc>
        <w:tc>
          <w:tcPr>
            <w:tcW w:w="207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刘家村小型污水处理设施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16</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西安镇</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桑林子村</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122.2165</w:t>
            </w: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40.9302</w:t>
            </w:r>
          </w:p>
        </w:tc>
        <w:tc>
          <w:tcPr>
            <w:tcW w:w="207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桑林子村小型污水处理设施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17</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西安镇</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韩家村</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122.2198</w:t>
            </w: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40.9573</w:t>
            </w:r>
          </w:p>
        </w:tc>
        <w:tc>
          <w:tcPr>
            <w:tcW w:w="207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韩家村1#（粮窝小型污水处理设施）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18</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西安镇</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韩家村</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122.2188</w:t>
            </w: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40.9478</w:t>
            </w:r>
          </w:p>
        </w:tc>
        <w:tc>
          <w:tcPr>
            <w:tcW w:w="207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韩家村2#（七家子小型污水处理设施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19</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西安镇</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韩家村</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122.2198</w:t>
            </w: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40.9573</w:t>
            </w:r>
          </w:p>
        </w:tc>
        <w:tc>
          <w:tcPr>
            <w:tcW w:w="207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韩家村3#（韩家屯小型污水处理设施)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20</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西安镇</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小洼村</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122.2591</w:t>
            </w: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40.9500</w:t>
            </w:r>
          </w:p>
        </w:tc>
        <w:tc>
          <w:tcPr>
            <w:tcW w:w="207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小洼村1#（南小洼屯污水处理设施）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21</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西安镇</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小洼村</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122.2658</w:t>
            </w: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40.9444</w:t>
            </w:r>
          </w:p>
        </w:tc>
        <w:tc>
          <w:tcPr>
            <w:tcW w:w="207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小洼村2#（南大洼屯污水处理设施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22</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西安镇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小洼村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122.2630</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40.9565</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小洼村3#（北小洼屯污水处理设施）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23</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西安镇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洼边子村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122.2704</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40.9339</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洼边子村污水处理设施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24</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东风镇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驾掌寺村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122.2737</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40.9841</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驾掌寺村1#（牛圈子五组小型污水处理设施）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25</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东风镇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驾掌寺村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122.2674</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40.9681</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驾掌寺村2#（三组小型污水处理设施）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26</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东风镇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大岗子村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122.307</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40.95</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大岗子村小型污水处理设施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27</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东风镇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黄金带村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122.2719</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41.0012</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黄金带村污水处理设施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28</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东风镇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122.2123</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41.0131</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马家村污水处理设施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29</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新开镇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西五村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122.2392</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41.0843</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西五村1#（于家赵家小型污水处理设施）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30</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新开镇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西五村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122.25</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41.079</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西五村2#（刘家街小型污水处理设施）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31</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新开镇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八家村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122.261</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41.051</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八家村1#（东八家、西八家小型污水处理设施）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32</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新开镇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SA"/>
              </w:rPr>
              <w:t>八家村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122.2513</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41.0593</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八家村2#（马甲铺小型污水处理设施）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33</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新开镇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史家村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122.2934</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41.0982</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史家村1#（前史家屯污水处理设施）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34</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新开镇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史家村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122.2939</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41.1090</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史家村2#（后史家屯污水处理设施）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35</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新兴镇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于岗子村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121.944</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41.12</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新兴镇于岗子村小型污水处理设施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36</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新兴镇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两棵树村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121.985</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41.101</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新兴镇两棵树小型污水处理设施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37</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新兴镇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王家村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122.0001</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41.0998</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王家村污水处理设施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38</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新兴镇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育新村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121.9236</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41.0844</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育新村污水处理设施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39</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清水镇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大清村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121.9878</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41.0357</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大清村小型污水处理设施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40</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清水镇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小清村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121.9788</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41.0209</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小清村小型污水处理设施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41</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清水镇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锦红村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122.011</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41.008</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锦红村小型污水处理设施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42</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清水镇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清河村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121.9398</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41.0585</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清河村小型污水处理设施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43</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清水镇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五岔村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121.9529</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41.0052</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五岔村小型污水处理设施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44</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清水镇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永红村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122.006</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41.0276</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永红村1#（永红屯小型污水处）理设施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45</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2"/>
                <w:sz w:val="24"/>
                <w:szCs w:val="24"/>
                <w:u w:val="none"/>
                <w:lang w:val="en-US" w:eastAsia="zh-CN" w:bidi="ar-SA"/>
              </w:rPr>
              <w:t>清水镇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永红村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122.0046</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41.0347</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永红村2#(园林屯小型污水处理设施)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46</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唐家镇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四十里村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122.1537</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41.0352</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四十里村1#（四十里村东街小型污水处理设施）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47</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唐家镇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四十里村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122.1509</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41.0354</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四十里村2#四十里村中街小型污水处理设施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48</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唐家镇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四十里村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122.1439</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41.0381</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四十里村3#（四十里村西北街小型污水处理设施）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49</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唐家镇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新建社区</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122.146</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41.03</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新建社区小型污水处理设施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50</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唐家镇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白家村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122.1206</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40.9521</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白家村1#（白家村污水处理设施）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51</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唐家镇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白家村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122.1206</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40.9521</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白家村2#（北洼屯污水处理设施）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52</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唐家镇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朱家村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122.1295</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40.9547</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朱家村污水处理设施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53</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唐家镇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唐家村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122.1755</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40.9929</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唐家村污水处理设施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54</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榆树街道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尤家分场</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122.0735</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40.8800</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尤家小型污水处理设施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55</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榆树街道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新立社区</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122.019</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40.879</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新立村新立屯小型污水处理设施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56</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榆树街道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青联社区</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122.034</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40.858</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青联社区1#（青一屯小型污水处理设施）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57</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榆树街道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青联社区</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122.035</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40.858</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青联社区2#（青二屯小型污水处理设施）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58</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榆树街道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青联社区</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122.013</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40.85</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青联社区3#（青三屯小型污水处理设施）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59</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榆树街道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罗家村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122.055</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40.926</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罗家村小型污水处理设施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60</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榆树街道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兴旺社区</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122.058</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40.873</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兴旺社区小型污水处理设施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61</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榆树街道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曾家村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122.0872</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40.9155</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曾家村污水处理设施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62</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王家街道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兴海村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121.939</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40.903</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兴海村小型污水处理设施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63</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王家街道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西海村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122.0203</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40.9452</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西海村小型污水处理设施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64</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王家街道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曙光村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122.0378</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40.9493</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曙光村1#（曙光屯污水处理设施）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65</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王家街道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曙光村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122.0541</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40.9511</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曙光村2#（新立屯污水处理设施）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66</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王家街道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石庙子村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122.0907</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40.9526</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石庙子村污水处理设施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67</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田家街道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马圈子社区</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122.0189</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41.0869</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马圈子社区小型污水处理设施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68</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田家街道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三十里村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122.116</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41.082</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三十里村委会小型污水处理设施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69</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田家街道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关家村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122.125</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41.022</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关家村委会邱家屯小型污水处理设施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70</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田家街道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关家村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122.101</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41.04</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关家村委会关家小型污水处理设施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71</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田家街道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顾家村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122.1055</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41.0615</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顾家村小型污水处理设施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72</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田家街道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毛家村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121.9993</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41.0829</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毛家村污水处理设施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73</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田家街道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高家村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122.0596</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41.0632</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高家村1#污水处理设施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74</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田家街道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何家村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122.1175</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41.0706</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何家村污水处理设施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75</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田家街道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大堡子村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122.0366</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41.0462</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大堡子村小型污水处理设施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76</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大洼街道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小堡子村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122.0351</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41.0279</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小堡子村污水处理设施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77</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新立镇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122.2211</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41.1082</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杨家村1#（北窦家堡屯污水处理设施）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78</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新立镇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122.2266</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41.0949</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杨家村2#（曹家店屯污水处理设施)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79</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新立镇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122.2347</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41.1110</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杨家村3#（杨家店屯污水处理设施)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80</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新立镇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云家村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122.1980</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41.0875</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云家村污水处理设施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81</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新立镇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史家村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122.1699</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41.1222</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史家村1#（里石屯、外石屯小型污水处理设施）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82</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新立镇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史家村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122.1899</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41.1343</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史家村2#（南大屯小型污水处理设施）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83</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新立镇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苏家村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122.216</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41.138</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苏家村1#（唐林小型污水处理设施）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84</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新立镇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苏家村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122.216</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41.122</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苏家村2#（北大小型污水处理设施）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85</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新立镇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苏家村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122.217</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41.124</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苏家村3#（苏家小型污水处理设施）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86</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新立镇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122.194</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41.054</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张家村1#（张家屯小型污水处理设施）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87</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新立镇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122.208</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41.071</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张家村2#（刁家屯小型污水处理设施）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88</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田庄台镇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吉家村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122.1202</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40.8833</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吉家村污水处理设施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89</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田庄台镇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高家村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122.1197</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40.8655</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高家村污水处理设施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90</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田庄台镇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122.1034</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40.8566</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新村污水处理设施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91</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田庄台镇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庞家村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122.1057</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40.9064</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庞家村污水处理设施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92</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田庄台镇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中央堡村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122.0977</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40.8989</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中央堡村污水处理设施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93</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坝墙子镇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马架子村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122.2819</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41.1560</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马架子村1#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94</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坝墙子镇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马架子村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122.3075</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41.1786</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马架子村2#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95</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坝墙子镇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马架子村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122.3046</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41.1518</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马架子村3#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96</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坝墙子镇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马架子村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122.2960</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41.1525</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马架子村4#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97</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坝墙子镇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姜家村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122.2550</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41.1596</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姜家村1#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98</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坝墙子镇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姜家村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122.2546</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41.1537</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姜家村2#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99</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坝墙子镇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八里村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122.2273</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41.1628</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八里村1#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100</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坝墙子镇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八里村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122.2376</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41.1542</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八里村2#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101</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坝墙子镇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八里村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122.2380</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41.1380</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八里村3#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102</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坝墙子镇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八里村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122.2234</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41.1542</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八里村4#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103</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坝墙子镇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八里村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122.2276</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41.1616</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八里村5#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104</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四家子村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122.1304</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41.2356</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四家子村1#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105</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四家子村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122.1501</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41.2380</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四家子村2#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106</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四家子村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122.1437</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41.2378</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四家子村3#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107</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四家子村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122.1627</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41.2449</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四家子村4#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108</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四家子村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122.1680</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41.2463</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四家子村5#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109</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青沙村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122.2042</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41.2612</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青沙村1#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110</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青沙村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122.2098</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41.2608</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青沙村2#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111</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朝鲜族村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122.1996</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41.2520</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朝鲜族村站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112</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郎家村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122.1447</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41.2624</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郎家村1#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113</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郎家村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122.1486</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41.2577</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郎家村2#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114</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园林村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122.1775</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41.2705</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园林村1#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115</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园林村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122.1748</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41.2727</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园林村2#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116</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122.1630</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41.2285</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陈家村站（村委会东北角）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117</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得胜街道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得胜村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122.1452</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41.3638</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得胜村1#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118</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得胜街道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得胜村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122.1514</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41.3645</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得胜村2#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119</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得胜街道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得胜村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122.1531</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41.3692</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得胜村3#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120</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得胜街道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大荒村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122.1109</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41.3658</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大荒村1#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121</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得胜街道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大荒村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122.1150</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41.3654</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大荒村2#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122</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得胜街道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大荒村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122.1150</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41.3654</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大荒村3#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123</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得胜街道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大仓村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122.1521</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41.0216</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大仓站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124</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得胜街道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九屯村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122.1150</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41.3654</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九屯站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125</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得胜街道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三道村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122.1203</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41.3307</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三道村站（屯里）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126</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高升街道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南关村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122.2086</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41.3352</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南关村站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127</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古城子镇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七台子村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122.3988</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41.0445</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七台子站（胜利屯）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128</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古城子镇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岗皮岭村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122.3790</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41.0108</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岗皮岭村1#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129</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古城子镇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岗皮岭村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122.3782</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41.0109</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岗皮岭村2#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130</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古城子镇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122.3202</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41.0358</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李家村站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131</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白家村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121.9071</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41.3004</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白家村1#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132</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白家村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121.9118</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41.2995</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白家村2#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133</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二夹村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121.9150</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41.3025</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二夹村1#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134</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二夹村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121.9291</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41.2892</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二夹村2#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135</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梁家村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121.9188</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41.3189</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梁家村1#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136</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梁家村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121.9216</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41.3176</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梁家村2#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137</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梁家村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121.9208</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41.3149</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梁家村3#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138</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田家村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121.9884</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41.2967</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田家村1#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139</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田家村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121.0045</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41.3101</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田家村2#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140</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红岩村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121.9917</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41.3660</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红岩村站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141</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121.9642</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41.3155</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张家村站（村部西北侧）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142</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塘坊村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121.9457</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41.3102</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塘坊村站（村部北侧）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143</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曹家村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122.0033</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41.3308</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曹家村站（村部西侧）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144</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甜水镇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二创业村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121.8033</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41.3309</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二创业村站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145</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甜水镇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南锅村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121.8317</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41.2965</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南锅村1#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146</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甜水镇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南锅村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121.8195</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41.2926</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南锅村2#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147</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甜水镇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九间村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121.8434</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41.3452</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九间村1#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148</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甜水镇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九间村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121.8433</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41.3099</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九间村2#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149</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甜水镇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新立村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121.8546</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41.3354</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新立村1#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150</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甜水镇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新立村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121.8418</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41.3452</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新立村2#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151</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沙岭镇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四合村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122.3448</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41.1442</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四合村1#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152</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沙岭镇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四合村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122.3460</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41.1435</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四合村2#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153</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沙岭镇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四合村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122.3413</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41.1520</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四合村3#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154</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沙岭镇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四合村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122.3483</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41.1514</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四合村4#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155</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沙岭镇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三河村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122.3652</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41.1471</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三河站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156</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沙岭镇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西拉拉村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122.3160</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41.0998</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西拉拉站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157</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沙岭镇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122.3565</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41.1285</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陈家村1#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158</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沙岭镇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122.3619</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41.1286</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陈家村2#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159</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太平街道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常家村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122.0132</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41.2804</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常家村1#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160</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太平街道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常家村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122.0351</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41.2789</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常家村2#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161</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太平街道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常家村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122.0354</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41.2790</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常家村3#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162</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太平街道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新村村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122.0766</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41.3180</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新村村1#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163</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太平街道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新村村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122.0587</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41.3208</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新村村2#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164</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太平街道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新村村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122.0643</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41.3187</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新村村3#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165</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太平街道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122.0387</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41.2943</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166</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太平街道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122.0243</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41.2896</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167</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太平街道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122.0466</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41.3028</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168</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太平街道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122.0588</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41.3163</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169</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吴家镇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兴安村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122.1917</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41.1959</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兴安村1#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170</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吴家镇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兴安村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122.1982</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41.1802</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兴安村2#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171</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吴家镇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兴安村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122.1858</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41.1899</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兴安村3#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172</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吴家镇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西三家子村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122.2264</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41.1935</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西三家子村1#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173</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吴家镇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西三家子村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122.2412</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41.1926</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西三家子村2#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174</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羊圈子镇</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才屯村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121.5903</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41.2117</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才屯村站（后才屯西侧）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175</w:t>
            </w:r>
          </w:p>
        </w:tc>
        <w:tc>
          <w:tcPr>
            <w:tcW w:w="12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东郭街道</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宴屯村</w:t>
            </w:r>
          </w:p>
        </w:tc>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121.6426</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41.1775</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宴屯村站（富乐村西南侧）</w:t>
            </w:r>
          </w:p>
        </w:tc>
      </w:tr>
    </w:tbl>
    <w:p>
      <w:pPr>
        <w:keepNext/>
        <w:keepLines/>
        <w:adjustRightInd w:val="0"/>
        <w:snapToGrid w:val="0"/>
        <w:spacing w:before="120" w:beforeLines="50" w:after="120" w:afterLines="50" w:line="240" w:lineRule="auto"/>
        <w:ind w:firstLine="0" w:firstLineChars="0"/>
        <w:jc w:val="center"/>
        <w:outlineLvl w:val="9"/>
        <w:rPr>
          <w:rFonts w:hint="eastAsia" w:ascii="仿宋_GB2312" w:hAnsi="仿宋_GB2312" w:eastAsia="仿宋_GB2312" w:cs="仿宋_GB2312"/>
          <w:b/>
          <w:bCs/>
          <w:sz w:val="24"/>
          <w:highlight w:val="none"/>
          <w:lang w:eastAsia="zh-CN"/>
        </w:rPr>
      </w:pPr>
      <w:bookmarkStart w:id="254" w:name="_Toc22429"/>
    </w:p>
    <w:p>
      <w:pPr>
        <w:keepNext/>
        <w:keepLines/>
        <w:adjustRightInd w:val="0"/>
        <w:snapToGrid w:val="0"/>
        <w:spacing w:before="120" w:beforeLines="50" w:after="120" w:afterLines="50" w:line="240" w:lineRule="auto"/>
        <w:ind w:firstLine="0" w:firstLineChars="0"/>
        <w:jc w:val="center"/>
        <w:outlineLvl w:val="9"/>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sz w:val="24"/>
          <w:highlight w:val="none"/>
          <w:lang w:eastAsia="zh-CN"/>
        </w:rPr>
        <w:t>表</w:t>
      </w:r>
      <w:r>
        <w:rPr>
          <w:rFonts w:hint="eastAsia" w:ascii="仿宋_GB2312" w:hAnsi="仿宋_GB2312" w:eastAsia="仿宋_GB2312" w:cs="仿宋_GB2312"/>
          <w:b/>
          <w:bCs/>
          <w:sz w:val="24"/>
          <w:highlight w:val="none"/>
          <w:lang w:val="en-US" w:eastAsia="zh-CN"/>
        </w:rPr>
        <w:t xml:space="preserve">5-5  </w:t>
      </w:r>
      <w:r>
        <w:rPr>
          <w:rFonts w:hint="eastAsia" w:ascii="仿宋_GB2312" w:hAnsi="仿宋_GB2312" w:cs="仿宋_GB2312"/>
          <w:b/>
          <w:bCs/>
          <w:sz w:val="24"/>
          <w:highlight w:val="none"/>
          <w:lang w:val="en-US" w:eastAsia="zh-CN"/>
        </w:rPr>
        <w:t>日处理能力</w:t>
      </w:r>
      <w:r>
        <w:rPr>
          <w:rFonts w:hint="eastAsia" w:ascii="仿宋_GB2312" w:hAnsi="仿宋_GB2312" w:eastAsia="仿宋_GB2312" w:cs="仿宋_GB2312"/>
          <w:b/>
          <w:bCs/>
          <w:sz w:val="24"/>
          <w:highlight w:val="none"/>
          <w:lang w:val="en-US" w:eastAsia="zh-CN"/>
        </w:rPr>
        <w:t>20吨以下</w:t>
      </w:r>
      <w:r>
        <w:rPr>
          <w:rFonts w:hint="eastAsia" w:ascii="仿宋_GB2312" w:hAnsi="仿宋_GB2312" w:eastAsia="仿宋_GB2312" w:cs="仿宋_GB2312"/>
          <w:b/>
          <w:bCs/>
          <w:sz w:val="24"/>
          <w:highlight w:val="none"/>
        </w:rPr>
        <w:t>农村污水处理设施监测名单</w:t>
      </w:r>
      <w:bookmarkEnd w:id="254"/>
    </w:p>
    <w:tbl>
      <w:tblPr>
        <w:tblStyle w:val="57"/>
        <w:tblW w:w="899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82"/>
        <w:gridCol w:w="1838"/>
        <w:gridCol w:w="1500"/>
        <w:gridCol w:w="2340"/>
        <w:gridCol w:w="141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序号</w:t>
            </w:r>
          </w:p>
        </w:tc>
        <w:tc>
          <w:tcPr>
            <w:tcW w:w="1182"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县（区）</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村庄名称</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设施类型</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设施处理规模</w:t>
            </w:r>
          </w:p>
          <w:p>
            <w:pPr>
              <w:widowControl/>
              <w:adjustRightInd w:val="0"/>
              <w:snapToGrid w:val="0"/>
              <w:spacing w:line="240" w:lineRule="auto"/>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（处理能力×个数）</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1</w:t>
            </w:r>
          </w:p>
        </w:tc>
        <w:tc>
          <w:tcPr>
            <w:tcW w:w="1182"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兴隆台区</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惠宾街道胡家村</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10×1</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w:t>
            </w:r>
          </w:p>
        </w:tc>
        <w:tc>
          <w:tcPr>
            <w:tcW w:w="1182"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双台子区</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陆家镇任家村</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分散+户用</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1×1，2×2，3×2，6×8，10×4</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可抽测5个设施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w:t>
            </w:r>
          </w:p>
        </w:tc>
        <w:tc>
          <w:tcPr>
            <w:tcW w:w="1182"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双台子区</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统一镇光正台村</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分散+户用</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5×1，12×1，16×1，13×2</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可抽测5个设施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w:t>
            </w:r>
          </w:p>
        </w:tc>
        <w:tc>
          <w:tcPr>
            <w:tcW w:w="1182"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石新镇石山村</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10×1</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w:t>
            </w:r>
          </w:p>
        </w:tc>
        <w:tc>
          <w:tcPr>
            <w:tcW w:w="1182"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东风镇驾掌寺村</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10×2</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每个设施均需监测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w:t>
            </w:r>
          </w:p>
        </w:tc>
        <w:tc>
          <w:tcPr>
            <w:tcW w:w="1182"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东风镇马家村</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10×4</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每个设施均需监测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w:t>
            </w:r>
          </w:p>
        </w:tc>
        <w:tc>
          <w:tcPr>
            <w:tcW w:w="1182"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东风镇河沿村</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分散+户用</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1×26，2×2，4×1，6×1</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可抽测5个设施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w:t>
            </w:r>
          </w:p>
        </w:tc>
        <w:tc>
          <w:tcPr>
            <w:tcW w:w="1182" w:type="dxa"/>
            <w:shd w:val="clear" w:color="auto" w:fill="auto"/>
            <w:vAlign w:val="center"/>
          </w:tcPr>
          <w:p>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西安镇八家村</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分散+户用</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1×18，2×11，3×1</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可抽测5个设施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w:t>
            </w:r>
          </w:p>
        </w:tc>
        <w:tc>
          <w:tcPr>
            <w:tcW w:w="1182" w:type="dxa"/>
            <w:shd w:val="clear" w:color="auto" w:fill="auto"/>
            <w:vAlign w:val="center"/>
          </w:tcPr>
          <w:p>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新开镇西五村</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10×3</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每个设施均需监测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w:t>
            </w:r>
          </w:p>
        </w:tc>
        <w:tc>
          <w:tcPr>
            <w:tcW w:w="1182" w:type="dxa"/>
            <w:shd w:val="clear" w:color="auto" w:fill="auto"/>
            <w:vAlign w:val="center"/>
          </w:tcPr>
          <w:p>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新开镇曲家村</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分散+户用</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1×26，2×2，6×1</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可抽测5个设施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w:t>
            </w:r>
          </w:p>
        </w:tc>
        <w:tc>
          <w:tcPr>
            <w:tcW w:w="1182" w:type="dxa"/>
            <w:shd w:val="clear" w:color="auto" w:fill="auto"/>
            <w:vAlign w:val="center"/>
          </w:tcPr>
          <w:p>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新立镇张家村</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10×4</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每个设施均需监测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w:t>
            </w:r>
          </w:p>
        </w:tc>
        <w:tc>
          <w:tcPr>
            <w:tcW w:w="1182" w:type="dxa"/>
            <w:shd w:val="clear" w:color="auto" w:fill="auto"/>
            <w:vAlign w:val="center"/>
          </w:tcPr>
          <w:p>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新立镇苏家村</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10×1</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13</w:t>
            </w:r>
          </w:p>
        </w:tc>
        <w:tc>
          <w:tcPr>
            <w:tcW w:w="1182" w:type="dxa"/>
            <w:shd w:val="clear" w:color="auto" w:fill="auto"/>
            <w:vAlign w:val="center"/>
          </w:tcPr>
          <w:p>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新立镇云家村</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10×4</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每个设施均需监测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14</w:t>
            </w:r>
          </w:p>
        </w:tc>
        <w:tc>
          <w:tcPr>
            <w:tcW w:w="1182" w:type="dxa"/>
            <w:shd w:val="clear" w:color="auto" w:fill="auto"/>
            <w:vAlign w:val="center"/>
          </w:tcPr>
          <w:p>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榆树街道新立社区</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10×1</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15</w:t>
            </w:r>
          </w:p>
        </w:tc>
        <w:tc>
          <w:tcPr>
            <w:tcW w:w="1182" w:type="dxa"/>
            <w:shd w:val="clear" w:color="auto" w:fill="auto"/>
            <w:vAlign w:val="center"/>
          </w:tcPr>
          <w:p>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榆树街道青联社区</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10×1</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16</w:t>
            </w:r>
          </w:p>
        </w:tc>
        <w:tc>
          <w:tcPr>
            <w:tcW w:w="1182" w:type="dxa"/>
            <w:shd w:val="clear" w:color="auto" w:fill="auto"/>
            <w:vAlign w:val="center"/>
          </w:tcPr>
          <w:p>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田家街道关家村</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10×1</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17</w:t>
            </w:r>
          </w:p>
        </w:tc>
        <w:tc>
          <w:tcPr>
            <w:tcW w:w="1182" w:type="dxa"/>
            <w:shd w:val="clear" w:color="auto" w:fill="auto"/>
            <w:vAlign w:val="center"/>
          </w:tcPr>
          <w:p>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田家街道高家村</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10×3</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每个设施均需监测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2" w:hRule="atLeast"/>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18</w:t>
            </w:r>
          </w:p>
        </w:tc>
        <w:tc>
          <w:tcPr>
            <w:tcW w:w="1182" w:type="dxa"/>
            <w:shd w:val="clear" w:color="auto" w:fill="auto"/>
            <w:vAlign w:val="center"/>
          </w:tcPr>
          <w:p>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新兴镇育新村</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10×1</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19</w:t>
            </w:r>
          </w:p>
        </w:tc>
        <w:tc>
          <w:tcPr>
            <w:tcW w:w="1182" w:type="dxa"/>
            <w:shd w:val="clear" w:color="auto" w:fill="auto"/>
            <w:vAlign w:val="center"/>
          </w:tcPr>
          <w:p>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新兴镇红草沟村</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分散+户用</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1×3，2×2，4×1，6×2，8×1，9×1</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可抽测5个设施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20</w:t>
            </w:r>
          </w:p>
        </w:tc>
        <w:tc>
          <w:tcPr>
            <w:tcW w:w="1182" w:type="dxa"/>
            <w:shd w:val="clear" w:color="auto" w:fill="auto"/>
            <w:vAlign w:val="center"/>
          </w:tcPr>
          <w:p>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清水镇清河村</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10×1</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21</w:t>
            </w:r>
          </w:p>
        </w:tc>
        <w:tc>
          <w:tcPr>
            <w:tcW w:w="1182" w:type="dxa"/>
            <w:shd w:val="clear" w:color="auto" w:fill="auto"/>
            <w:vAlign w:val="center"/>
          </w:tcPr>
          <w:p>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赵圈河镇圈河村</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10×1</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8" w:hRule="atLeast"/>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22</w:t>
            </w:r>
          </w:p>
        </w:tc>
        <w:tc>
          <w:tcPr>
            <w:tcW w:w="1182" w:type="dxa"/>
            <w:shd w:val="clear" w:color="auto" w:fill="auto"/>
            <w:vAlign w:val="center"/>
          </w:tcPr>
          <w:p>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赵圈河镇红塔村</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10×1</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23</w:t>
            </w:r>
          </w:p>
        </w:tc>
        <w:tc>
          <w:tcPr>
            <w:tcW w:w="1182" w:type="dxa"/>
            <w:shd w:val="clear" w:color="auto" w:fill="auto"/>
            <w:vAlign w:val="center"/>
          </w:tcPr>
          <w:p>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唐家镇白家村</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10×1</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24</w:t>
            </w:r>
          </w:p>
        </w:tc>
        <w:tc>
          <w:tcPr>
            <w:tcW w:w="1182" w:type="dxa"/>
            <w:shd w:val="clear" w:color="auto" w:fill="auto"/>
            <w:vAlign w:val="center"/>
          </w:tcPr>
          <w:p>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唐家镇南小房村</w:t>
            </w:r>
          </w:p>
        </w:tc>
        <w:tc>
          <w:tcPr>
            <w:tcW w:w="150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分散+户用</w:t>
            </w:r>
          </w:p>
        </w:tc>
        <w:tc>
          <w:tcPr>
            <w:tcW w:w="234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1×3，2×13，6×1</w:t>
            </w:r>
          </w:p>
        </w:tc>
        <w:tc>
          <w:tcPr>
            <w:tcW w:w="1410" w:type="dxa"/>
            <w:shd w:val="clear" w:color="auto" w:fill="auto"/>
            <w:vAlign w:val="center"/>
          </w:tcPr>
          <w:p>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可抽测5个设施</w:t>
            </w:r>
          </w:p>
        </w:tc>
      </w:tr>
    </w:tbl>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2.监测项目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化学需氧量和氨氮。</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3.监测频次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rPr>
        <w:t>日处理能力20吨及以上的农村生活污水处理设施每半年监测1次</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日处理能力</w:t>
      </w:r>
      <w:r>
        <w:rPr>
          <w:rFonts w:hint="eastAsia" w:ascii="仿宋_GB2312" w:hAnsi="仿宋_GB2312" w:eastAsia="仿宋_GB2312" w:cs="仿宋_GB2312"/>
          <w:highlight w:val="none"/>
          <w:lang w:val="en-US" w:eastAsia="zh-CN"/>
        </w:rPr>
        <w:t>20吨以下农村生活污水处理设施每年监测1次。</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4.工作方式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日处理能力</w:t>
      </w:r>
      <w:r>
        <w:rPr>
          <w:rFonts w:hint="eastAsia" w:ascii="仿宋_GB2312" w:hAnsi="仿宋_GB2312" w:eastAsia="仿宋_GB2312" w:cs="仿宋_GB2312"/>
          <w:color w:val="auto"/>
          <w:highlight w:val="none"/>
          <w:lang w:val="en-US" w:eastAsia="zh-CN"/>
        </w:rPr>
        <w:t>20吨及以上</w:t>
      </w:r>
      <w:r>
        <w:rPr>
          <w:rFonts w:hint="eastAsia" w:ascii="仿宋_GB2312" w:hAnsi="仿宋_GB2312" w:eastAsia="仿宋_GB2312" w:cs="仿宋_GB2312"/>
          <w:color w:val="auto"/>
          <w:highlight w:val="none"/>
        </w:rPr>
        <w:t>农村生活污水处理设施出水水质监测为</w:t>
      </w:r>
      <w:r>
        <w:rPr>
          <w:rFonts w:hint="eastAsia" w:ascii="仿宋_GB2312" w:hAnsi="仿宋_GB2312" w:eastAsia="仿宋_GB2312" w:cs="仿宋_GB2312"/>
          <w:color w:val="auto"/>
          <w:highlight w:val="none"/>
          <w:lang w:eastAsia="zh-CN"/>
        </w:rPr>
        <w:t>县</w:t>
      </w:r>
      <w:r>
        <w:rPr>
          <w:rFonts w:hint="eastAsia" w:ascii="仿宋_GB2312" w:hAnsi="仿宋_GB2312" w:eastAsia="仿宋_GB2312" w:cs="仿宋_GB2312"/>
          <w:color w:val="auto"/>
          <w:highlight w:val="none"/>
        </w:rPr>
        <w:t>级事权</w:t>
      </w:r>
      <w:r>
        <w:rPr>
          <w:rFonts w:hint="eastAsia" w:ascii="仿宋_GB2312" w:hAnsi="仿宋_GB2312" w:eastAsia="仿宋_GB2312" w:cs="仿宋_GB2312"/>
          <w:color w:val="auto"/>
          <w:highlight w:val="none"/>
          <w:lang w:eastAsia="zh-CN"/>
        </w:rPr>
        <w:t>，县级财政保障经费。由</w:t>
      </w:r>
      <w:r>
        <w:rPr>
          <w:rFonts w:hint="eastAsia" w:ascii="仿宋_GB2312" w:hAnsi="仿宋_GB2312" w:eastAsia="仿宋_GB2312" w:cs="仿宋_GB2312"/>
          <w:color w:val="auto"/>
          <w:highlight w:val="none"/>
          <w:lang w:val="en-US" w:eastAsia="zh-CN"/>
        </w:rPr>
        <w:t>县区政府组织</w:t>
      </w:r>
      <w:r>
        <w:rPr>
          <w:rFonts w:hint="eastAsia" w:ascii="仿宋_GB2312" w:hAnsi="仿宋_GB2312" w:eastAsia="仿宋_GB2312" w:cs="仿宋_GB2312"/>
          <w:color w:val="auto"/>
          <w:highlight w:val="none"/>
        </w:rPr>
        <w:t>设施运行管理单位</w:t>
      </w:r>
      <w:r>
        <w:rPr>
          <w:rFonts w:hint="eastAsia" w:ascii="仿宋_GB2312" w:hAnsi="仿宋_GB2312" w:eastAsia="仿宋_GB2312" w:cs="仿宋_GB2312"/>
          <w:color w:val="auto"/>
          <w:highlight w:val="none"/>
          <w:lang w:val="en-US" w:eastAsia="zh-CN"/>
        </w:rPr>
        <w:t>或委托具有监测资质的第三方单位</w:t>
      </w:r>
      <w:r>
        <w:rPr>
          <w:rFonts w:hint="eastAsia" w:ascii="仿宋_GB2312" w:hAnsi="仿宋_GB2312" w:eastAsia="仿宋_GB2312" w:cs="仿宋_GB2312"/>
          <w:color w:val="auto"/>
          <w:highlight w:val="none"/>
        </w:rPr>
        <w:t>开展监测。</w:t>
      </w:r>
      <w:r>
        <w:rPr>
          <w:rFonts w:hint="eastAsia" w:ascii="仿宋_GB2312" w:hAnsi="仿宋_GB2312" w:eastAsia="仿宋_GB2312" w:cs="仿宋_GB2312"/>
          <w:highlight w:val="none"/>
        </w:rPr>
        <w:t>市生态环境</w:t>
      </w:r>
      <w:r>
        <w:rPr>
          <w:rFonts w:hint="eastAsia" w:ascii="仿宋_GB2312" w:hAnsi="仿宋_GB2312" w:cs="仿宋_GB2312"/>
          <w:highlight w:val="none"/>
          <w:lang w:val="en-US" w:eastAsia="zh-CN"/>
        </w:rPr>
        <w:t>局</w:t>
      </w:r>
      <w:r>
        <w:rPr>
          <w:rFonts w:hint="eastAsia" w:ascii="仿宋_GB2312" w:hAnsi="仿宋_GB2312" w:eastAsia="仿宋_GB2312" w:cs="仿宋_GB2312"/>
          <w:highlight w:val="none"/>
        </w:rPr>
        <w:t>每年抽取一定比例的设施开展执法监测，其中设计日处理能力100吨及以上设施应实现执法监测的全覆盖。</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日处理能力20吨</w:t>
      </w:r>
      <w:r>
        <w:rPr>
          <w:rFonts w:hint="eastAsia" w:ascii="仿宋_GB2312" w:hAnsi="仿宋_GB2312" w:eastAsia="仿宋_GB2312" w:cs="仿宋_GB2312"/>
          <w:highlight w:val="none"/>
          <w:lang w:val="en-US" w:eastAsia="zh-CN"/>
        </w:rPr>
        <w:t>以下</w:t>
      </w:r>
      <w:r>
        <w:rPr>
          <w:rFonts w:hint="eastAsia" w:ascii="仿宋_GB2312" w:hAnsi="仿宋_GB2312" w:eastAsia="仿宋_GB2312" w:cs="仿宋_GB2312"/>
          <w:highlight w:val="none"/>
        </w:rPr>
        <w:t>的农村生活污水处理设施出水水质监测为</w:t>
      </w:r>
      <w:r>
        <w:rPr>
          <w:rFonts w:hint="eastAsia" w:ascii="仿宋_GB2312" w:hAnsi="仿宋_GB2312" w:eastAsia="仿宋_GB2312" w:cs="仿宋_GB2312"/>
          <w:highlight w:val="none"/>
          <w:lang w:val="en-US" w:eastAsia="zh-CN"/>
        </w:rPr>
        <w:t>县</w:t>
      </w:r>
      <w:r>
        <w:rPr>
          <w:rFonts w:hint="eastAsia" w:ascii="仿宋_GB2312" w:hAnsi="仿宋_GB2312" w:eastAsia="仿宋_GB2312" w:cs="仿宋_GB2312"/>
          <w:highlight w:val="none"/>
        </w:rPr>
        <w:t>级事权，</w:t>
      </w:r>
      <w:r>
        <w:rPr>
          <w:rFonts w:hint="eastAsia" w:ascii="仿宋_GB2312" w:hAnsi="仿宋_GB2312" w:eastAsia="仿宋_GB2312" w:cs="仿宋_GB2312"/>
          <w:highlight w:val="none"/>
          <w:lang w:val="en-US" w:eastAsia="zh-CN"/>
        </w:rPr>
        <w:t>县</w:t>
      </w:r>
      <w:r>
        <w:rPr>
          <w:rFonts w:hint="eastAsia" w:ascii="仿宋_GB2312" w:hAnsi="仿宋_GB2312" w:eastAsia="仿宋_GB2312" w:cs="仿宋_GB2312"/>
          <w:highlight w:val="none"/>
        </w:rPr>
        <w:t>级财政保障经费。由</w:t>
      </w:r>
      <w:r>
        <w:rPr>
          <w:rFonts w:hint="eastAsia" w:ascii="仿宋_GB2312" w:hAnsi="仿宋_GB2312" w:eastAsia="仿宋_GB2312" w:cs="仿宋_GB2312"/>
          <w:highlight w:val="none"/>
          <w:lang w:val="en-US" w:eastAsia="zh-CN"/>
        </w:rPr>
        <w:t>县区政府组织</w:t>
      </w:r>
      <w:r>
        <w:rPr>
          <w:rFonts w:hint="eastAsia" w:ascii="仿宋_GB2312" w:hAnsi="仿宋_GB2312" w:eastAsia="仿宋_GB2312" w:cs="仿宋_GB2312"/>
          <w:highlight w:val="none"/>
        </w:rPr>
        <w:t>设施运行管理单位</w:t>
      </w:r>
      <w:r>
        <w:rPr>
          <w:rFonts w:hint="eastAsia" w:ascii="仿宋_GB2312" w:hAnsi="仿宋_GB2312" w:eastAsia="仿宋_GB2312" w:cs="仿宋_GB2312"/>
          <w:highlight w:val="none"/>
          <w:lang w:val="en-US" w:eastAsia="zh-CN"/>
        </w:rPr>
        <w:t>或委托具有监测资质的第三方单位</w:t>
      </w:r>
      <w:r>
        <w:rPr>
          <w:rFonts w:hint="eastAsia" w:ascii="仿宋_GB2312" w:hAnsi="仿宋_GB2312" w:eastAsia="仿宋_GB2312" w:cs="仿宋_GB2312"/>
          <w:highlight w:val="none"/>
        </w:rPr>
        <w:t>开展监测。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责任主体：市生态环境局</w:t>
      </w:r>
      <w:r>
        <w:rPr>
          <w:rFonts w:hint="eastAsia" w:ascii="仿宋_GB2312" w:hAnsi="仿宋_GB2312" w:cs="仿宋_GB2312"/>
          <w:highlight w:val="none"/>
          <w:lang w:val="en-US" w:eastAsia="zh-CN"/>
        </w:rPr>
        <w:t>土壤</w:t>
      </w:r>
      <w:r>
        <w:rPr>
          <w:rFonts w:hint="eastAsia" w:ascii="仿宋_GB2312" w:hAnsi="仿宋_GB2312" w:eastAsia="仿宋_GB2312" w:cs="仿宋_GB2312"/>
          <w:highlight w:val="none"/>
          <w:lang w:eastAsia="zh-CN"/>
        </w:rPr>
        <w:t>科。</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5.数据报送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日处理能力20吨及以上</w:t>
      </w:r>
      <w:r>
        <w:rPr>
          <w:rFonts w:hint="eastAsia" w:ascii="仿宋_GB2312" w:hAnsi="仿宋_GB2312" w:eastAsia="仿宋_GB2312" w:cs="仿宋_GB2312"/>
          <w:highlight w:val="none"/>
        </w:rPr>
        <w:t>农村生活污水处理设施出水水质监测</w:t>
      </w:r>
      <w:r>
        <w:rPr>
          <w:rFonts w:hint="eastAsia" w:ascii="仿宋_GB2312" w:hAnsi="仿宋_GB2312" w:eastAsia="仿宋_GB2312" w:cs="仿宋_GB2312"/>
          <w:highlight w:val="none"/>
          <w:lang w:eastAsia="zh-CN"/>
        </w:rPr>
        <w:t>数据由</w:t>
      </w:r>
      <w:r>
        <w:rPr>
          <w:rFonts w:hint="eastAsia" w:ascii="仿宋_GB2312" w:hAnsi="仿宋_GB2312" w:eastAsia="仿宋_GB2312" w:cs="仿宋_GB2312"/>
          <w:highlight w:val="none"/>
        </w:rPr>
        <w:t>市生态环境局</w:t>
      </w:r>
      <w:r>
        <w:rPr>
          <w:rFonts w:hint="eastAsia" w:ascii="仿宋_GB2312" w:hAnsi="仿宋_GB2312" w:cs="仿宋_GB2312"/>
          <w:highlight w:val="none"/>
          <w:lang w:val="en-US" w:eastAsia="zh-CN"/>
        </w:rPr>
        <w:t>上报</w:t>
      </w:r>
      <w:r>
        <w:rPr>
          <w:rFonts w:hint="eastAsia" w:ascii="仿宋_GB2312" w:hAnsi="仿宋_GB2312" w:eastAsia="仿宋_GB2312" w:cs="仿宋_GB2312"/>
          <w:highlight w:val="none"/>
        </w:rPr>
        <w:t>执法监测数据</w:t>
      </w: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并</w:t>
      </w:r>
      <w:r>
        <w:rPr>
          <w:rFonts w:hint="eastAsia" w:ascii="仿宋_GB2312" w:hAnsi="仿宋_GB2312" w:eastAsia="仿宋_GB2312" w:cs="仿宋_GB2312"/>
          <w:highlight w:val="none"/>
          <w:lang w:val="en-US" w:eastAsia="zh-CN"/>
        </w:rPr>
        <w:t>组织</w:t>
      </w:r>
      <w:r>
        <w:rPr>
          <w:rFonts w:hint="eastAsia" w:ascii="仿宋_GB2312" w:hAnsi="仿宋_GB2312" w:cs="仿宋_GB2312"/>
          <w:highlight w:val="none"/>
          <w:lang w:val="en-US" w:eastAsia="zh-CN"/>
        </w:rPr>
        <w:t>县区分局</w:t>
      </w:r>
      <w:r>
        <w:rPr>
          <w:rFonts w:hint="eastAsia" w:ascii="仿宋_GB2312" w:hAnsi="仿宋_GB2312" w:eastAsia="仿宋_GB2312" w:cs="仿宋_GB2312"/>
          <w:highlight w:val="none"/>
        </w:rPr>
        <w:t>上报自行监测</w:t>
      </w:r>
      <w:r>
        <w:rPr>
          <w:rFonts w:hint="eastAsia" w:ascii="仿宋_GB2312" w:hAnsi="仿宋_GB2312" w:cs="仿宋_GB2312"/>
          <w:highlight w:val="none"/>
          <w:lang w:val="en-US" w:eastAsia="zh-CN"/>
        </w:rPr>
        <w:t>数据</w:t>
      </w:r>
      <w:r>
        <w:rPr>
          <w:rFonts w:hint="eastAsia" w:ascii="仿宋_GB2312" w:hAnsi="仿宋_GB2312" w:eastAsia="仿宋_GB2312" w:cs="仿宋_GB2312"/>
          <w:highlight w:val="none"/>
        </w:rPr>
        <w:t>（以县区帐号或者市级帐号报送），</w:t>
      </w:r>
      <w:r>
        <w:rPr>
          <w:rFonts w:hint="eastAsia" w:ascii="仿宋_GB2312" w:hAnsi="仿宋_GB2312" w:eastAsia="仿宋_GB2312" w:cs="仿宋_GB2312"/>
          <w:highlight w:val="none"/>
          <w:lang w:eastAsia="zh-CN"/>
        </w:rPr>
        <w:t>驻市分支机构</w:t>
      </w:r>
      <w:r>
        <w:rPr>
          <w:rFonts w:hint="eastAsia" w:ascii="仿宋_GB2312" w:hAnsi="仿宋_GB2312" w:eastAsia="仿宋_GB2312" w:cs="仿宋_GB2312"/>
          <w:highlight w:val="none"/>
        </w:rPr>
        <w:t>审核，通过总站生态农村监测业务系统报送。6月30日、1</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月30日报送农村生活污水处理设施出水水质的监测数据</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2025年1月31日前报送年度质量监测报告。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日处理能力20吨以下</w:t>
      </w:r>
      <w:r>
        <w:rPr>
          <w:rFonts w:hint="eastAsia" w:ascii="仿宋_GB2312" w:hAnsi="仿宋_GB2312" w:eastAsia="仿宋_GB2312" w:cs="仿宋_GB2312"/>
          <w:highlight w:val="none"/>
        </w:rPr>
        <w:t>农村生活污水处理设施出水水质监测</w:t>
      </w:r>
      <w:r>
        <w:rPr>
          <w:rFonts w:hint="eastAsia" w:ascii="仿宋_GB2312" w:hAnsi="仿宋_GB2312" w:eastAsia="仿宋_GB2312" w:cs="仿宋_GB2312"/>
          <w:highlight w:val="none"/>
          <w:lang w:eastAsia="zh-CN"/>
        </w:rPr>
        <w:t>由</w:t>
      </w:r>
      <w:r>
        <w:rPr>
          <w:rFonts w:hint="eastAsia" w:ascii="仿宋_GB2312" w:hAnsi="仿宋_GB2312" w:eastAsia="仿宋_GB2312" w:cs="仿宋_GB2312"/>
          <w:highlight w:val="none"/>
          <w:lang w:val="en-US" w:eastAsia="zh-CN"/>
        </w:rPr>
        <w:t>各县区政府组织监测单位将监测数据</w:t>
      </w:r>
      <w:r>
        <w:rPr>
          <w:rFonts w:hint="eastAsia" w:ascii="仿宋_GB2312" w:hAnsi="仿宋_GB2312" w:eastAsia="仿宋_GB2312" w:cs="仿宋_GB2312"/>
          <w:highlight w:val="none"/>
        </w:rPr>
        <w:t>上报</w:t>
      </w:r>
      <w:r>
        <w:rPr>
          <w:rFonts w:hint="eastAsia" w:ascii="仿宋_GB2312" w:hAnsi="仿宋_GB2312" w:eastAsia="仿宋_GB2312" w:cs="仿宋_GB2312"/>
          <w:highlight w:val="none"/>
          <w:lang w:val="en-US" w:eastAsia="zh-CN"/>
        </w:rPr>
        <w:t>至县区生态环境分局</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县区分局审核后上报至</w:t>
      </w:r>
      <w:r>
        <w:rPr>
          <w:rFonts w:hint="eastAsia" w:ascii="仿宋_GB2312" w:hAnsi="仿宋_GB2312" w:eastAsia="仿宋_GB2312" w:cs="仿宋_GB2312"/>
          <w:highlight w:val="none"/>
          <w:lang w:eastAsia="zh-CN"/>
        </w:rPr>
        <w:t>市生态环境局土壤科</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lang w:eastAsia="zh-CN"/>
        </w:rPr>
        <w:t>土壤科</w:t>
      </w:r>
      <w:r>
        <w:rPr>
          <w:rFonts w:hint="eastAsia" w:ascii="仿宋_GB2312" w:hAnsi="仿宋_GB2312" w:eastAsia="仿宋_GB2312" w:cs="仿宋_GB2312"/>
          <w:highlight w:val="none"/>
          <w:lang w:val="en-US" w:eastAsia="zh-CN"/>
        </w:rPr>
        <w:t>汇总后上报至省生态环境厅土壤与农村生态环境处</w:t>
      </w:r>
      <w:r>
        <w:rPr>
          <w:rFonts w:hint="eastAsia" w:ascii="仿宋_GB2312" w:hAnsi="仿宋_GB2312" w:eastAsia="仿宋_GB2312" w:cs="仿宋_GB2312"/>
          <w:highlight w:val="none"/>
        </w:rPr>
        <w:t>。11月30日</w:t>
      </w:r>
      <w:r>
        <w:rPr>
          <w:rFonts w:hint="eastAsia" w:ascii="仿宋_GB2312" w:hAnsi="仿宋_GB2312" w:eastAsia="仿宋_GB2312" w:cs="仿宋_GB2312"/>
          <w:highlight w:val="none"/>
          <w:lang w:val="en-US" w:eastAsia="zh-CN"/>
        </w:rPr>
        <w:t>前</w:t>
      </w:r>
      <w:r>
        <w:rPr>
          <w:rFonts w:hint="eastAsia" w:ascii="仿宋_GB2312" w:hAnsi="仿宋_GB2312" w:eastAsia="仿宋_GB2312" w:cs="仿宋_GB2312"/>
          <w:highlight w:val="none"/>
        </w:rPr>
        <w:t>报送日处理能力20吨</w:t>
      </w:r>
      <w:r>
        <w:rPr>
          <w:rFonts w:hint="eastAsia" w:ascii="仿宋_GB2312" w:hAnsi="仿宋_GB2312" w:eastAsia="仿宋_GB2312" w:cs="仿宋_GB2312"/>
          <w:highlight w:val="none"/>
          <w:lang w:val="en-US" w:eastAsia="zh-CN"/>
        </w:rPr>
        <w:t>以下</w:t>
      </w:r>
      <w:r>
        <w:rPr>
          <w:rFonts w:hint="eastAsia" w:ascii="仿宋_GB2312" w:hAnsi="仿宋_GB2312" w:eastAsia="仿宋_GB2312" w:cs="仿宋_GB2312"/>
          <w:highlight w:val="none"/>
        </w:rPr>
        <w:t>的农村生活污水处理设施出水水质的监测数据。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生态农村监测业务系统报送平台的VPN地址为：https://106.37.208.243：4433。VPN名称和密码见表5-</w:t>
      </w:r>
      <w:r>
        <w:rPr>
          <w:rFonts w:hint="eastAsia" w:ascii="仿宋_GB2312" w:hAnsi="仿宋_GB2312" w:eastAsia="仿宋_GB2312" w:cs="仿宋_GB2312"/>
          <w:highlight w:val="none"/>
          <w:lang w:val="en-US" w:eastAsia="zh-CN"/>
        </w:rPr>
        <w:t>6</w:t>
      </w:r>
      <w:r>
        <w:rPr>
          <w:rFonts w:hint="eastAsia" w:ascii="仿宋_GB2312" w:hAnsi="仿宋_GB2312" w:eastAsia="仿宋_GB2312" w:cs="仿宋_GB2312"/>
          <w:highlight w:val="none"/>
        </w:rPr>
        <w:t>，生态农村监测业务系统账号及密码见附表5-</w:t>
      </w:r>
      <w:r>
        <w:rPr>
          <w:rFonts w:hint="eastAsia" w:ascii="仿宋_GB2312" w:hAnsi="仿宋_GB2312" w:eastAsia="仿宋_GB2312" w:cs="仿宋_GB2312"/>
          <w:highlight w:val="none"/>
          <w:lang w:val="en-US" w:eastAsia="zh-CN"/>
        </w:rPr>
        <w:t>7</w:t>
      </w:r>
      <w:r>
        <w:rPr>
          <w:rFonts w:hint="eastAsia" w:ascii="仿宋_GB2312" w:hAnsi="仿宋_GB2312" w:eastAsia="仿宋_GB2312" w:cs="仿宋_GB2312"/>
          <w:highlight w:val="none"/>
        </w:rPr>
        <w:t>。</w:t>
      </w:r>
    </w:p>
    <w:p>
      <w:pPr>
        <w:keepNext/>
        <w:keepLines/>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仿宋_GB2312" w:hAnsi="仿宋_GB2312" w:eastAsia="仿宋_GB2312" w:cs="仿宋_GB2312"/>
          <w:b/>
          <w:bCs/>
          <w:sz w:val="24"/>
        </w:rPr>
      </w:pPr>
      <w:bookmarkStart w:id="255" w:name="_Toc20303"/>
      <w:r>
        <w:rPr>
          <w:rFonts w:hint="eastAsia" w:ascii="仿宋_GB2312" w:hAnsi="仿宋_GB2312" w:eastAsia="仿宋_GB2312" w:cs="仿宋_GB2312"/>
          <w:b/>
          <w:bCs/>
          <w:sz w:val="24"/>
        </w:rPr>
        <w:t>表5-</w:t>
      </w:r>
      <w:r>
        <w:rPr>
          <w:rFonts w:hint="eastAsia" w:ascii="仿宋_GB2312" w:hAnsi="仿宋_GB2312" w:eastAsia="仿宋_GB2312" w:cs="仿宋_GB2312"/>
          <w:b/>
          <w:bCs/>
          <w:sz w:val="24"/>
          <w:lang w:val="en-US" w:eastAsia="zh-CN"/>
        </w:rPr>
        <w:t>6</w:t>
      </w:r>
      <w:r>
        <w:rPr>
          <w:rFonts w:hint="eastAsia" w:ascii="仿宋_GB2312" w:hAnsi="仿宋_GB2312" w:cs="仿宋_GB2312"/>
          <w:b/>
          <w:bCs/>
          <w:sz w:val="24"/>
          <w:lang w:val="en-US" w:eastAsia="zh-CN"/>
        </w:rPr>
        <w:t xml:space="preserve"> </w:t>
      </w:r>
      <w:r>
        <w:rPr>
          <w:rFonts w:hint="eastAsia" w:ascii="仿宋_GB2312" w:hAnsi="仿宋_GB2312" w:eastAsia="仿宋_GB2312" w:cs="仿宋_GB2312"/>
          <w:b/>
          <w:bCs/>
          <w:sz w:val="24"/>
        </w:rPr>
        <w:t xml:space="preserve"> VPN名称和密码</w:t>
      </w:r>
      <w:bookmarkEnd w:id="255"/>
    </w:p>
    <w:tbl>
      <w:tblPr>
        <w:tblStyle w:val="56"/>
        <w:tblW w:w="9060"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76"/>
        <w:gridCol w:w="3753"/>
        <w:gridCol w:w="1283"/>
        <w:gridCol w:w="215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98" w:type="dxa"/>
            <w:tcBorders>
              <w:top w:val="single" w:color="auto" w:sz="8" w:space="0"/>
              <w:bottom w:val="single" w:color="auto" w:sz="8" w:space="0"/>
            </w:tcBorders>
            <w:vAlign w:val="center"/>
          </w:tcPr>
          <w:p>
            <w:pPr>
              <w:widowControl/>
              <w:spacing w:line="240" w:lineRule="auto"/>
              <w:ind w:firstLine="0" w:firstLine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1176" w:type="dxa"/>
            <w:tcBorders>
              <w:top w:val="single" w:color="auto" w:sz="8" w:space="0"/>
              <w:bottom w:val="single" w:color="auto" w:sz="8" w:space="0"/>
            </w:tcBorders>
            <w:vAlign w:val="center"/>
          </w:tcPr>
          <w:p>
            <w:pPr>
              <w:widowControl/>
              <w:spacing w:line="240" w:lineRule="auto"/>
              <w:ind w:firstLine="0" w:firstLineChars="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地市</w:t>
            </w:r>
          </w:p>
        </w:tc>
        <w:tc>
          <w:tcPr>
            <w:tcW w:w="3753" w:type="dxa"/>
            <w:tcBorders>
              <w:top w:val="single" w:color="auto" w:sz="8" w:space="0"/>
              <w:bottom w:val="single" w:color="auto" w:sz="8" w:space="0"/>
            </w:tcBorders>
            <w:vAlign w:val="center"/>
          </w:tcPr>
          <w:p>
            <w:pPr>
              <w:widowControl/>
              <w:spacing w:line="240" w:lineRule="auto"/>
              <w:ind w:firstLine="0" w:firstLineChars="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单位</w:t>
            </w:r>
          </w:p>
        </w:tc>
        <w:tc>
          <w:tcPr>
            <w:tcW w:w="1283" w:type="dxa"/>
            <w:tcBorders>
              <w:top w:val="single" w:color="auto" w:sz="8" w:space="0"/>
              <w:bottom w:val="single" w:color="auto" w:sz="8" w:space="0"/>
            </w:tcBorders>
            <w:vAlign w:val="center"/>
          </w:tcPr>
          <w:p>
            <w:pPr>
              <w:widowControl/>
              <w:spacing w:line="240" w:lineRule="auto"/>
              <w:ind w:firstLine="0" w:firstLineChars="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账户</w:t>
            </w:r>
          </w:p>
        </w:tc>
        <w:tc>
          <w:tcPr>
            <w:tcW w:w="2150" w:type="dxa"/>
            <w:tcBorders>
              <w:top w:val="single" w:color="auto" w:sz="8" w:space="0"/>
              <w:bottom w:val="single" w:color="auto" w:sz="8" w:space="0"/>
            </w:tcBorders>
            <w:vAlign w:val="center"/>
          </w:tcPr>
          <w:p>
            <w:pPr>
              <w:widowControl/>
              <w:spacing w:line="240" w:lineRule="auto"/>
              <w:ind w:firstLine="0" w:firstLineChars="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密码</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8"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盘锦市</w:t>
            </w:r>
          </w:p>
        </w:tc>
        <w:tc>
          <w:tcPr>
            <w:tcW w:w="3753" w:type="dxa"/>
            <w:vAlign w:val="center"/>
          </w:tcPr>
          <w:p>
            <w:pPr>
              <w:widowControl/>
              <w:spacing w:line="240" w:lineRule="auto"/>
              <w:ind w:firstLine="0" w:firstLineChars="0"/>
              <w:jc w:val="left"/>
              <w:rPr>
                <w:rFonts w:hint="eastAsia" w:ascii="仿宋_GB2312" w:hAnsi="仿宋_GB2312" w:eastAsia="仿宋_GB2312" w:cs="仿宋_GB2312"/>
                <w:kern w:val="0"/>
                <w:sz w:val="24"/>
                <w:szCs w:val="24"/>
                <w:lang w:eastAsia="zh-CN"/>
              </w:rPr>
            </w:pPr>
            <w:r>
              <w:rPr>
                <w:rFonts w:hint="eastAsia" w:ascii="仿宋_GB2312" w:hAnsi="仿宋_GB2312" w:cs="仿宋_GB2312"/>
                <w:kern w:val="0"/>
                <w:sz w:val="24"/>
                <w:szCs w:val="24"/>
                <w:lang w:eastAsia="zh-CN"/>
              </w:rPr>
              <w:t>辽宁省盘锦生态环境监测中心</w:t>
            </w:r>
          </w:p>
        </w:tc>
        <w:tc>
          <w:tcPr>
            <w:tcW w:w="1283"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stncln62</w:t>
            </w:r>
          </w:p>
        </w:tc>
        <w:tc>
          <w:tcPr>
            <w:tcW w:w="2150"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NdCkkCDvDpnY</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8"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盘锦市</w:t>
            </w:r>
          </w:p>
        </w:tc>
        <w:tc>
          <w:tcPr>
            <w:tcW w:w="3753" w:type="dxa"/>
            <w:vAlign w:val="center"/>
          </w:tcPr>
          <w:p>
            <w:pPr>
              <w:widowControl/>
              <w:spacing w:line="240" w:lineRule="auto"/>
              <w:ind w:firstLine="0" w:firstLine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大洼区监测站</w:t>
            </w:r>
          </w:p>
        </w:tc>
        <w:tc>
          <w:tcPr>
            <w:tcW w:w="1283"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stncln63</w:t>
            </w:r>
          </w:p>
        </w:tc>
        <w:tc>
          <w:tcPr>
            <w:tcW w:w="2150"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JNgr3rhYfUAF</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8"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3</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盘锦市</w:t>
            </w:r>
          </w:p>
        </w:tc>
        <w:tc>
          <w:tcPr>
            <w:tcW w:w="3753" w:type="dxa"/>
            <w:vAlign w:val="center"/>
          </w:tcPr>
          <w:p>
            <w:pPr>
              <w:widowControl/>
              <w:spacing w:line="240" w:lineRule="auto"/>
              <w:ind w:firstLine="0" w:firstLine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盘山县监测站</w:t>
            </w:r>
          </w:p>
        </w:tc>
        <w:tc>
          <w:tcPr>
            <w:tcW w:w="1283"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stncln64</w:t>
            </w:r>
          </w:p>
        </w:tc>
        <w:tc>
          <w:tcPr>
            <w:tcW w:w="2150"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EHFAapCDHyWx</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8"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4</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盘锦市</w:t>
            </w:r>
          </w:p>
        </w:tc>
        <w:tc>
          <w:tcPr>
            <w:tcW w:w="3753" w:type="dxa"/>
            <w:vAlign w:val="center"/>
          </w:tcPr>
          <w:p>
            <w:pPr>
              <w:widowControl/>
              <w:spacing w:line="240" w:lineRule="auto"/>
              <w:ind w:firstLine="0" w:firstLine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双台子区监测站</w:t>
            </w:r>
          </w:p>
        </w:tc>
        <w:tc>
          <w:tcPr>
            <w:tcW w:w="1283"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stncln65</w:t>
            </w:r>
          </w:p>
        </w:tc>
        <w:tc>
          <w:tcPr>
            <w:tcW w:w="2150"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UDLq3UtjgEu3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8"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1176"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盘锦市</w:t>
            </w:r>
          </w:p>
        </w:tc>
        <w:tc>
          <w:tcPr>
            <w:tcW w:w="3753" w:type="dxa"/>
            <w:vAlign w:val="center"/>
          </w:tcPr>
          <w:p>
            <w:pPr>
              <w:widowControl/>
              <w:spacing w:line="240" w:lineRule="auto"/>
              <w:ind w:firstLine="0" w:firstLine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兴隆台区监测站</w:t>
            </w:r>
          </w:p>
        </w:tc>
        <w:tc>
          <w:tcPr>
            <w:tcW w:w="1283"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stncln66</w:t>
            </w:r>
          </w:p>
        </w:tc>
        <w:tc>
          <w:tcPr>
            <w:tcW w:w="2150"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6a3h8g37DgGM</w:t>
            </w:r>
          </w:p>
        </w:tc>
      </w:tr>
    </w:tbl>
    <w:p>
      <w:pPr>
        <w:keepNext/>
        <w:keepLines/>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仿宋_GB2312" w:hAnsi="仿宋_GB2312" w:eastAsia="仿宋_GB2312" w:cs="仿宋_GB2312"/>
          <w:b/>
          <w:bCs/>
          <w:sz w:val="24"/>
        </w:rPr>
      </w:pPr>
      <w:bookmarkStart w:id="256" w:name="_Toc11052"/>
      <w:bookmarkStart w:id="257" w:name="_Toc28390"/>
      <w:bookmarkStart w:id="258" w:name="_Toc26878"/>
      <w:bookmarkStart w:id="259" w:name="_Toc1931"/>
      <w:bookmarkStart w:id="260" w:name="_Toc19245"/>
      <w:bookmarkStart w:id="261" w:name="_Toc11269"/>
      <w:bookmarkStart w:id="262" w:name="_Toc22493"/>
      <w:bookmarkStart w:id="263" w:name="_Toc22775"/>
    </w:p>
    <w:p>
      <w:pPr>
        <w:keepNext/>
        <w:keepLines/>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仿宋_GB2312" w:hAnsi="仿宋_GB2312" w:eastAsia="仿宋_GB2312" w:cs="仿宋_GB2312"/>
          <w:b/>
          <w:bCs/>
          <w:sz w:val="24"/>
        </w:rPr>
      </w:pPr>
      <w:r>
        <w:rPr>
          <w:rFonts w:hint="eastAsia" w:ascii="仿宋_GB2312" w:hAnsi="仿宋_GB2312" w:eastAsia="仿宋_GB2312" w:cs="仿宋_GB2312"/>
          <w:b/>
          <w:bCs/>
          <w:sz w:val="24"/>
        </w:rPr>
        <w:t>表5-</w:t>
      </w:r>
      <w:r>
        <w:rPr>
          <w:rFonts w:hint="eastAsia" w:ascii="仿宋_GB2312" w:hAnsi="仿宋_GB2312" w:eastAsia="仿宋_GB2312" w:cs="仿宋_GB2312"/>
          <w:b/>
          <w:bCs/>
          <w:sz w:val="24"/>
          <w:lang w:val="en-US" w:eastAsia="zh-CN"/>
        </w:rPr>
        <w:t>7</w:t>
      </w:r>
      <w:r>
        <w:rPr>
          <w:rFonts w:hint="eastAsia" w:ascii="仿宋_GB2312" w:hAnsi="仿宋_GB2312" w:eastAsia="仿宋_GB2312" w:cs="仿宋_GB2312"/>
          <w:b/>
          <w:bCs/>
          <w:sz w:val="24"/>
        </w:rPr>
        <w:t xml:space="preserve">  生态农村监测业务系统账号及密码</w:t>
      </w:r>
      <w:bookmarkEnd w:id="256"/>
      <w:bookmarkEnd w:id="257"/>
      <w:bookmarkEnd w:id="258"/>
      <w:bookmarkEnd w:id="259"/>
      <w:bookmarkEnd w:id="260"/>
      <w:bookmarkEnd w:id="261"/>
      <w:bookmarkEnd w:id="262"/>
      <w:bookmarkEnd w:id="263"/>
    </w:p>
    <w:tbl>
      <w:tblPr>
        <w:tblStyle w:val="56"/>
        <w:tblW w:w="9060"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8" w:space="0"/>
        </w:tblBorders>
        <w:tblLayout w:type="fixed"/>
        <w:tblCellMar>
          <w:top w:w="0" w:type="dxa"/>
          <w:left w:w="108" w:type="dxa"/>
          <w:bottom w:w="0" w:type="dxa"/>
          <w:right w:w="108" w:type="dxa"/>
        </w:tblCellMar>
      </w:tblPr>
      <w:tblGrid>
        <w:gridCol w:w="1265"/>
        <w:gridCol w:w="2308"/>
        <w:gridCol w:w="2359"/>
        <w:gridCol w:w="3128"/>
      </w:tblGrid>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rPr>
          <w:trHeight w:val="397" w:hRule="atLeast"/>
          <w:tblHeader/>
        </w:trPr>
        <w:tc>
          <w:tcPr>
            <w:tcW w:w="1265" w:type="dxa"/>
            <w:tcBorders>
              <w:top w:val="single" w:color="auto" w:sz="8" w:space="0"/>
              <w:bottom w:val="single" w:color="auto" w:sz="8" w:space="0"/>
            </w:tcBorders>
            <w:vAlign w:val="center"/>
          </w:tcPr>
          <w:p>
            <w:pPr>
              <w:widowControl/>
              <w:spacing w:line="240" w:lineRule="auto"/>
              <w:ind w:firstLine="0" w:firstLineChars="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2308" w:type="dxa"/>
            <w:tcBorders>
              <w:top w:val="single" w:color="auto" w:sz="8" w:space="0"/>
              <w:bottom w:val="single" w:color="auto" w:sz="8" w:space="0"/>
            </w:tcBorders>
            <w:vAlign w:val="center"/>
          </w:tcPr>
          <w:p>
            <w:pPr>
              <w:widowControl/>
              <w:spacing w:line="240" w:lineRule="auto"/>
              <w:ind w:firstLine="0" w:firstLineChars="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登录名</w:t>
            </w:r>
          </w:p>
        </w:tc>
        <w:tc>
          <w:tcPr>
            <w:tcW w:w="2359" w:type="dxa"/>
            <w:tcBorders>
              <w:top w:val="single" w:color="auto" w:sz="8" w:space="0"/>
              <w:bottom w:val="single" w:color="auto" w:sz="8" w:space="0"/>
            </w:tcBorders>
            <w:vAlign w:val="center"/>
          </w:tcPr>
          <w:p>
            <w:pPr>
              <w:widowControl/>
              <w:spacing w:line="240" w:lineRule="auto"/>
              <w:ind w:firstLine="0" w:firstLineChars="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登录密码</w:t>
            </w:r>
          </w:p>
        </w:tc>
        <w:tc>
          <w:tcPr>
            <w:tcW w:w="3128" w:type="dxa"/>
            <w:tcBorders>
              <w:top w:val="single" w:color="auto" w:sz="8" w:space="0"/>
              <w:bottom w:val="single" w:color="auto" w:sz="8" w:space="0"/>
            </w:tcBorders>
            <w:vAlign w:val="center"/>
          </w:tcPr>
          <w:p>
            <w:pPr>
              <w:widowControl/>
              <w:spacing w:line="240" w:lineRule="auto"/>
              <w:ind w:firstLine="0" w:firstLineChars="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用户名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rPr>
          <w:trHeight w:val="397" w:hRule="atLeast"/>
        </w:trPr>
        <w:tc>
          <w:tcPr>
            <w:tcW w:w="1265"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w:t>
            </w:r>
          </w:p>
        </w:tc>
        <w:tc>
          <w:tcPr>
            <w:tcW w:w="2308"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U211100</w:t>
            </w:r>
          </w:p>
        </w:tc>
        <w:tc>
          <w:tcPr>
            <w:tcW w:w="2359"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u_211100</w:t>
            </w:r>
          </w:p>
        </w:tc>
        <w:tc>
          <w:tcPr>
            <w:tcW w:w="3128"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盘锦市</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rPr>
          <w:trHeight w:val="397" w:hRule="atLeast"/>
        </w:trPr>
        <w:tc>
          <w:tcPr>
            <w:tcW w:w="1265"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w:t>
            </w:r>
          </w:p>
        </w:tc>
        <w:tc>
          <w:tcPr>
            <w:tcW w:w="2308"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U211101</w:t>
            </w:r>
          </w:p>
        </w:tc>
        <w:tc>
          <w:tcPr>
            <w:tcW w:w="2359"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u_211101</w:t>
            </w:r>
          </w:p>
        </w:tc>
        <w:tc>
          <w:tcPr>
            <w:tcW w:w="3128"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市辖区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rPr>
          <w:trHeight w:val="397" w:hRule="atLeast"/>
        </w:trPr>
        <w:tc>
          <w:tcPr>
            <w:tcW w:w="1265"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2308"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U211102</w:t>
            </w:r>
          </w:p>
        </w:tc>
        <w:tc>
          <w:tcPr>
            <w:tcW w:w="2359"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u_211102</w:t>
            </w:r>
          </w:p>
        </w:tc>
        <w:tc>
          <w:tcPr>
            <w:tcW w:w="3128"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双台子区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rPr>
          <w:trHeight w:val="397" w:hRule="atLeast"/>
        </w:trPr>
        <w:tc>
          <w:tcPr>
            <w:tcW w:w="1265"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4</w:t>
            </w:r>
          </w:p>
        </w:tc>
        <w:tc>
          <w:tcPr>
            <w:tcW w:w="2308"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U211103</w:t>
            </w:r>
          </w:p>
        </w:tc>
        <w:tc>
          <w:tcPr>
            <w:tcW w:w="2359"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u_211103</w:t>
            </w:r>
          </w:p>
        </w:tc>
        <w:tc>
          <w:tcPr>
            <w:tcW w:w="3128"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兴隆台区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rPr>
          <w:trHeight w:val="397" w:hRule="atLeast"/>
        </w:trPr>
        <w:tc>
          <w:tcPr>
            <w:tcW w:w="1265"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2308"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U211104</w:t>
            </w:r>
          </w:p>
        </w:tc>
        <w:tc>
          <w:tcPr>
            <w:tcW w:w="2359"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u_211104</w:t>
            </w:r>
          </w:p>
        </w:tc>
        <w:tc>
          <w:tcPr>
            <w:tcW w:w="3128"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大洼区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rPr>
          <w:trHeight w:val="397" w:hRule="atLeast"/>
        </w:trPr>
        <w:tc>
          <w:tcPr>
            <w:tcW w:w="1265"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6</w:t>
            </w:r>
          </w:p>
        </w:tc>
        <w:tc>
          <w:tcPr>
            <w:tcW w:w="2308"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U211122</w:t>
            </w:r>
          </w:p>
        </w:tc>
        <w:tc>
          <w:tcPr>
            <w:tcW w:w="2359"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u_211122</w:t>
            </w:r>
          </w:p>
        </w:tc>
        <w:tc>
          <w:tcPr>
            <w:tcW w:w="3128" w:type="dxa"/>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盘山县</w:t>
            </w:r>
          </w:p>
        </w:tc>
      </w:tr>
      <w:bookmarkEnd w:id="214"/>
      <w:bookmarkEnd w:id="215"/>
    </w:tbl>
    <w:p>
      <w:pPr>
        <w:pStyle w:val="3"/>
        <w:keepNext/>
        <w:keepLines/>
        <w:pageBreakBefore w:val="0"/>
        <w:widowControl w:val="0"/>
        <w:numPr>
          <w:ilvl w:val="0"/>
          <w:numId w:val="0"/>
        </w:numPr>
        <w:tabs>
          <w:tab w:val="left" w:pos="888"/>
        </w:tabs>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lang w:val="en-US" w:eastAsia="zh-CN"/>
        </w:rPr>
      </w:pPr>
      <w:bookmarkStart w:id="264" w:name="_Toc13706"/>
      <w:bookmarkStart w:id="265" w:name="_Toc6236"/>
      <w:bookmarkStart w:id="266" w:name="_Toc8332"/>
      <w:bookmarkStart w:id="267" w:name="_Toc25191"/>
      <w:bookmarkStart w:id="268" w:name="_Toc30791"/>
      <w:bookmarkStart w:id="269" w:name="_Toc27082"/>
      <w:bookmarkStart w:id="270" w:name="_Toc20340"/>
      <w:bookmarkStart w:id="271" w:name="_Toc21886"/>
      <w:r>
        <w:rPr>
          <w:rFonts w:hint="eastAsia" w:ascii="楷体_GB2312" w:hAnsi="楷体_GB2312" w:eastAsia="楷体_GB2312" w:cs="楷体_GB2312"/>
          <w:b w:val="0"/>
          <w:lang w:val="en-US" w:eastAsia="zh-CN"/>
        </w:rPr>
        <w:t>（十八）声环境质量监测</w:t>
      </w:r>
      <w:bookmarkEnd w:id="264"/>
      <w:bookmarkEnd w:id="265"/>
      <w:bookmarkEnd w:id="266"/>
      <w:bookmarkEnd w:id="267"/>
      <w:bookmarkEnd w:id="268"/>
      <w:bookmarkEnd w:id="269"/>
      <w:bookmarkEnd w:id="270"/>
      <w:bookmarkEnd w:id="271"/>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rPr>
      </w:pPr>
      <w:bookmarkStart w:id="272" w:name="_Toc1657790"/>
      <w:r>
        <w:rPr>
          <w:rFonts w:hint="eastAsia" w:ascii="仿宋_GB2312" w:hAnsi="仿宋_GB2312" w:eastAsia="仿宋_GB2312" w:cs="仿宋_GB2312"/>
          <w:b/>
          <w:bCs/>
        </w:rPr>
        <w:t>1.监测范围</w:t>
      </w:r>
    </w:p>
    <w:bookmarkEnd w:id="272"/>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lang w:eastAsia="zh-CN"/>
        </w:rPr>
      </w:pPr>
      <w:bookmarkStart w:id="273" w:name="_Toc1392066"/>
      <w:bookmarkStart w:id="274" w:name="_Hlk59701348"/>
      <w:bookmarkStart w:id="275" w:name="_Toc535217752"/>
      <w:r>
        <w:rPr>
          <w:rFonts w:hint="eastAsia" w:ascii="仿宋_GB2312" w:hAnsi="仿宋_GB2312" w:cs="仿宋_GB2312"/>
          <w:highlight w:val="none"/>
          <w:lang w:val="en-US" w:eastAsia="zh-CN"/>
        </w:rPr>
        <w:t>盘山县</w:t>
      </w:r>
      <w:r>
        <w:rPr>
          <w:rFonts w:hint="eastAsia" w:ascii="仿宋_GB2312" w:hAnsi="仿宋_GB2312" w:eastAsia="仿宋_GB2312" w:cs="仿宋_GB2312"/>
          <w:highlight w:val="none"/>
          <w:lang w:val="en-US" w:eastAsia="zh-CN"/>
        </w:rPr>
        <w:t>113</w:t>
      </w:r>
      <w:r>
        <w:rPr>
          <w:rFonts w:hint="eastAsia" w:ascii="仿宋_GB2312" w:hAnsi="仿宋_GB2312" w:eastAsia="仿宋_GB2312" w:cs="仿宋_GB2312"/>
        </w:rPr>
        <w:t>个区域声环境质量监测点位</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大洼区100个</w:t>
      </w:r>
      <w:r>
        <w:rPr>
          <w:rFonts w:hint="eastAsia" w:ascii="仿宋_GB2312" w:hAnsi="仿宋_GB2312" w:eastAsia="仿宋_GB2312" w:cs="仿宋_GB2312"/>
        </w:rPr>
        <w:t>区域声环境质量监测点位。</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kern w:val="2"/>
          <w:sz w:val="32"/>
          <w:szCs w:val="30"/>
          <w:lang w:val="en-US" w:eastAsia="zh-CN" w:bidi="ar-SA"/>
        </w:rPr>
      </w:pPr>
      <w:bookmarkStart w:id="276" w:name="_Toc446513564"/>
      <w:bookmarkStart w:id="277" w:name="_Toc477166672"/>
      <w:r>
        <w:rPr>
          <w:rFonts w:hint="eastAsia" w:ascii="仿宋_GB2312" w:hAnsi="仿宋_GB2312" w:eastAsia="仿宋_GB2312" w:cs="仿宋_GB2312"/>
          <w:b/>
          <w:kern w:val="2"/>
          <w:sz w:val="32"/>
          <w:szCs w:val="30"/>
          <w:lang w:val="en-US" w:eastAsia="zh-CN" w:bidi="ar-SA"/>
        </w:rPr>
        <w:t>2.工作方式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县（</w:t>
      </w:r>
      <w:r>
        <w:rPr>
          <w:rFonts w:hint="eastAsia" w:ascii="仿宋_GB2312" w:hAnsi="仿宋_GB2312" w:cs="仿宋_GB2312"/>
          <w:lang w:val="en-US" w:eastAsia="zh-CN"/>
        </w:rPr>
        <w:t>区</w:t>
      </w:r>
      <w:r>
        <w:rPr>
          <w:rFonts w:hint="eastAsia" w:ascii="仿宋_GB2312" w:hAnsi="仿宋_GB2312" w:eastAsia="仿宋_GB2312" w:cs="仿宋_GB2312"/>
        </w:rPr>
        <w:t>）区域声环境质量监测</w:t>
      </w:r>
      <w:r>
        <w:rPr>
          <w:rFonts w:hint="eastAsia" w:ascii="仿宋_GB2312" w:hAnsi="仿宋_GB2312" w:cs="仿宋_GB2312"/>
          <w:lang w:val="en-US" w:eastAsia="zh-CN"/>
        </w:rPr>
        <w:t>为由</w:t>
      </w:r>
      <w:r>
        <w:rPr>
          <w:rFonts w:hint="eastAsia" w:ascii="仿宋_GB2312" w:hAnsi="仿宋_GB2312" w:eastAsia="仿宋_GB2312" w:cs="仿宋_GB2312"/>
          <w:kern w:val="0"/>
          <w:szCs w:val="32"/>
        </w:rPr>
        <w:t>市生态环境</w:t>
      </w:r>
      <w:r>
        <w:rPr>
          <w:rFonts w:hint="eastAsia" w:ascii="仿宋_GB2312" w:hAnsi="仿宋_GB2312" w:cs="仿宋_GB2312"/>
          <w:kern w:val="0"/>
          <w:szCs w:val="32"/>
          <w:lang w:val="en-US" w:eastAsia="zh-CN"/>
        </w:rPr>
        <w:t>局</w:t>
      </w:r>
      <w:r>
        <w:rPr>
          <w:rFonts w:hint="eastAsia" w:ascii="仿宋_GB2312" w:hAnsi="仿宋_GB2312" w:eastAsia="仿宋_GB2312" w:cs="仿宋_GB2312"/>
          <w:kern w:val="0"/>
          <w:szCs w:val="32"/>
        </w:rPr>
        <w:t>组织</w:t>
      </w:r>
      <w:r>
        <w:rPr>
          <w:rFonts w:hint="eastAsia" w:ascii="仿宋_GB2312" w:hAnsi="仿宋_GB2312" w:eastAsia="仿宋_GB2312" w:cs="仿宋_GB2312"/>
          <w:kern w:val="0"/>
          <w:szCs w:val="32"/>
          <w:lang w:eastAsia="zh-CN"/>
        </w:rPr>
        <w:t>实施，</w:t>
      </w:r>
      <w:r>
        <w:rPr>
          <w:rFonts w:hint="eastAsia" w:ascii="仿宋_GB2312" w:hAnsi="仿宋_GB2312" w:cs="仿宋_GB2312"/>
          <w:kern w:val="0"/>
          <w:szCs w:val="32"/>
          <w:highlight w:val="none"/>
          <w:lang w:val="en-US" w:eastAsia="zh-CN"/>
        </w:rPr>
        <w:t>在盘锦市环境监测站具备监测能力前暂商情驻市分支机构</w:t>
      </w:r>
      <w:r>
        <w:rPr>
          <w:rFonts w:hint="eastAsia" w:ascii="仿宋_GB2312" w:hAnsi="仿宋_GB2312" w:eastAsia="仿宋_GB2312" w:cs="仿宋_GB2312"/>
          <w:kern w:val="0"/>
          <w:szCs w:val="32"/>
          <w:highlight w:val="none"/>
          <w:lang w:eastAsia="zh-CN"/>
        </w:rPr>
        <w:t>代为开展监测</w:t>
      </w:r>
      <w:r>
        <w:rPr>
          <w:rFonts w:hint="eastAsia" w:ascii="仿宋_GB2312" w:hAnsi="仿宋_GB2312" w:eastAsia="仿宋_GB2312" w:cs="仿宋_GB2312"/>
          <w:kern w:val="0"/>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cs="仿宋_GB2312"/>
          <w:lang w:eastAsia="zh-CN"/>
        </w:rPr>
      </w:pPr>
      <w:r>
        <w:rPr>
          <w:rFonts w:hint="eastAsia" w:ascii="仿宋_GB2312" w:hAnsi="仿宋_GB2312" w:eastAsia="仿宋_GB2312" w:cs="仿宋_GB2312"/>
          <w:lang w:eastAsia="zh-CN"/>
        </w:rPr>
        <w:t>责任主体：市生态环境局大气科。</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kern w:val="2"/>
          <w:sz w:val="32"/>
          <w:szCs w:val="30"/>
          <w:lang w:val="en-US" w:eastAsia="zh-CN" w:bidi="ar-SA"/>
        </w:rPr>
      </w:pPr>
      <w:r>
        <w:rPr>
          <w:rFonts w:hint="eastAsia" w:ascii="仿宋_GB2312" w:hAnsi="仿宋_GB2312" w:eastAsia="仿宋_GB2312" w:cs="仿宋_GB2312"/>
          <w:b/>
          <w:kern w:val="2"/>
          <w:sz w:val="32"/>
          <w:szCs w:val="30"/>
          <w:lang w:val="en-US" w:eastAsia="zh-CN" w:bidi="ar-SA"/>
        </w:rPr>
        <w:t>3.监测内容及监测频次</w:t>
      </w:r>
    </w:p>
    <w:bookmarkEnd w:id="276"/>
    <w:bookmarkEnd w:id="277"/>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rPr>
        <w:t>县（</w:t>
      </w:r>
      <w:r>
        <w:rPr>
          <w:rFonts w:hint="eastAsia" w:ascii="仿宋_GB2312" w:hAnsi="仿宋_GB2312" w:cs="仿宋_GB2312"/>
          <w:lang w:val="en-US" w:eastAsia="zh-CN"/>
        </w:rPr>
        <w:t>区</w:t>
      </w:r>
      <w:r>
        <w:rPr>
          <w:rFonts w:hint="eastAsia" w:ascii="仿宋_GB2312" w:hAnsi="仿宋_GB2312" w:eastAsia="仿宋_GB2312" w:cs="仿宋_GB2312"/>
        </w:rPr>
        <w:t>）</w:t>
      </w:r>
      <w:r>
        <w:rPr>
          <w:rFonts w:hint="eastAsia" w:ascii="仿宋_GB2312" w:hAnsi="仿宋_GB2312" w:eastAsia="仿宋_GB2312" w:cs="仿宋_GB2312"/>
          <w:highlight w:val="none"/>
        </w:rPr>
        <w:t>区域声环境质量监测：每个测点监测10分钟的等效声级（dB（A））。9月份</w:t>
      </w:r>
      <w:r>
        <w:rPr>
          <w:rFonts w:hint="eastAsia" w:ascii="仿宋_GB2312" w:hAnsi="仿宋_GB2312" w:eastAsia="仿宋_GB2312" w:cs="仿宋_GB2312"/>
          <w:b w:val="0"/>
          <w:bCs w:val="0"/>
          <w:highlight w:val="none"/>
        </w:rPr>
        <w:t>开展1次昼间监测。</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kern w:val="2"/>
          <w:sz w:val="32"/>
          <w:szCs w:val="30"/>
          <w:lang w:val="en-US" w:eastAsia="zh-CN" w:bidi="ar-SA"/>
        </w:rPr>
      </w:pPr>
      <w:r>
        <w:rPr>
          <w:rFonts w:hint="eastAsia" w:ascii="仿宋_GB2312" w:hAnsi="仿宋_GB2312" w:eastAsia="仿宋_GB2312" w:cs="仿宋_GB2312"/>
          <w:b/>
          <w:kern w:val="2"/>
          <w:sz w:val="32"/>
          <w:szCs w:val="30"/>
          <w:lang w:val="en-US" w:eastAsia="zh-CN" w:bidi="ar-SA"/>
        </w:rPr>
        <w:t>4.数据报送及审核</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驻市分支机构汇总数据后，于11月15日前报送区域声环境质量和道路交通声环境质量监测数据</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lang w:eastAsia="zh-CN"/>
        </w:rPr>
        <w:t>同时转送市生态环境</w:t>
      </w:r>
      <w:r>
        <w:rPr>
          <w:rFonts w:hint="eastAsia" w:ascii="仿宋_GB2312" w:hAnsi="仿宋_GB2312" w:cs="仿宋_GB2312"/>
          <w:lang w:val="en-US" w:eastAsia="zh-CN"/>
        </w:rPr>
        <w:t>局</w:t>
      </w:r>
      <w:r>
        <w:rPr>
          <w:rFonts w:hint="eastAsia" w:ascii="仿宋_GB2312" w:hAnsi="仿宋_GB2312" w:eastAsia="仿宋_GB2312" w:cs="仿宋_GB2312"/>
          <w:highlight w:val="none"/>
        </w:rPr>
        <w:t>；2月、5月、8月、11月23日前报送功能区声环境质量监测数据。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噪声自动监测数据由市生态环境</w:t>
      </w:r>
      <w:r>
        <w:rPr>
          <w:rFonts w:hint="eastAsia" w:ascii="仿宋_GB2312" w:hAnsi="仿宋_GB2312" w:cs="仿宋_GB2312"/>
          <w:highlight w:val="none"/>
          <w:lang w:val="en-US" w:eastAsia="zh-CN"/>
        </w:rPr>
        <w:t>局</w:t>
      </w:r>
      <w:r>
        <w:rPr>
          <w:rFonts w:hint="eastAsia" w:ascii="仿宋_GB2312" w:hAnsi="仿宋_GB2312" w:eastAsia="仿宋_GB2312" w:cs="仿宋_GB2312"/>
          <w:highlight w:val="none"/>
        </w:rPr>
        <w:t>通过省噪声自动监测数据平台进行初审，驻市分支机构负责复核。</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kern w:val="2"/>
          <w:sz w:val="32"/>
          <w:szCs w:val="30"/>
          <w:lang w:val="en-US" w:eastAsia="zh-CN" w:bidi="ar-SA"/>
        </w:rPr>
      </w:pPr>
      <w:r>
        <w:rPr>
          <w:rFonts w:hint="eastAsia" w:ascii="仿宋_GB2312" w:hAnsi="仿宋_GB2312" w:eastAsia="仿宋_GB2312" w:cs="仿宋_GB2312"/>
          <w:b/>
          <w:kern w:val="2"/>
          <w:sz w:val="32"/>
          <w:szCs w:val="30"/>
          <w:lang w:val="en-US" w:eastAsia="zh-CN" w:bidi="ar-SA"/>
        </w:rPr>
        <w:t>5.注意事项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因故无法监测的点位，必须向省中心报送情况说明。</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声环境等效声级大于80dB（A）或小于30dB（A），需在备注中说明原因。</w:t>
      </w:r>
    </w:p>
    <w:p>
      <w:pPr>
        <w:pStyle w:val="3"/>
        <w:pageBreakBefore w:val="0"/>
        <w:widowControl w:val="0"/>
        <w:numPr>
          <w:ilvl w:val="0"/>
          <w:numId w:val="0"/>
        </w:numPr>
        <w:tabs>
          <w:tab w:val="left" w:pos="888"/>
        </w:tabs>
        <w:kinsoku/>
        <w:wordWrap/>
        <w:overflowPunct/>
        <w:topLinePunct w:val="0"/>
        <w:autoSpaceDE/>
        <w:autoSpaceDN/>
        <w:bidi w:val="0"/>
        <w:adjustRightInd/>
        <w:snapToGrid/>
        <w:spacing w:before="219" w:beforeLines="50" w:after="219" w:afterLines="50" w:line="600" w:lineRule="exact"/>
        <w:ind w:firstLine="640" w:firstLineChars="200"/>
        <w:textAlignment w:val="auto"/>
        <w:rPr>
          <w:rFonts w:hint="eastAsia" w:ascii="楷体_GB2312" w:hAnsi="楷体_GB2312" w:eastAsia="楷体_GB2312" w:cs="楷体_GB2312"/>
          <w:b w:val="0"/>
          <w:highlight w:val="none"/>
          <w:lang w:val="en-US" w:eastAsia="zh-CN"/>
        </w:rPr>
      </w:pPr>
      <w:bookmarkStart w:id="278" w:name="_Toc1492"/>
      <w:bookmarkStart w:id="279" w:name="_Toc1466"/>
      <w:bookmarkStart w:id="280" w:name="_Toc25115"/>
      <w:bookmarkStart w:id="281" w:name="_Toc6309"/>
      <w:bookmarkStart w:id="282" w:name="_Toc12308"/>
      <w:bookmarkStart w:id="283" w:name="_Toc20795"/>
      <w:bookmarkStart w:id="284" w:name="_Toc3870"/>
      <w:bookmarkStart w:id="285" w:name="_Toc25623"/>
      <w:bookmarkStart w:id="286" w:name="_Toc27208"/>
      <w:bookmarkStart w:id="287" w:name="_Toc1825"/>
      <w:r>
        <w:rPr>
          <w:rFonts w:hint="eastAsia" w:ascii="楷体_GB2312" w:hAnsi="楷体_GB2312" w:eastAsia="楷体_GB2312" w:cs="楷体_GB2312"/>
          <w:b w:val="0"/>
          <w:highlight w:val="none"/>
          <w:lang w:val="en-US" w:eastAsia="zh-CN"/>
        </w:rPr>
        <w:t>（十九）新污染物加密监测</w:t>
      </w:r>
      <w:bookmarkEnd w:id="278"/>
      <w:bookmarkEnd w:id="279"/>
      <w:bookmarkEnd w:id="280"/>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val="0"/>
          <w:kern w:val="2"/>
          <w:sz w:val="32"/>
          <w:szCs w:val="30"/>
          <w:highlight w:val="none"/>
          <w:lang w:val="en-US" w:eastAsia="zh-CN" w:bidi="ar-SA"/>
        </w:rPr>
      </w:pPr>
      <w:r>
        <w:rPr>
          <w:rFonts w:hint="eastAsia" w:ascii="仿宋_GB2312" w:hAnsi="仿宋_GB2312" w:eastAsia="仿宋_GB2312" w:cs="仿宋_GB2312"/>
          <w:b/>
          <w:bCs w:val="0"/>
          <w:kern w:val="2"/>
          <w:sz w:val="32"/>
          <w:szCs w:val="30"/>
          <w:highlight w:val="none"/>
          <w:lang w:val="en-US" w:eastAsia="zh-CN" w:bidi="ar-SA"/>
        </w:rPr>
        <w:t>1.监测范围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选择优先评估化学物质潜在环境排放水平或赋存水平较高的区域，包括特定优先评估化学物质生产使用企业相对集中的区域，特定优先评估化学物质排放相对集中的典型园区污水处理厂周边及受其排放影响较大的区域，人口密集区的城镇污水处理厂周边区域等。具体按辽宁省《第一批化学物质环境风险优先评估计划》加密监测方案（另行印发）执行。</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highlight w:val="none"/>
        </w:rPr>
      </w:pPr>
      <w:r>
        <w:rPr>
          <w:rFonts w:hint="eastAsia" w:ascii="仿宋_GB2312" w:hAnsi="仿宋_GB2312" w:eastAsia="仿宋_GB2312" w:cs="仿宋_GB2312"/>
          <w:b/>
          <w:szCs w:val="30"/>
          <w:highlight w:val="none"/>
        </w:rPr>
        <w:t>2.监测项目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《第一批化学物质环境风险优先评估计划》中所列20种类优先评估化学物质。监测介质根据监测项目的理化性质，选择潜在环境赋存高的环境介质。</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highlight w:val="none"/>
        </w:rPr>
      </w:pPr>
      <w:r>
        <w:rPr>
          <w:rFonts w:hint="eastAsia" w:ascii="仿宋_GB2312" w:hAnsi="仿宋_GB2312" w:eastAsia="仿宋_GB2312" w:cs="仿宋_GB2312"/>
          <w:b/>
          <w:szCs w:val="30"/>
          <w:highlight w:val="none"/>
        </w:rPr>
        <w:t>3.监测频次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地表水每年监测2次，枯水期和丰水期各1次。土壤、沉积物、环境空气每年至少监测1次。</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highlight w:val="none"/>
        </w:rPr>
      </w:pPr>
      <w:r>
        <w:rPr>
          <w:rFonts w:hint="eastAsia" w:ascii="仿宋_GB2312" w:hAnsi="仿宋_GB2312" w:eastAsia="仿宋_GB2312" w:cs="仿宋_GB2312"/>
          <w:b/>
          <w:szCs w:val="30"/>
          <w:highlight w:val="none"/>
        </w:rPr>
        <w:t>4.工作方式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按辽宁省《第一批化学物质环境风险优先评估计划》加密监测方案组织实施。</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责任主体：市生态环境局</w:t>
      </w:r>
      <w:r>
        <w:rPr>
          <w:rFonts w:hint="eastAsia" w:ascii="仿宋_GB2312" w:hAnsi="仿宋_GB2312" w:cs="仿宋_GB2312"/>
          <w:highlight w:val="none"/>
          <w:lang w:val="en-US" w:eastAsia="zh-CN"/>
        </w:rPr>
        <w:t>法规</w:t>
      </w:r>
      <w:r>
        <w:rPr>
          <w:rFonts w:hint="eastAsia" w:ascii="仿宋_GB2312" w:hAnsi="仿宋_GB2312" w:eastAsia="仿宋_GB2312" w:cs="仿宋_GB2312"/>
          <w:highlight w:val="none"/>
          <w:lang w:eastAsia="zh-CN"/>
        </w:rPr>
        <w:t>科。</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highlight w:val="none"/>
        </w:rPr>
      </w:pPr>
      <w:r>
        <w:rPr>
          <w:rFonts w:hint="eastAsia" w:ascii="仿宋_GB2312" w:hAnsi="仿宋_GB2312" w:eastAsia="仿宋_GB2312" w:cs="仿宋_GB2312"/>
          <w:b/>
          <w:szCs w:val="30"/>
          <w:highlight w:val="none"/>
        </w:rPr>
        <w:t>5.数据报送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b/>
          <w:sz w:val="36"/>
          <w:szCs w:val="36"/>
          <w:highlight w:val="none"/>
        </w:rPr>
      </w:pPr>
      <w:r>
        <w:rPr>
          <w:rFonts w:hint="eastAsia" w:ascii="仿宋_GB2312" w:hAnsi="仿宋_GB2312" w:eastAsia="仿宋_GB2312" w:cs="仿宋_GB2312"/>
          <w:highlight w:val="none"/>
        </w:rPr>
        <w:t>2024年10月31日前向生态环境部报送包含原始监测数据的加密监测数据分析报告。同时，对工作过程中获得的资料，任何单位和个人不得对外提供、泄露，不得用于本项工作之外的其他用途。</w:t>
      </w:r>
    </w:p>
    <w:p>
      <w:pPr>
        <w:pStyle w:val="2"/>
        <w:keepNext/>
        <w:keepLines/>
        <w:pageBreakBefore w:val="0"/>
        <w:widowControl w:val="0"/>
        <w:kinsoku/>
        <w:wordWrap/>
        <w:overflowPunct/>
        <w:topLinePunct w:val="0"/>
        <w:autoSpaceDE/>
        <w:autoSpaceDN/>
        <w:bidi w:val="0"/>
        <w:adjustRightInd/>
        <w:snapToGrid/>
        <w:spacing w:before="438" w:beforeLines="100" w:after="438" w:afterLines="100" w:line="600" w:lineRule="exact"/>
        <w:ind w:left="0" w:leftChars="0" w:firstLine="0" w:firstLineChars="0"/>
        <w:jc w:val="center"/>
        <w:textAlignment w:val="auto"/>
        <w:rPr>
          <w:rFonts w:hint="eastAsia" w:ascii="Times New Roman" w:hAnsi="Times New Roman" w:eastAsia="黑体" w:cs="Times New Roman"/>
          <w:b/>
          <w:bCs/>
          <w:kern w:val="44"/>
          <w:sz w:val="36"/>
          <w:szCs w:val="36"/>
          <w:highlight w:val="none"/>
          <w:lang w:val="en-US" w:eastAsia="zh-CN" w:bidi="ar-SA"/>
        </w:rPr>
      </w:pPr>
      <w:bookmarkStart w:id="288" w:name="_Toc4359"/>
      <w:r>
        <w:rPr>
          <w:rFonts w:hint="eastAsia" w:cs="Times New Roman"/>
          <w:b/>
          <w:bCs/>
          <w:kern w:val="44"/>
          <w:sz w:val="36"/>
          <w:szCs w:val="36"/>
          <w:highlight w:val="none"/>
          <w:lang w:val="en-US" w:eastAsia="zh-CN" w:bidi="ar-SA"/>
        </w:rPr>
        <w:t>六、</w:t>
      </w:r>
      <w:r>
        <w:rPr>
          <w:rFonts w:hint="eastAsia" w:ascii="Times New Roman" w:hAnsi="Times New Roman" w:eastAsia="黑体" w:cs="Times New Roman"/>
          <w:b/>
          <w:bCs/>
          <w:kern w:val="44"/>
          <w:sz w:val="36"/>
          <w:szCs w:val="36"/>
          <w:highlight w:val="none"/>
          <w:lang w:val="en-US" w:eastAsia="zh-CN" w:bidi="ar-SA"/>
        </w:rPr>
        <w:t>温室气体监测</w:t>
      </w:r>
      <w:bookmarkEnd w:id="288"/>
    </w:p>
    <w:p>
      <w:pPr>
        <w:pStyle w:val="3"/>
        <w:keepNext w:val="0"/>
        <w:keepLines w:val="0"/>
        <w:pageBreakBefore w:val="0"/>
        <w:widowControl w:val="0"/>
        <w:numPr>
          <w:ilvl w:val="0"/>
          <w:numId w:val="0"/>
        </w:numPr>
        <w:kinsoku/>
        <w:wordWrap/>
        <w:overflowPunct/>
        <w:topLinePunct w:val="0"/>
        <w:autoSpaceDE/>
        <w:autoSpaceDN/>
        <w:bidi w:val="0"/>
        <w:adjustRightInd/>
        <w:snapToGrid/>
        <w:spacing w:before="217" w:beforeLines="50" w:after="217" w:afterLines="50" w:line="600" w:lineRule="exact"/>
        <w:ind w:leftChars="200"/>
        <w:textAlignment w:val="auto"/>
        <w:rPr>
          <w:rFonts w:hint="eastAsia" w:ascii="楷体_GB2312" w:hAnsi="楷体_GB2312" w:eastAsia="楷体_GB2312" w:cs="楷体_GB2312"/>
          <w:b w:val="0"/>
          <w:bCs/>
          <w:szCs w:val="30"/>
        </w:rPr>
      </w:pPr>
      <w:bookmarkStart w:id="289" w:name="_Toc12269"/>
      <w:bookmarkStart w:id="290" w:name="_Toc24706"/>
      <w:bookmarkStart w:id="291" w:name="_Toc21821"/>
      <w:bookmarkStart w:id="292" w:name="_Toc10555"/>
      <w:bookmarkStart w:id="293" w:name="_Toc5058"/>
      <w:bookmarkStart w:id="294" w:name="_Toc18137"/>
      <w:bookmarkStart w:id="295" w:name="_Toc22992"/>
      <w:bookmarkStart w:id="296" w:name="_Toc24373"/>
      <w:r>
        <w:rPr>
          <w:rFonts w:hint="eastAsia" w:ascii="楷体_GB2312" w:hAnsi="楷体_GB2312" w:eastAsia="楷体_GB2312" w:cs="楷体_GB2312"/>
          <w:b w:val="0"/>
          <w:bCs/>
          <w:lang w:eastAsia="zh-CN"/>
        </w:rPr>
        <w:t>（二十）</w:t>
      </w:r>
      <w:bookmarkStart w:id="297" w:name="_Toc31099"/>
      <w:bookmarkStart w:id="298" w:name="_Toc727713782"/>
      <w:bookmarkStart w:id="299" w:name="_Toc5938"/>
      <w:bookmarkStart w:id="300" w:name="_Toc792032762"/>
      <w:bookmarkStart w:id="301" w:name="_Toc1411250751"/>
      <w:r>
        <w:rPr>
          <w:rFonts w:hint="eastAsia" w:ascii="楷体_GB2312" w:hAnsi="楷体_GB2312" w:eastAsia="楷体_GB2312" w:cs="楷体_GB2312"/>
          <w:b w:val="0"/>
          <w:bCs/>
        </w:rPr>
        <w:t>城市海洋碳汇监测</w:t>
      </w:r>
      <w:bookmarkEnd w:id="289"/>
      <w:bookmarkEnd w:id="297"/>
      <w:bookmarkEnd w:id="298"/>
      <w:bookmarkEnd w:id="299"/>
      <w:bookmarkEnd w:id="300"/>
      <w:bookmarkEnd w:id="301"/>
    </w:p>
    <w:p>
      <w:pPr>
        <w:keepNext w:val="0"/>
        <w:keepLines w:val="0"/>
        <w:pageBreakBefore w:val="0"/>
        <w:widowControl w:val="0"/>
        <w:kinsoku/>
        <w:wordWrap/>
        <w:overflowPunct/>
        <w:autoSpaceDE/>
        <w:autoSpaceDN/>
        <w:bidi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1.监测范围</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选取盘锦作为海洋城市试点，在盐沼、海草床、海藻养殖等试点内容中选取一种或多种类型，重点开展碳储量和碳通量监测评估</w:t>
      </w:r>
      <w:r>
        <w:rPr>
          <w:rFonts w:hint="eastAsia" w:ascii="仿宋_GB2312" w:hAnsi="仿宋_GB2312" w:cs="仿宋_GB2312"/>
          <w:szCs w:val="32"/>
          <w:lang w:eastAsia="zh-CN"/>
        </w:rPr>
        <w:t>，</w:t>
      </w:r>
      <w:r>
        <w:rPr>
          <w:rFonts w:hint="eastAsia" w:ascii="仿宋_GB2312" w:hAnsi="仿宋_GB2312" w:eastAsia="仿宋_GB2312" w:cs="仿宋_GB2312"/>
          <w:szCs w:val="32"/>
        </w:rPr>
        <w:t>国家海洋中心提供技术支持。</w:t>
      </w:r>
    </w:p>
    <w:p>
      <w:pPr>
        <w:keepNext w:val="0"/>
        <w:keepLines w:val="0"/>
        <w:pageBreakBefore w:val="0"/>
        <w:widowControl w:val="0"/>
        <w:kinsoku/>
        <w:wordWrap/>
        <w:overflowPunct/>
        <w:autoSpaceDE/>
        <w:autoSpaceDN/>
        <w:bidi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2.监测内容</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0"/>
        <w:textAlignment w:val="auto"/>
        <w:rPr>
          <w:rFonts w:hint="eastAsia" w:ascii="仿宋_GB2312" w:hAnsi="仿宋_GB2312" w:eastAsia="仿宋_GB2312" w:cs="仿宋_GB2312"/>
          <w:szCs w:val="32"/>
          <w:lang w:val="en"/>
        </w:rPr>
      </w:pPr>
      <w:r>
        <w:rPr>
          <w:rFonts w:hint="eastAsia" w:ascii="仿宋_GB2312" w:hAnsi="仿宋_GB2312" w:eastAsia="仿宋_GB2312" w:cs="仿宋_GB2312"/>
          <w:szCs w:val="32"/>
        </w:rPr>
        <w:t>监测项目、点位布设要求、监测方法、监测频次均参照《城市大气温室气体及海洋碳汇监测试点技术指南》（环办监测函〔2021〕435号）执行，并综合利用卫星、无人机、地面等技术手段因地制宜开展碳储量、碳通量相关参数监测。碳储量相关指标根据不同监测区域的实际情况，选择生物量最大季节开展监测，通常为7-10月，1次</w:t>
      </w:r>
      <w:r>
        <w:rPr>
          <w:rFonts w:hint="eastAsia" w:ascii="仿宋_GB2312" w:hAnsi="仿宋_GB2312" w:eastAsia="仿宋_GB2312" w:cs="仿宋_GB2312"/>
          <w:szCs w:val="32"/>
          <w:lang w:val="en"/>
        </w:rPr>
        <w:t>/年。</w:t>
      </w:r>
    </w:p>
    <w:p>
      <w:pPr>
        <w:keepNext w:val="0"/>
        <w:keepLines w:val="0"/>
        <w:pageBreakBefore w:val="0"/>
        <w:widowControl w:val="0"/>
        <w:kinsoku/>
        <w:wordWrap/>
        <w:overflowPunct/>
        <w:autoSpaceDE/>
        <w:autoSpaceDN/>
        <w:bidi w:val="0"/>
        <w:spacing w:line="600" w:lineRule="exact"/>
        <w:ind w:firstLine="643"/>
        <w:textAlignment w:val="auto"/>
        <w:outlineLvl w:val="9"/>
        <w:rPr>
          <w:rFonts w:hint="eastAsia" w:ascii="仿宋_GB2312" w:hAnsi="仿宋_GB2312" w:eastAsia="仿宋_GB2312" w:cs="仿宋_GB2312"/>
          <w:b/>
          <w:szCs w:val="30"/>
          <w:lang w:eastAsia="zh-CN"/>
        </w:rPr>
      </w:pPr>
      <w:r>
        <w:rPr>
          <w:rFonts w:hint="eastAsia" w:ascii="仿宋_GB2312" w:hAnsi="仿宋_GB2312" w:eastAsia="仿宋_GB2312" w:cs="仿宋_GB2312"/>
          <w:b/>
          <w:szCs w:val="30"/>
        </w:rPr>
        <w:t>3.</w:t>
      </w:r>
      <w:r>
        <w:rPr>
          <w:rFonts w:hint="eastAsia" w:ascii="仿宋_GB2312" w:hAnsi="仿宋_GB2312" w:eastAsia="仿宋_GB2312" w:cs="仿宋_GB2312"/>
          <w:b/>
          <w:szCs w:val="30"/>
          <w:lang w:eastAsia="zh-CN"/>
        </w:rPr>
        <w:t>工作方式</w:t>
      </w:r>
    </w:p>
    <w:p>
      <w:pPr>
        <w:keepNext w:val="0"/>
        <w:keepLines w:val="0"/>
        <w:pageBreakBefore w:val="0"/>
        <w:widowControl w:val="0"/>
        <w:kinsoku/>
        <w:wordWrap/>
        <w:overflowPunct/>
        <w:autoSpaceDE/>
        <w:autoSpaceDN/>
        <w:bidi w:val="0"/>
        <w:spacing w:line="60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城市海洋碳汇监测为市级事权，由市生态环境</w:t>
      </w:r>
      <w:r>
        <w:rPr>
          <w:rFonts w:hint="eastAsia" w:ascii="仿宋_GB2312" w:hAnsi="仿宋_GB2312" w:cs="仿宋_GB2312"/>
          <w:szCs w:val="32"/>
          <w:lang w:val="en-US" w:eastAsia="zh-CN"/>
        </w:rPr>
        <w:t>局</w:t>
      </w:r>
      <w:r>
        <w:rPr>
          <w:rFonts w:hint="eastAsia" w:ascii="仿宋_GB2312" w:hAnsi="仿宋_GB2312" w:eastAsia="仿宋_GB2312" w:cs="仿宋_GB2312"/>
          <w:szCs w:val="32"/>
        </w:rPr>
        <w:t>组织开展，国家海洋中心予以技术指导。</w:t>
      </w:r>
    </w:p>
    <w:p>
      <w:pPr>
        <w:keepNext w:val="0"/>
        <w:keepLines w:val="0"/>
        <w:pageBreakBefore w:val="0"/>
        <w:widowControl w:val="0"/>
        <w:kinsoku/>
        <w:wordWrap/>
        <w:overflowPunct/>
        <w:autoSpaceDE/>
        <w:autoSpaceDN/>
        <w:bidi w:val="0"/>
        <w:spacing w:line="600" w:lineRule="exact"/>
        <w:ind w:firstLine="640"/>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责任主体：</w:t>
      </w:r>
      <w:r>
        <w:rPr>
          <w:rFonts w:hint="eastAsia" w:ascii="仿宋_GB2312" w:hAnsi="仿宋_GB2312" w:eastAsia="仿宋_GB2312" w:cs="仿宋_GB2312"/>
          <w:szCs w:val="32"/>
          <w:highlight w:val="none"/>
          <w:lang w:eastAsia="zh-CN"/>
        </w:rPr>
        <w:t>市生态环境局</w:t>
      </w:r>
      <w:r>
        <w:rPr>
          <w:rFonts w:hint="eastAsia" w:ascii="仿宋_GB2312" w:hAnsi="仿宋_GB2312" w:cs="仿宋_GB2312"/>
          <w:szCs w:val="32"/>
          <w:highlight w:val="none"/>
          <w:lang w:eastAsia="zh-CN"/>
        </w:rPr>
        <w:t>生态</w:t>
      </w:r>
      <w:r>
        <w:rPr>
          <w:rFonts w:hint="eastAsia" w:ascii="仿宋_GB2312" w:hAnsi="仿宋_GB2312" w:eastAsia="仿宋_GB2312" w:cs="仿宋_GB2312"/>
          <w:szCs w:val="32"/>
          <w:highlight w:val="none"/>
          <w:lang w:eastAsia="zh-CN"/>
        </w:rPr>
        <w:t>科</w:t>
      </w:r>
      <w:r>
        <w:rPr>
          <w:rFonts w:hint="eastAsia" w:ascii="仿宋_GB2312" w:hAnsi="仿宋_GB2312" w:eastAsia="仿宋_GB2312" w:cs="仿宋_GB2312"/>
          <w:szCs w:val="32"/>
          <w:highlight w:val="none"/>
        </w:rPr>
        <w:t>。</w:t>
      </w:r>
    </w:p>
    <w:p>
      <w:pPr>
        <w:keepNext w:val="0"/>
        <w:keepLines w:val="0"/>
        <w:pageBreakBefore w:val="0"/>
        <w:widowControl w:val="0"/>
        <w:kinsoku/>
        <w:wordWrap/>
        <w:overflowPunct/>
        <w:autoSpaceDE/>
        <w:autoSpaceDN/>
        <w:bidi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4.质量保证与质量控制</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依据《全国林业碳汇计量与监测技术指南（试行）》《海草床生态监测技术规程》（HY</w:t>
      </w:r>
      <w:r>
        <w:rPr>
          <w:rFonts w:hint="eastAsia" w:ascii="仿宋_GB2312" w:hAnsi="仿宋_GB2312" w:eastAsia="仿宋_GB2312" w:cs="仿宋_GB2312"/>
          <w:szCs w:val="32"/>
          <w:lang w:val="en"/>
        </w:rPr>
        <w:t>/T 083-2005</w:t>
      </w:r>
      <w:r>
        <w:rPr>
          <w:rFonts w:hint="eastAsia" w:ascii="仿宋_GB2312" w:hAnsi="仿宋_GB2312" w:eastAsia="仿宋_GB2312" w:cs="仿宋_GB2312"/>
          <w:szCs w:val="32"/>
        </w:rPr>
        <w:t>）、《森林生态系统碳储量计量指南》（LY/T 2988-2018）等标准规程开展监测数据质量控制。各类湿地植被的总体分类精度不低于80%，各类参数的遥感反演精度不低于70%，碳通量半小时缺失数据小于10%。</w:t>
      </w:r>
    </w:p>
    <w:p>
      <w:pPr>
        <w:keepNext w:val="0"/>
        <w:keepLines w:val="0"/>
        <w:pageBreakBefore w:val="0"/>
        <w:widowControl w:val="0"/>
        <w:kinsoku/>
        <w:wordWrap/>
        <w:overflowPunct/>
        <w:autoSpaceDE/>
        <w:autoSpaceDN/>
        <w:bidi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5.数据报送</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0"/>
        <w:textAlignment w:val="auto"/>
        <w:rPr>
          <w:rFonts w:hint="eastAsia" w:ascii="仿宋_GB2312" w:hAnsi="仿宋_GB2312" w:eastAsia="仿宋_GB2312" w:cs="仿宋_GB2312"/>
          <w:szCs w:val="32"/>
        </w:rPr>
      </w:pPr>
      <w:r>
        <w:rPr>
          <w:rFonts w:hint="eastAsia" w:ascii="仿宋_GB2312" w:hAnsi="仿宋_GB2312" w:eastAsia="仿宋_GB2312" w:cs="仿宋_GB2312"/>
          <w:highlight w:val="none"/>
        </w:rPr>
        <w:t>通过海洋生态环境监测数据传输系统，于12月15日前将监测数据、工作照片（5幅以上）及监测评价报告报送国家海洋中心。</w:t>
      </w:r>
    </w:p>
    <w:bookmarkEnd w:id="290"/>
    <w:bookmarkEnd w:id="291"/>
    <w:bookmarkEnd w:id="292"/>
    <w:bookmarkEnd w:id="293"/>
    <w:bookmarkEnd w:id="294"/>
    <w:bookmarkEnd w:id="295"/>
    <w:bookmarkEnd w:id="296"/>
    <w:p>
      <w:pPr>
        <w:pStyle w:val="2"/>
        <w:keepNext/>
        <w:keepLines/>
        <w:pageBreakBefore w:val="0"/>
        <w:widowControl w:val="0"/>
        <w:kinsoku/>
        <w:wordWrap/>
        <w:overflowPunct/>
        <w:topLinePunct w:val="0"/>
        <w:autoSpaceDE/>
        <w:autoSpaceDN/>
        <w:bidi w:val="0"/>
        <w:adjustRightInd/>
        <w:snapToGrid/>
        <w:spacing w:before="438" w:beforeLines="100" w:after="438" w:afterLines="100" w:line="600" w:lineRule="exact"/>
        <w:ind w:left="0" w:leftChars="0" w:firstLine="0" w:firstLineChars="0"/>
        <w:jc w:val="center"/>
        <w:textAlignment w:val="auto"/>
        <w:rPr>
          <w:rFonts w:hint="eastAsia" w:ascii="Times New Roman" w:hAnsi="Times New Roman" w:eastAsia="黑体" w:cs="Times New Roman"/>
          <w:b/>
          <w:bCs/>
          <w:kern w:val="44"/>
          <w:sz w:val="36"/>
          <w:szCs w:val="36"/>
          <w:highlight w:val="none"/>
          <w:lang w:val="en-US" w:eastAsia="zh-CN" w:bidi="ar-SA"/>
        </w:rPr>
      </w:pPr>
      <w:bookmarkStart w:id="302" w:name="_Toc4716"/>
      <w:r>
        <w:rPr>
          <w:rFonts w:hint="eastAsia" w:ascii="Times New Roman" w:hAnsi="Times New Roman" w:eastAsia="黑体" w:cs="Times New Roman"/>
          <w:b/>
          <w:bCs/>
          <w:kern w:val="44"/>
          <w:sz w:val="36"/>
          <w:szCs w:val="36"/>
          <w:highlight w:val="none"/>
          <w:lang w:val="en-US" w:eastAsia="zh-CN" w:bidi="ar-SA"/>
        </w:rPr>
        <w:t>七、污染源监测</w:t>
      </w:r>
      <w:bookmarkEnd w:id="273"/>
      <w:bookmarkEnd w:id="281"/>
      <w:bookmarkEnd w:id="282"/>
      <w:bookmarkEnd w:id="283"/>
      <w:bookmarkEnd w:id="284"/>
      <w:bookmarkEnd w:id="285"/>
      <w:bookmarkEnd w:id="286"/>
      <w:bookmarkEnd w:id="287"/>
      <w:bookmarkEnd w:id="302"/>
    </w:p>
    <w:bookmarkEnd w:id="274"/>
    <w:p>
      <w:pPr>
        <w:pStyle w:val="3"/>
        <w:keepNext w:val="0"/>
        <w:keepLines w:val="0"/>
        <w:pageBreakBefore w:val="0"/>
        <w:widowControl w:val="0"/>
        <w:numPr>
          <w:ilvl w:val="0"/>
          <w:numId w:val="0"/>
        </w:numPr>
        <w:kinsoku/>
        <w:wordWrap/>
        <w:overflowPunct/>
        <w:topLinePunct w:val="0"/>
        <w:autoSpaceDE/>
        <w:autoSpaceDN/>
        <w:bidi w:val="0"/>
        <w:adjustRightInd/>
        <w:snapToGrid/>
        <w:spacing w:before="217" w:beforeLines="50" w:after="217" w:afterLines="50" w:line="600" w:lineRule="exact"/>
        <w:ind w:leftChars="200"/>
        <w:textAlignment w:val="auto"/>
        <w:rPr>
          <w:rFonts w:hint="eastAsia" w:ascii="楷体_GB2312" w:hAnsi="楷体_GB2312" w:eastAsia="楷体_GB2312" w:cs="楷体_GB2312"/>
          <w:b w:val="0"/>
          <w:bCs/>
          <w:lang w:eastAsia="zh-CN"/>
        </w:rPr>
      </w:pPr>
      <w:bookmarkStart w:id="303" w:name="_Toc2721"/>
      <w:bookmarkStart w:id="304" w:name="_Toc24021"/>
      <w:bookmarkStart w:id="305" w:name="_Toc2875"/>
      <w:bookmarkStart w:id="306" w:name="_Toc6740"/>
      <w:bookmarkStart w:id="307" w:name="_Toc18446"/>
      <w:bookmarkStart w:id="308" w:name="_Toc1566"/>
      <w:bookmarkStart w:id="309" w:name="_Toc17145"/>
      <w:bookmarkStart w:id="310" w:name="_Toc1392067"/>
      <w:bookmarkStart w:id="311" w:name="_Toc9935"/>
      <w:r>
        <w:rPr>
          <w:rFonts w:hint="eastAsia" w:ascii="楷体_GB2312" w:hAnsi="楷体_GB2312" w:eastAsia="楷体_GB2312" w:cs="楷体_GB2312"/>
          <w:b w:val="0"/>
          <w:bCs/>
          <w:lang w:eastAsia="zh-CN"/>
        </w:rPr>
        <w:t>（二十</w:t>
      </w:r>
      <w:r>
        <w:rPr>
          <w:rFonts w:hint="eastAsia" w:ascii="楷体_GB2312" w:hAnsi="楷体_GB2312" w:eastAsia="楷体_GB2312" w:cs="楷体_GB2312"/>
          <w:b w:val="0"/>
          <w:bCs/>
          <w:lang w:val="en-US" w:eastAsia="zh-CN"/>
        </w:rPr>
        <w:t>一</w:t>
      </w:r>
      <w:r>
        <w:rPr>
          <w:rFonts w:hint="eastAsia" w:ascii="楷体_GB2312" w:hAnsi="楷体_GB2312" w:eastAsia="楷体_GB2312" w:cs="楷体_GB2312"/>
          <w:b w:val="0"/>
          <w:bCs/>
          <w:lang w:eastAsia="zh-CN"/>
        </w:rPr>
        <w:t>）执法监测</w:t>
      </w:r>
      <w:bookmarkEnd w:id="275"/>
      <w:bookmarkEnd w:id="303"/>
      <w:bookmarkEnd w:id="304"/>
      <w:bookmarkEnd w:id="305"/>
      <w:bookmarkEnd w:id="306"/>
      <w:bookmarkEnd w:id="307"/>
      <w:bookmarkEnd w:id="308"/>
      <w:bookmarkEnd w:id="309"/>
      <w:bookmarkEnd w:id="310"/>
      <w:bookmarkEnd w:id="311"/>
    </w:p>
    <w:p>
      <w:pPr>
        <w:keepNext w:val="0"/>
        <w:keepLines w:val="0"/>
        <w:pageBreakBefore w:val="0"/>
        <w:widowControl w:val="0"/>
        <w:kinsoku/>
        <w:wordWrap/>
        <w:overflowPunct/>
        <w:autoSpaceDE/>
        <w:autoSpaceDN/>
        <w:bidi w:val="0"/>
        <w:spacing w:line="600" w:lineRule="exact"/>
        <w:ind w:firstLine="643"/>
        <w:textAlignment w:val="auto"/>
        <w:outlineLvl w:val="9"/>
        <w:rPr>
          <w:rFonts w:hint="eastAsia" w:ascii="仿宋_GB2312" w:hAnsi="仿宋_GB2312" w:eastAsia="仿宋_GB2312" w:cs="仿宋_GB2312"/>
          <w:b/>
          <w:bCs/>
        </w:rPr>
      </w:pPr>
      <w:bookmarkStart w:id="312" w:name="_Toc1392070"/>
      <w:bookmarkStart w:id="313" w:name="_Toc1392071"/>
      <w:r>
        <w:rPr>
          <w:rFonts w:hint="eastAsia" w:ascii="仿宋_GB2312" w:hAnsi="仿宋_GB2312" w:eastAsia="仿宋_GB2312" w:cs="仿宋_GB2312"/>
          <w:b/>
          <w:bCs/>
        </w:rPr>
        <w:t>1.监测范围</w:t>
      </w:r>
    </w:p>
    <w:p>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已核发排污许可证的企业及入河排污口、涉重金属行业企业</w:t>
      </w:r>
      <w:r>
        <w:rPr>
          <w:rFonts w:hint="eastAsia" w:ascii="仿宋_GB2312" w:hAnsi="仿宋_GB2312" w:eastAsia="仿宋_GB2312" w:cs="仿宋_GB2312"/>
          <w:highlight w:val="none"/>
        </w:rPr>
        <mc:AlternateContent>
          <mc:Choice Requires="wpg">
            <w:drawing>
              <wp:anchor distT="0" distB="0" distL="114300" distR="114300" simplePos="0" relativeHeight="251660288" behindDoc="1" locked="0" layoutInCell="1" allowOverlap="1">
                <wp:simplePos x="0" y="0"/>
                <wp:positionH relativeFrom="page">
                  <wp:posOffset>3043555</wp:posOffset>
                </wp:positionH>
                <wp:positionV relativeFrom="paragraph">
                  <wp:posOffset>278130</wp:posOffset>
                </wp:positionV>
                <wp:extent cx="952500" cy="370205"/>
                <wp:effectExtent l="0" t="0" r="0" b="0"/>
                <wp:wrapNone/>
                <wp:docPr id="6" name="组合 7"/>
                <wp:cNvGraphicFramePr/>
                <a:graphic xmlns:a="http://schemas.openxmlformats.org/drawingml/2006/main">
                  <a:graphicData uri="http://schemas.microsoft.com/office/word/2010/wordprocessingGroup">
                    <wpg:wgp>
                      <wpg:cNvGrpSpPr/>
                      <wpg:grpSpPr>
                        <a:xfrm>
                          <a:off x="0" y="0"/>
                          <a:ext cx="952500" cy="370205"/>
                          <a:chOff x="4794" y="439"/>
                          <a:chExt cx="1500" cy="583203"/>
                        </a:xfrm>
                      </wpg:grpSpPr>
                      <wps:wsp>
                        <wps:cNvPr id="7" name="任意多边形 4"/>
                        <wps:cNvSpPr/>
                        <wps:spPr>
                          <a:xfrm>
                            <a:off x="4794" y="439"/>
                            <a:ext cx="1500" cy="583"/>
                          </a:xfrm>
                          <a:custGeom>
                            <a:avLst/>
                            <a:gdLst>
                              <a:gd name="A1" fmla="val 0"/>
                              <a:gd name="A3" fmla="val 0"/>
                            </a:gdLst>
                            <a:ahLst/>
                            <a:cxnLst/>
                            <a:rect l="0" t="0" r="0" b="0"/>
                            <a:pathLst>
                              <a:path w="1500" h="583">
                                <a:moveTo>
                                  <a:pt x="0" y="0"/>
                                </a:moveTo>
                                <a:lnTo>
                                  <a:pt x="1500" y="0"/>
                                </a:lnTo>
                                <a:lnTo>
                                  <a:pt x="1500" y="583"/>
                                </a:lnTo>
                                <a:lnTo>
                                  <a:pt x="0" y="583"/>
                                </a:lnTo>
                                <a:lnTo>
                                  <a:pt x="0" y="0"/>
                                </a:lnTo>
                                <a:close/>
                              </a:path>
                            </a:pathLst>
                          </a:custGeom>
                          <a:solidFill>
                            <a:srgbClr val="0101FF"/>
                          </a:solidFill>
                          <a:ln w="9525">
                            <a:noFill/>
                          </a:ln>
                        </wps:spPr>
                        <wps:bodyPr wrap="square" upright="1"/>
                      </wps:wsp>
                    </wpg:wgp>
                  </a:graphicData>
                </a:graphic>
              </wp:anchor>
            </w:drawing>
          </mc:Choice>
          <mc:Fallback>
            <w:pict>
              <v:group id="组合 7" o:spid="_x0000_s1026" o:spt="203" style="position:absolute;left:0pt;margin-left:239.65pt;margin-top:21.9pt;height:29.15pt;width:75pt;mso-position-horizontal-relative:page;z-index:-251656192;mso-width-relative:page;mso-height-relative:page;" coordorigin="4794,439" coordsize="1500,583203" o:gfxdata="UEsDBAoAAAAAAIdO4kAAAAAAAAAAAAAAAAAEAAAAZHJzL1BLAwQUAAAACACHTuJA7hWN/tkAAAAK&#10;AQAADwAAAGRycy9kb3ducmV2LnhtbE2PQU/DMAyF70j8h8hI3FiSFgaUphOagNM0iQ0JcfNar63W&#10;JFWTtdu/xzvBzfb79PxevjjZTow0hNY7A3qmQJArfdW62sDX9v3uCUSI6CrsvCMDZwqwKK6vcswq&#10;P7lPGjexFmziQoYGmhj7TMpQNmQxzHxPjrW9HyxGXodaVgNObG47mSg1lxZbxx8a7GnZUHnYHK2B&#10;jwmn11S/javDfnn+2T6sv1eajLm90eoFRKRT/IPhEp+jQ8GZdv7oqiA6A/ePzymjPKRcgYF5cjns&#10;mFSJBlnk8n+F4hdQSwMEFAAAAAgAh07iQA5LLs+qAgAALAYAAA4AAABkcnMvZTJvRG9jLnhtbKVU&#10;zW7UMBC+I/EOlu80yf5026jZClG2FwSVWh7AdZwfybGN7d1s7z1wgzPHipdAK3gaCjwGYydOt1uE&#10;Krgktmf8zXzfjOfoeN1wtGLa1FJkONmLMWKCyrwWZYbfXiyeHWBkLBE54VKwDF8xg4/nT58ctSpl&#10;I1lJnjONAESYtFUZrqxVaRQZWrGGmD2pmABjIXVDLGx1GeWatIDe8GgUx/tRK3WutKTMGDg96Yy4&#10;R9SPAZRFUVN2IumyYcJ2qJpxYoGSqWpl8NxnWxSM2jdFYZhFPMPA1PovBIH1pftG8yOSlpqoqqZ9&#10;CuQxKexwakgtIOgAdUIsQUtdP4BqaqqlkYXdo7KJOiJeEWCRxDvanGq5VJ5LmbalGkSHQu2o/s+w&#10;9PXqTKM6z/A+RoI0UPCfm+vbj+/RzGnTqjIFl1OtztWZ7g/KbuforgvduD8QQWuv6tWgKltbROHw&#10;cDqaxqA3BdN4Fo/iaac6raA07tZkdjjBCKyT8WEwvewvJ8PV6cF4FI+dPQpxI5fekE2roCHNnUrm&#10;/1Q6r4hiXnzjJOhVmgWVvm82P64/3H7+9Ovbl9uvN2jiMnMpgO+glUkNyPYHoR5SDmrdI3yPLUnp&#10;0thTJr3iZPXKWAgJLZfDqlv0FXyeYFQ0HBp5RTgKTZ4H6/iBFRQdUEgVgOlahKWGh/TXJ6SIdfdc&#10;Gm6JWhgtvnRVhqFy/m00csUupHexO90CCdxZudj26mBCW4FjMIe/8mCDm4vWNUlwCP/OEToRwB7n&#10;5aXbCkm5NKwDdyx9Kw7MwW+7QEbyOl/UnDvCRpeXL7hGUA94H0mcLBZ9kvfcuHDCuQfjBRPS3Q9k&#10;IJrrr66j3OpS5lfQli1Mrwybd0uiGUZLpeuygjmX+AD9o/B3/RDxOfcDz02p7b33uhvy8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uFY3+2QAAAAoBAAAPAAAAAAAAAAEAIAAAACIAAABkcnMvZG93&#10;bnJldi54bWxQSwECFAAUAAAACACHTuJADksuz6oCAAAsBgAADgAAAAAAAAABACAAAAAoAQAAZHJz&#10;L2Uyb0RvYy54bWxQSwUGAAAAAAYABgBZAQAARAYAAAAA&#10;">
                <o:lock v:ext="edit" aspectratio="f"/>
                <v:shape id="任意多边形 4" o:spid="_x0000_s1026" o:spt="100" style="position:absolute;left:4794;top:439;height:583;width:1500;" fillcolor="#0101FF" filled="t" stroked="f" coordsize="1500,583" o:gfxdata="UEsDBAoAAAAAAIdO4kAAAAAAAAAAAAAAAAAEAAAAZHJzL1BLAwQUAAAACACHTuJAJv1G5bsAAADa&#10;AAAADwAAAGRycy9kb3ducmV2LnhtbEWPW2sCMRSE3wv+h3AE32pWH2xZjULFFS9QqJU+H5LTzdLN&#10;yZLE2783BcHHYWa+YWaLq2vFmUJsPCsYDQsQxNqbhmsFx+/q9R1ETMgGW8+k4EYRFvPeywxL4y/8&#10;RedDqkWGcCxRgU2pK6WM2pLDOPQdcfZ+fXCYsgy1NAEvGe5aOS6KiXTYcF6w2NHSkv47nJyCcENa&#10;7Zd7u64qiZ/bj7j70VqpQX9UTEEkuqZn+NHeGAVv8H8l3wA5v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v1G5bsAAADa&#10;AAAADwAAAAAAAAABACAAAAAiAAAAZHJzL2Rvd25yZXYueG1sUEsBAhQAFAAAAAgAh07iQDMvBZ47&#10;AAAAOQAAABAAAAAAAAAAAQAgAAAACgEAAGRycy9zaGFwZXhtbC54bWxQSwUGAAAAAAYABgBbAQAA&#10;tAMAAAAA&#10;" path="m0,0l1500,0,1500,583,0,583,0,0xe">
                  <v:fill on="t" focussize="0,0"/>
                  <v:stroke on="f"/>
                  <v:imagedata o:title=""/>
                  <o:lock v:ext="edit" aspectratio="f"/>
                </v:shape>
              </v:group>
            </w:pict>
          </mc:Fallback>
        </mc:AlternateContent>
      </w:r>
      <w:r>
        <w:rPr>
          <w:rFonts w:hint="eastAsia" w:ascii="仿宋_GB2312" w:hAnsi="仿宋_GB2312" w:eastAsia="仿宋_GB2312" w:cs="仿宋_GB2312"/>
          <w:highlight w:val="none"/>
        </w:rPr>
        <w:t>相关堆场、尾矿库等，具体监测范围根据各地管理需求确定。</w:t>
      </w:r>
    </w:p>
    <w:p>
      <w:pPr>
        <w:keepNext w:val="0"/>
        <w:keepLines w:val="0"/>
        <w:pageBreakBefore w:val="0"/>
        <w:widowControl w:val="0"/>
        <w:kinsoku/>
        <w:wordWrap/>
        <w:overflowPunct/>
        <w:autoSpaceDE/>
        <w:autoSpaceDN/>
        <w:bidi w:val="0"/>
        <w:spacing w:line="600" w:lineRule="exact"/>
        <w:ind w:firstLine="643"/>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rPr>
        <w:t>2.监测项目</w:t>
      </w:r>
    </w:p>
    <w:p>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按照执行的排放标准、环评及批复和排污许可证等要求确定监测项目。</w:t>
      </w:r>
    </w:p>
    <w:p>
      <w:pPr>
        <w:keepNext w:val="0"/>
        <w:keepLines w:val="0"/>
        <w:pageBreakBefore w:val="0"/>
        <w:widowControl w:val="0"/>
        <w:kinsoku/>
        <w:wordWrap/>
        <w:overflowPunct/>
        <w:autoSpaceDE/>
        <w:autoSpaceDN/>
        <w:bidi w:val="0"/>
        <w:spacing w:line="600" w:lineRule="exact"/>
        <w:ind w:firstLine="643"/>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rPr>
        <w:t>3.监测频次</w:t>
      </w:r>
    </w:p>
    <w:p>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根据生态环境监管需要确定。对于监测超标的排污单位，可适当增加监测频次。</w:t>
      </w:r>
    </w:p>
    <w:p>
      <w:pPr>
        <w:keepNext w:val="0"/>
        <w:keepLines w:val="0"/>
        <w:pageBreakBefore w:val="0"/>
        <w:widowControl w:val="0"/>
        <w:kinsoku/>
        <w:wordWrap/>
        <w:overflowPunct/>
        <w:autoSpaceDE/>
        <w:autoSpaceDN/>
        <w:bidi w:val="0"/>
        <w:spacing w:line="600" w:lineRule="exact"/>
        <w:ind w:firstLine="643"/>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rPr>
        <w:t>4.工作方式</w:t>
      </w:r>
    </w:p>
    <w:p>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执法监测为市级事权，市级财政保障经费。</w:t>
      </w:r>
      <w:r>
        <w:rPr>
          <w:rFonts w:hint="eastAsia" w:ascii="仿宋_GB2312" w:hAnsi="仿宋_GB2312" w:cs="仿宋_GB2312"/>
          <w:highlight w:val="none"/>
          <w:lang w:eastAsia="zh-CN"/>
        </w:rPr>
        <w:t>市生态环境局</w:t>
      </w:r>
      <w:r>
        <w:rPr>
          <w:rFonts w:hint="eastAsia" w:ascii="仿宋_GB2312" w:hAnsi="仿宋_GB2312" w:eastAsia="仿宋_GB2312" w:cs="仿宋_GB2312"/>
          <w:highlight w:val="none"/>
        </w:rPr>
        <w:t>根据管理需求，制定年度监测计划，组织相关监测机构开展双随机执法监测，并协调环境执法机构予以配合</w:t>
      </w:r>
      <w:r>
        <w:rPr>
          <w:rFonts w:hint="eastAsia" w:ascii="仿宋_GB2312" w:hAnsi="仿宋_GB2312" w:eastAsia="仿宋_GB2312" w:cs="仿宋_GB2312"/>
          <w:highlight w:val="none"/>
        </w:rPr>
        <w:t>。</w:t>
      </w:r>
    </w:p>
    <w:p>
      <w:pPr>
        <w:keepNext w:val="0"/>
        <w:keepLines w:val="0"/>
        <w:pageBreakBefore w:val="0"/>
        <w:widowControl w:val="0"/>
        <w:kinsoku/>
        <w:wordWrap/>
        <w:overflowPunct/>
        <w:topLinePunct/>
        <w:autoSpaceDE/>
        <w:autoSpaceDN/>
        <w:bidi w:val="0"/>
        <w:adjustRightInd w:val="0"/>
        <w:snapToGrid w:val="0"/>
        <w:spacing w:line="600" w:lineRule="exact"/>
        <w:ind w:left="0" w:leftChars="0" w:firstLine="640" w:firstLineChars="200"/>
        <w:textAlignment w:val="auto"/>
        <w:rPr>
          <w:rFonts w:hint="eastAsia" w:ascii="仿宋_GB2312" w:hAnsi="仿宋_GB2312" w:cs="仿宋_GB2312"/>
          <w:highlight w:val="none"/>
          <w:lang w:eastAsia="zh-CN"/>
        </w:rPr>
      </w:pPr>
      <w:r>
        <w:rPr>
          <w:rFonts w:hint="eastAsia" w:ascii="仿宋_GB2312" w:hAnsi="仿宋_GB2312" w:eastAsia="仿宋_GB2312" w:cs="仿宋_GB2312"/>
          <w:highlight w:val="none"/>
          <w:lang w:eastAsia="zh-CN"/>
        </w:rPr>
        <w:t>责任主体：市执法队</w:t>
      </w:r>
      <w:r>
        <w:rPr>
          <w:rFonts w:hint="eastAsia" w:ascii="仿宋_GB2312" w:hAnsi="仿宋_GB2312" w:cs="仿宋_GB2312"/>
          <w:highlight w:val="none"/>
          <w:lang w:eastAsia="zh-CN"/>
        </w:rPr>
        <w:t>。</w:t>
      </w:r>
    </w:p>
    <w:p>
      <w:pPr>
        <w:keepNext w:val="0"/>
        <w:keepLines w:val="0"/>
        <w:pageBreakBefore w:val="0"/>
        <w:widowControl w:val="0"/>
        <w:kinsoku/>
        <w:wordWrap/>
        <w:overflowPunct/>
        <w:autoSpaceDE/>
        <w:autoSpaceDN/>
        <w:bidi w:val="0"/>
        <w:spacing w:line="600" w:lineRule="exact"/>
        <w:ind w:firstLine="643"/>
        <w:textAlignment w:val="auto"/>
        <w:outlineLvl w:val="9"/>
        <w:rPr>
          <w:rFonts w:hint="eastAsia" w:ascii="仿宋_GB2312" w:hAnsi="仿宋_GB2312" w:eastAsia="仿宋_GB2312" w:cs="仿宋_GB2312"/>
          <w:b/>
          <w:bCs/>
        </w:rPr>
      </w:pPr>
      <w:r>
        <w:rPr>
          <w:rFonts w:hint="eastAsia" w:ascii="仿宋_GB2312" w:hAnsi="仿宋_GB2312" w:cs="仿宋_GB2312"/>
          <w:b/>
          <w:bCs/>
          <w:lang w:val="en-US" w:eastAsia="zh-CN"/>
        </w:rPr>
        <w:t>5</w:t>
      </w:r>
      <w:r>
        <w:rPr>
          <w:rFonts w:hint="eastAsia" w:ascii="仿宋_GB2312" w:hAnsi="仿宋_GB2312" w:eastAsia="仿宋_GB2312" w:cs="仿宋_GB2312"/>
          <w:b/>
          <w:bCs/>
        </w:rPr>
        <w:t>.数据报送</w:t>
      </w:r>
    </w:p>
    <w:p>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在完成监测工作后5个工作日内，登录全国污染源监测信息管理与共享系统（以下简称污染源管理系统）完成数据填报，并及时将超标监测结果报送市生态环境</w:t>
      </w:r>
      <w:r>
        <w:rPr>
          <w:rFonts w:hint="eastAsia" w:ascii="仿宋_GB2312" w:hAnsi="仿宋_GB2312" w:cs="仿宋_GB2312"/>
          <w:highlight w:val="none"/>
          <w:lang w:val="en-US" w:eastAsia="zh-CN"/>
        </w:rPr>
        <w:t>局</w:t>
      </w:r>
      <w:r>
        <w:rPr>
          <w:rFonts w:hint="eastAsia" w:ascii="仿宋_GB2312" w:hAnsi="仿宋_GB2312" w:eastAsia="仿宋_GB2312" w:cs="仿宋_GB2312"/>
          <w:highlight w:val="none"/>
        </w:rPr>
        <w:t>。</w:t>
      </w:r>
    </w:p>
    <w:p>
      <w:pPr>
        <w:keepNext w:val="0"/>
        <w:keepLines w:val="0"/>
        <w:pageBreakBefore w:val="0"/>
        <w:widowControl w:val="0"/>
        <w:kinsoku/>
        <w:wordWrap/>
        <w:overflowPunct/>
        <w:topLinePunct/>
        <w:autoSpaceDE/>
        <w:autoSpaceDN/>
        <w:bidi w:val="0"/>
        <w:spacing w:line="600" w:lineRule="exact"/>
        <w:ind w:left="0" w:leftChars="0"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12月25日前将本地区年度执法监测报告报送至省中心；电子版材料和加盖公章的扫描件同步发送至wry.ssthjt@ln.gov.cn以备存档（邮件主题应为：城市名-年度-执法监测报告）。</w:t>
      </w:r>
    </w:p>
    <w:p>
      <w:pPr>
        <w:keepNext w:val="0"/>
        <w:keepLines w:val="0"/>
        <w:pageBreakBefore w:val="0"/>
        <w:widowControl w:val="0"/>
        <w:kinsoku/>
        <w:wordWrap/>
        <w:overflowPunct/>
        <w:autoSpaceDE/>
        <w:autoSpaceDN/>
        <w:bidi w:val="0"/>
        <w:spacing w:line="600" w:lineRule="exact"/>
        <w:ind w:firstLine="643"/>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.质量保证与质量控制</w:t>
      </w:r>
    </w:p>
    <w:p>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承担执法监测任务的生态环境监测机构，严格按照环境监测技术规范要求开展执法监测。</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217" w:beforeLines="50" w:after="217" w:afterLines="50" w:line="600" w:lineRule="exact"/>
        <w:ind w:leftChars="200"/>
        <w:textAlignment w:val="auto"/>
        <w:rPr>
          <w:rFonts w:hint="eastAsia" w:ascii="楷体_GB2312" w:hAnsi="楷体_GB2312" w:eastAsia="楷体_GB2312" w:cs="楷体_GB2312"/>
          <w:b w:val="0"/>
          <w:bCs/>
          <w:lang w:eastAsia="zh-CN"/>
        </w:rPr>
      </w:pPr>
      <w:bookmarkStart w:id="314" w:name="_Toc31769"/>
      <w:bookmarkStart w:id="315" w:name="_Toc1392069"/>
      <w:bookmarkStart w:id="316" w:name="_Toc8321"/>
      <w:bookmarkStart w:id="317" w:name="_Toc13378"/>
      <w:bookmarkStart w:id="318" w:name="_Toc10144"/>
      <w:bookmarkStart w:id="319" w:name="_Toc4260"/>
      <w:bookmarkStart w:id="320" w:name="_Toc1780"/>
      <w:bookmarkStart w:id="321" w:name="_Toc4184"/>
      <w:bookmarkStart w:id="322" w:name="_Toc2482"/>
      <w:r>
        <w:rPr>
          <w:rFonts w:hint="eastAsia" w:ascii="楷体_GB2312" w:hAnsi="楷体_GB2312" w:eastAsia="楷体_GB2312" w:cs="楷体_GB2312"/>
          <w:b w:val="0"/>
          <w:bCs/>
          <w:lang w:eastAsia="zh-CN"/>
        </w:rPr>
        <w:t>（二十</w:t>
      </w:r>
      <w:r>
        <w:rPr>
          <w:rFonts w:hint="eastAsia" w:ascii="楷体_GB2312" w:hAnsi="楷体_GB2312" w:eastAsia="楷体_GB2312" w:cs="楷体_GB2312"/>
          <w:b w:val="0"/>
          <w:bCs/>
          <w:lang w:val="en-US" w:eastAsia="zh-CN"/>
        </w:rPr>
        <w:t>二</w:t>
      </w:r>
      <w:r>
        <w:rPr>
          <w:rFonts w:hint="eastAsia" w:ascii="楷体_GB2312" w:hAnsi="楷体_GB2312" w:eastAsia="楷体_GB2312" w:cs="楷体_GB2312"/>
          <w:b w:val="0"/>
          <w:bCs/>
          <w:lang w:eastAsia="zh-CN"/>
        </w:rPr>
        <w:t>）排污单位自行监测专项检查</w:t>
      </w:r>
      <w:bookmarkEnd w:id="314"/>
      <w:bookmarkEnd w:id="315"/>
      <w:bookmarkEnd w:id="316"/>
      <w:bookmarkEnd w:id="317"/>
      <w:bookmarkEnd w:id="318"/>
      <w:bookmarkEnd w:id="319"/>
      <w:bookmarkEnd w:id="320"/>
      <w:bookmarkEnd w:id="321"/>
      <w:bookmarkEnd w:id="322"/>
    </w:p>
    <w:p>
      <w:pPr>
        <w:keepNext w:val="0"/>
        <w:keepLines w:val="0"/>
        <w:pageBreakBefore w:val="0"/>
        <w:widowControl w:val="0"/>
        <w:kinsoku/>
        <w:wordWrap/>
        <w:overflowPunct/>
        <w:autoSpaceDE/>
        <w:autoSpaceDN/>
        <w:bidi w:val="0"/>
        <w:adjustRightInd w:val="0"/>
        <w:snapToGrid w:val="0"/>
        <w:spacing w:line="600" w:lineRule="exact"/>
        <w:ind w:firstLine="643"/>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rPr>
        <w:t>1.检查范围</w:t>
      </w:r>
    </w:p>
    <w:p>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已核发排污许可证的企业</w:t>
      </w:r>
      <w:r>
        <w:rPr>
          <w:rFonts w:hint="eastAsia" w:ascii="仿宋_GB2312" w:hAnsi="仿宋_GB2312" w:eastAsia="仿宋_GB2312" w:cs="仿宋_GB2312"/>
          <w:spacing w:val="-4"/>
          <w:sz w:val="30"/>
          <w:szCs w:val="30"/>
        </w:rPr>
        <w:t>，</w:t>
      </w:r>
      <w:r>
        <w:rPr>
          <w:rFonts w:hint="eastAsia" w:ascii="仿宋_GB2312" w:hAnsi="仿宋_GB2312" w:eastAsia="仿宋_GB2312" w:cs="仿宋_GB2312"/>
        </w:rPr>
        <w:t>包括医疗机构、城镇（园区）污水纳管企业等。</w:t>
      </w:r>
    </w:p>
    <w:p>
      <w:pPr>
        <w:keepNext w:val="0"/>
        <w:keepLines w:val="0"/>
        <w:pageBreakBefore w:val="0"/>
        <w:widowControl w:val="0"/>
        <w:kinsoku/>
        <w:wordWrap/>
        <w:overflowPunct/>
        <w:autoSpaceDE/>
        <w:autoSpaceDN/>
        <w:bidi w:val="0"/>
        <w:adjustRightInd w:val="0"/>
        <w:snapToGrid w:val="0"/>
        <w:spacing w:line="600" w:lineRule="exact"/>
        <w:ind w:firstLine="643"/>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rPr>
        <w:t>2.检查内容</w:t>
      </w:r>
    </w:p>
    <w:p>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按照《排污单位自行监测技术指南总则》（HJ 819-2017）和行业排污单位自行监测技术指南，参照《排污单位自行监测专项检查技术规程》（总站源字〔2022〕268号）。</w:t>
      </w:r>
    </w:p>
    <w:p>
      <w:pPr>
        <w:keepNext w:val="0"/>
        <w:keepLines w:val="0"/>
        <w:pageBreakBefore w:val="0"/>
        <w:widowControl w:val="0"/>
        <w:kinsoku/>
        <w:wordWrap/>
        <w:overflowPunct/>
        <w:autoSpaceDE/>
        <w:autoSpaceDN/>
        <w:bidi w:val="0"/>
        <w:adjustRightInd w:val="0"/>
        <w:snapToGrid w:val="0"/>
        <w:spacing w:line="600" w:lineRule="exact"/>
        <w:ind w:firstLine="643"/>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rPr>
        <w:t>3.检查要求</w:t>
      </w:r>
    </w:p>
    <w:p>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bCs/>
        </w:rPr>
      </w:pPr>
      <w:r>
        <w:rPr>
          <w:rFonts w:hint="eastAsia" w:ascii="仿宋_GB2312" w:hAnsi="仿宋_GB2312" w:eastAsia="仿宋_GB2312" w:cs="仿宋_GB2312"/>
          <w:bCs/>
        </w:rPr>
        <w:t>按照抽查时间随机、抽查对象随机的原则，抽查辖区内不少于5%的发证企业。</w:t>
      </w:r>
    </w:p>
    <w:p>
      <w:pPr>
        <w:keepNext w:val="0"/>
        <w:keepLines w:val="0"/>
        <w:pageBreakBefore w:val="0"/>
        <w:widowControl w:val="0"/>
        <w:kinsoku/>
        <w:wordWrap/>
        <w:overflowPunct/>
        <w:autoSpaceDE/>
        <w:autoSpaceDN/>
        <w:bidi w:val="0"/>
        <w:adjustRightInd w:val="0"/>
        <w:snapToGrid w:val="0"/>
        <w:spacing w:line="600" w:lineRule="exact"/>
        <w:ind w:firstLine="643"/>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rPr>
        <w:t>4.任务分工</w:t>
      </w:r>
    </w:p>
    <w:p>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bCs/>
          <w:highlight w:val="none"/>
        </w:rPr>
      </w:pPr>
      <w:r>
        <w:rPr>
          <w:rFonts w:hint="eastAsia" w:ascii="仿宋_GB2312" w:hAnsi="仿宋_GB2312" w:eastAsia="仿宋_GB2312" w:cs="仿宋_GB2312"/>
          <w:bCs/>
          <w:highlight w:val="none"/>
        </w:rPr>
        <w:t>由</w:t>
      </w:r>
      <w:r>
        <w:rPr>
          <w:rFonts w:hint="eastAsia" w:ascii="仿宋_GB2312" w:hAnsi="仿宋_GB2312" w:cs="仿宋_GB2312"/>
          <w:bCs/>
          <w:highlight w:val="none"/>
          <w:lang w:eastAsia="zh-CN"/>
        </w:rPr>
        <w:t>市生态环境局</w:t>
      </w:r>
      <w:r>
        <w:rPr>
          <w:rFonts w:hint="eastAsia" w:ascii="仿宋_GB2312" w:hAnsi="仿宋_GB2312" w:eastAsia="仿宋_GB2312" w:cs="仿宋_GB2312"/>
          <w:bCs/>
          <w:highlight w:val="none"/>
        </w:rPr>
        <w:t>组织开展，省厅适时开展专项检查及帮扶指导。</w:t>
      </w:r>
    </w:p>
    <w:p>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责任主体：市执法队。</w:t>
      </w:r>
    </w:p>
    <w:p>
      <w:pPr>
        <w:keepNext w:val="0"/>
        <w:keepLines w:val="0"/>
        <w:pageBreakBefore w:val="0"/>
        <w:widowControl w:val="0"/>
        <w:kinsoku/>
        <w:wordWrap/>
        <w:overflowPunct/>
        <w:autoSpaceDE/>
        <w:autoSpaceDN/>
        <w:bidi w:val="0"/>
        <w:adjustRightInd w:val="0"/>
        <w:snapToGrid w:val="0"/>
        <w:spacing w:line="600" w:lineRule="exact"/>
        <w:ind w:firstLine="643"/>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rPr>
        <w:t>5.数据报送</w:t>
      </w:r>
    </w:p>
    <w:p>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所有检查结果及时与排污许可证核发部门和执法部门共享，情节严重的要依法依规予以处理处罚，并将有关情况及时报送省厅</w:t>
      </w:r>
      <w:r>
        <w:rPr>
          <w:rFonts w:hint="eastAsia" w:ascii="仿宋_GB2312" w:hAnsi="仿宋_GB2312" w:eastAsia="仿宋_GB2312" w:cs="仿宋_GB2312"/>
          <w:szCs w:val="32"/>
          <w:highlight w:val="none"/>
        </w:rPr>
        <w:t>，同时抄送</w:t>
      </w:r>
      <w:r>
        <w:rPr>
          <w:rFonts w:hint="eastAsia" w:ascii="仿宋_GB2312" w:hAnsi="仿宋_GB2312" w:eastAsia="仿宋_GB2312" w:cs="仿宋_GB2312"/>
          <w:highlight w:val="none"/>
        </w:rPr>
        <w:t>省中心。</w:t>
      </w:r>
    </w:p>
    <w:p>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highlight w:val="none"/>
        </w:rPr>
        <w:t>2025年1月5日前，将年度专项检查报告报送省中心，电子版材料和加盖公章的扫描件同步发送至wry.ssthjt@ln.gov.cn以备存档（邮件主题应为：城市名-XX年度-自行监测专项检查报告）</w:t>
      </w:r>
      <w:r>
        <w:rPr>
          <w:rFonts w:hint="eastAsia" w:ascii="仿宋_GB2312" w:hAnsi="仿宋_GB2312" w:eastAsia="仿宋_GB2312" w:cs="仿宋_GB2312"/>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217" w:beforeLines="50" w:after="217" w:afterLines="50" w:line="600" w:lineRule="exact"/>
        <w:ind w:leftChars="200"/>
        <w:textAlignment w:val="auto"/>
        <w:rPr>
          <w:rFonts w:hint="eastAsia" w:ascii="楷体_GB2312" w:hAnsi="楷体_GB2312" w:eastAsia="楷体_GB2312" w:cs="楷体_GB2312"/>
          <w:b w:val="0"/>
          <w:bCs/>
          <w:highlight w:val="none"/>
          <w:lang w:eastAsia="zh-CN"/>
        </w:rPr>
      </w:pPr>
      <w:bookmarkStart w:id="323" w:name="_Toc4962"/>
      <w:bookmarkStart w:id="324" w:name="_Toc1625720234"/>
      <w:bookmarkStart w:id="325" w:name="_Toc750607380"/>
      <w:bookmarkStart w:id="326" w:name="_Toc13849"/>
      <w:bookmarkStart w:id="327" w:name="_Toc218839477"/>
      <w:bookmarkStart w:id="328" w:name="_Toc17876"/>
      <w:r>
        <w:rPr>
          <w:rFonts w:hint="eastAsia" w:ascii="楷体_GB2312" w:hAnsi="楷体_GB2312" w:eastAsia="楷体_GB2312" w:cs="楷体_GB2312"/>
          <w:b w:val="0"/>
          <w:bCs/>
          <w:highlight w:val="none"/>
          <w:lang w:eastAsia="zh-CN"/>
        </w:rPr>
        <w:t>（二十</w:t>
      </w:r>
      <w:r>
        <w:rPr>
          <w:rFonts w:hint="eastAsia" w:ascii="楷体_GB2312" w:hAnsi="楷体_GB2312" w:eastAsia="楷体_GB2312" w:cs="楷体_GB2312"/>
          <w:b w:val="0"/>
          <w:bCs/>
          <w:highlight w:val="none"/>
          <w:lang w:val="en-US" w:eastAsia="zh-CN"/>
        </w:rPr>
        <w:t>三</w:t>
      </w:r>
      <w:r>
        <w:rPr>
          <w:rFonts w:hint="eastAsia" w:ascii="楷体_GB2312" w:hAnsi="楷体_GB2312" w:eastAsia="楷体_GB2312" w:cs="楷体_GB2312"/>
          <w:b w:val="0"/>
          <w:bCs/>
          <w:highlight w:val="none"/>
          <w:lang w:eastAsia="zh-CN"/>
        </w:rPr>
        <w:t>）市级入海排污口监测</w:t>
      </w:r>
      <w:bookmarkEnd w:id="323"/>
      <w:bookmarkEnd w:id="324"/>
      <w:bookmarkEnd w:id="325"/>
      <w:bookmarkEnd w:id="326"/>
      <w:bookmarkEnd w:id="327"/>
      <w:bookmarkEnd w:id="328"/>
    </w:p>
    <w:p>
      <w:pPr>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szCs w:val="30"/>
          <w:highlight w:val="none"/>
        </w:rPr>
      </w:pPr>
      <w:r>
        <w:rPr>
          <w:rFonts w:hint="eastAsia" w:ascii="仿宋_GB2312" w:hAnsi="仿宋_GB2312" w:eastAsia="仿宋_GB2312" w:cs="仿宋_GB2312"/>
          <w:b/>
          <w:szCs w:val="30"/>
          <w:highlight w:val="none"/>
        </w:rPr>
        <w:t>1.监测范围</w:t>
      </w:r>
    </w:p>
    <w:p>
      <w:pPr>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cs="仿宋_GB2312"/>
          <w:szCs w:val="32"/>
          <w:highlight w:val="none"/>
          <w:lang w:val="en-US" w:eastAsia="zh-CN"/>
        </w:rPr>
      </w:pPr>
      <w:r>
        <w:rPr>
          <w:rFonts w:hint="eastAsia" w:ascii="仿宋_GB2312" w:hAnsi="仿宋_GB2312" w:eastAsia="仿宋_GB2312" w:cs="仿宋_GB2312"/>
          <w:szCs w:val="32"/>
          <w:highlight w:val="none"/>
        </w:rPr>
        <w:t>市级入海排污口按照工厂化水产养殖类型排口全覆盖，池塘养殖水产养殖类型排口重点抽查原则设置（具体清单另行印发）。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2.监测项目</w:t>
      </w:r>
    </w:p>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流量、pH、悬浮物、化学需氧量、总氮、总磷。</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3.监测频次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市级入海排污口按照养殖生产周期，上下半年各开展1次监测。</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4.工作方式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市级入海排污口监测为市级事权，市级财政保障经费，由</w:t>
      </w:r>
      <w:r>
        <w:rPr>
          <w:rFonts w:hint="eastAsia" w:ascii="仿宋_GB2312" w:hAnsi="仿宋_GB2312" w:cs="仿宋_GB2312"/>
          <w:highlight w:val="none"/>
          <w:lang w:eastAsia="zh-CN"/>
        </w:rPr>
        <w:t>市生态环境局</w:t>
      </w:r>
      <w:r>
        <w:rPr>
          <w:rFonts w:hint="eastAsia" w:ascii="仿宋_GB2312" w:hAnsi="仿宋_GB2312" w:eastAsia="仿宋_GB2312" w:cs="仿宋_GB2312"/>
          <w:highlight w:val="none"/>
        </w:rPr>
        <w:t>组织实施。</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责任主体：</w:t>
      </w:r>
      <w:r>
        <w:rPr>
          <w:rFonts w:hint="eastAsia" w:ascii="仿宋_GB2312" w:hAnsi="仿宋_GB2312" w:eastAsia="仿宋_GB2312" w:cs="仿宋_GB2312"/>
          <w:highlight w:val="none"/>
          <w:lang w:eastAsia="zh-CN"/>
        </w:rPr>
        <w:t>市生态环境局水科</w:t>
      </w:r>
      <w:r>
        <w:rPr>
          <w:rFonts w:hint="eastAsia" w:ascii="仿宋_GB2312" w:hAnsi="仿宋_GB2312" w:cs="仿宋_GB231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highlight w:val="none"/>
        </w:rPr>
      </w:pPr>
      <w:r>
        <w:rPr>
          <w:rFonts w:hint="eastAsia" w:ascii="仿宋_GB2312" w:hAnsi="仿宋_GB2312" w:eastAsia="仿宋_GB2312" w:cs="仿宋_GB2312"/>
          <w:b/>
          <w:szCs w:val="30"/>
          <w:highlight w:val="none"/>
        </w:rPr>
        <w:t>5.数据报送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市级入海排污口监测数据报送至省厅海洋生态环境处。2024年6月20日和12月5日前分别报送上下半年监测数据及监测年度报告。</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highlight w:val="none"/>
        </w:rPr>
      </w:pPr>
      <w:r>
        <w:rPr>
          <w:rFonts w:hint="eastAsia" w:ascii="仿宋_GB2312" w:hAnsi="仿宋_GB2312" w:eastAsia="仿宋_GB2312" w:cs="仿宋_GB2312"/>
          <w:b/>
          <w:szCs w:val="30"/>
          <w:highlight w:val="none"/>
        </w:rPr>
        <w:t>6.质量保证与质量控制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按照《污水监测技术规范》（HJ 91.1-2019）《近岸海域环境监测规范》（HJ 442-2020）《环境水质监测质量保证手册》（第二版）《全国近岸海域环境监测网质量保证和质量控制工作规定（试行）》（总站海字〔2007〕152号）及《陆源入海排污口及邻近海域环境监测与评价技术规程（2015试行）》要求执行。</w:t>
      </w:r>
      <w:bookmarkEnd w:id="312"/>
      <w:bookmarkEnd w:id="313"/>
      <w:bookmarkStart w:id="329" w:name="_Toc22437"/>
      <w:bookmarkStart w:id="330" w:name="_Toc5075"/>
      <w:bookmarkStart w:id="331" w:name="_Toc97041600"/>
      <w:bookmarkStart w:id="332" w:name="_Toc10929"/>
      <w:bookmarkStart w:id="333" w:name="_Toc3603"/>
      <w:bookmarkStart w:id="334" w:name="_Toc19273"/>
      <w:bookmarkStart w:id="335" w:name="_Toc26254"/>
      <w:bookmarkStart w:id="336" w:name="_Toc30371"/>
    </w:p>
    <w:p>
      <w:pPr>
        <w:keepNext w:val="0"/>
        <w:keepLines w:val="0"/>
        <w:pageBreakBefore w:val="0"/>
        <w:widowControl w:val="0"/>
        <w:kinsoku/>
        <w:wordWrap/>
        <w:overflowPunct/>
        <w:topLinePunct w:val="0"/>
        <w:autoSpaceDE/>
        <w:autoSpaceDN/>
        <w:bidi w:val="0"/>
        <w:adjustRightInd/>
        <w:snapToGrid/>
        <w:spacing w:before="438" w:beforeLines="100" w:after="438" w:afterLines="100" w:line="600" w:lineRule="exact"/>
        <w:ind w:left="0" w:leftChars="0" w:firstLine="0" w:firstLineChars="0"/>
        <w:jc w:val="center"/>
        <w:textAlignment w:val="auto"/>
        <w:outlineLvl w:val="0"/>
        <w:rPr>
          <w:rFonts w:hint="eastAsia" w:ascii="黑体" w:hAnsi="黑体" w:eastAsia="黑体" w:cs="黑体"/>
          <w:b/>
          <w:sz w:val="36"/>
          <w:szCs w:val="36"/>
        </w:rPr>
      </w:pPr>
      <w:bookmarkStart w:id="337" w:name="_Toc21565"/>
      <w:r>
        <w:rPr>
          <w:rFonts w:hint="eastAsia" w:ascii="黑体" w:hAnsi="黑体" w:eastAsia="黑体" w:cs="黑体"/>
          <w:b/>
          <w:sz w:val="36"/>
          <w:szCs w:val="36"/>
        </w:rPr>
        <w:t>八、</w:t>
      </w:r>
      <w:bookmarkEnd w:id="329"/>
      <w:bookmarkEnd w:id="330"/>
      <w:bookmarkEnd w:id="331"/>
      <w:bookmarkEnd w:id="332"/>
      <w:bookmarkEnd w:id="333"/>
      <w:bookmarkEnd w:id="334"/>
      <w:bookmarkEnd w:id="335"/>
      <w:bookmarkEnd w:id="336"/>
      <w:bookmarkStart w:id="338" w:name="_Toc22956"/>
      <w:bookmarkStart w:id="339" w:name="_Toc15381"/>
      <w:bookmarkStart w:id="340" w:name="_Toc1103"/>
      <w:bookmarkStart w:id="341" w:name="_Toc24350"/>
      <w:bookmarkStart w:id="342" w:name="_Toc20992"/>
      <w:bookmarkStart w:id="343" w:name="_Toc32087"/>
      <w:bookmarkStart w:id="344" w:name="_Toc14441"/>
      <w:r>
        <w:rPr>
          <w:rFonts w:hint="eastAsia" w:ascii="黑体" w:hAnsi="黑体" w:eastAsia="黑体" w:cs="黑体"/>
          <w:b/>
          <w:sz w:val="36"/>
          <w:szCs w:val="36"/>
        </w:rPr>
        <w:t>环境监测质量管理</w:t>
      </w:r>
      <w:bookmarkEnd w:id="337"/>
      <w:bookmarkEnd w:id="338"/>
      <w:bookmarkEnd w:id="339"/>
      <w:bookmarkEnd w:id="340"/>
      <w:bookmarkEnd w:id="341"/>
      <w:bookmarkEnd w:id="342"/>
      <w:bookmarkEnd w:id="343"/>
      <w:bookmarkEnd w:id="344"/>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b/>
          <w:sz w:val="36"/>
          <w:szCs w:val="36"/>
          <w:lang w:eastAsia="zh-CN"/>
        </w:rPr>
      </w:pPr>
      <w:bookmarkStart w:id="345" w:name="_Toc29206059"/>
      <w:r>
        <w:rPr>
          <w:rStyle w:val="442"/>
          <w:rFonts w:hint="eastAsia" w:ascii="仿宋_GB2312" w:hAnsi="仿宋_GB2312" w:eastAsia="仿宋_GB2312" w:cs="仿宋_GB2312"/>
          <w:szCs w:val="32"/>
          <w:highlight w:val="none"/>
        </w:rPr>
        <w:t>深入落实中办、国办《关于深化环境监测改革提高环境监测数据质量的意见》（厅字〔2017〕35号）及《辽宁省深化环境监测改革提高环境监测数据质量实施方案》要求，加强环境监测质量管理和质量控制，提升环境监测工作的科学化、规范化水平，保障监测数据的准确性和权威性。</w:t>
      </w:r>
      <w:bookmarkEnd w:id="345"/>
    </w:p>
    <w:sectPr>
      <w:headerReference r:id="rId13" w:type="default"/>
      <w:footerReference r:id="rId14" w:type="default"/>
      <w:pgSz w:w="11906" w:h="16838"/>
      <w:pgMar w:top="1871" w:right="1531" w:bottom="1814" w:left="1531" w:header="851" w:footer="850" w:gutter="0"/>
      <w:pgNumType w:fmt="numberInDash" w:start="1"/>
      <w:cols w:space="720" w:num="1"/>
      <w:docGrid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Original Garamond Std Italic">
    <w:altName w:val="宋体"/>
    <w:panose1 w:val="02010600010101010101"/>
    <w:charset w:val="86"/>
    <w:family w:val="auto"/>
    <w:pitch w:val="default"/>
    <w:sig w:usb0="00000000" w:usb1="00000000" w:usb2="00000000" w:usb3="00000000" w:csb0="00040000" w:csb1="00000000"/>
  </w:font>
  <w:font w:name="复合字体：汉仪书宋二简-Times">
    <w:altName w:val="宋体"/>
    <w:panose1 w:val="00000000000000000000"/>
    <w:charset w:val="86"/>
    <w:family w:val="swiss"/>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Sim Sun+ 2">
    <w:altName w:val="仿宋"/>
    <w:panose1 w:val="00000000000000000000"/>
    <w:charset w:val="86"/>
    <w:family w:val="swiss"/>
    <w:pitch w:val="default"/>
    <w:sig w:usb0="00000000" w:usb1="00000000" w:usb2="00000010" w:usb3="00000000" w:csb0="00040000" w:csb1="00000000"/>
  </w:font>
  <w:font w:name="复合字体：汉仪楷体简-Times">
    <w:altName w:val="宋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DengXian-Regular">
    <w:altName w:val="Times New Roman"/>
    <w:panose1 w:val="00000000000000000000"/>
    <w:charset w:val="00"/>
    <w:family w:val="roman"/>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jc w:val="center"/>
    </w:pPr>
  </w:p>
  <w:p>
    <w:pPr>
      <w:pStyle w:val="3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outside" w:y="1"/>
      <w:ind w:firstLine="360"/>
      <w:rPr>
        <w:rStyle w:val="63"/>
      </w:rPr>
    </w:pPr>
    <w:r>
      <w:fldChar w:fldCharType="begin"/>
    </w:r>
    <w:r>
      <w:rPr>
        <w:rStyle w:val="63"/>
      </w:rPr>
      <w:instrText xml:space="preserve">PAGE  </w:instrText>
    </w:r>
    <w:r>
      <w:fldChar w:fldCharType="separate"/>
    </w:r>
    <w:r>
      <w:rPr>
        <w:rStyle w:val="63"/>
      </w:rPr>
      <w:t>301</w:t>
    </w:r>
    <w:r>
      <w:fldChar w:fldCharType="end"/>
    </w:r>
  </w:p>
  <w:p>
    <w:pPr>
      <w:pStyle w:val="3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left" w:pos="5025"/>
        <w:tab w:val="clear" w:pos="4153"/>
        <w:tab w:val="clear" w:pos="8306"/>
      </w:tabs>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5470" cy="233680"/>
              <wp:effectExtent l="0" t="0" r="0" b="0"/>
              <wp:wrapNone/>
              <wp:docPr id="186" name="文本框 3"/>
              <wp:cNvGraphicFramePr/>
              <a:graphic xmlns:a="http://schemas.openxmlformats.org/drawingml/2006/main">
                <a:graphicData uri="http://schemas.microsoft.com/office/word/2010/wordprocessingShape">
                  <wps:wsp>
                    <wps:cNvSpPr txBox="1"/>
                    <wps:spPr>
                      <a:xfrm>
                        <a:off x="0" y="0"/>
                        <a:ext cx="585470" cy="233680"/>
                      </a:xfrm>
                      <a:prstGeom prst="rect">
                        <a:avLst/>
                      </a:prstGeom>
                      <a:noFill/>
                      <a:ln w="9525">
                        <a:noFill/>
                      </a:ln>
                    </wps:spPr>
                    <wps:txbx>
                      <w:txbxContent>
                        <w:p>
                          <w:pPr>
                            <w:pStyle w:val="256"/>
                            <w:ind w:firstLine="360"/>
                            <w:rPr>
                              <w:lang w:val="zh-CN"/>
                            </w:rPr>
                          </w:pPr>
                          <w:r>
                            <w:rPr>
                              <w:lang w:val="zh-CN"/>
                            </w:rPr>
                            <w:fldChar w:fldCharType="begin"/>
                          </w:r>
                          <w:r>
                            <w:rPr>
                              <w:lang w:val="zh-CN"/>
                            </w:rPr>
                            <w:instrText xml:space="preserve">PAGE   \* MERGEFORMAT</w:instrText>
                          </w:r>
                          <w:r>
                            <w:rPr>
                              <w:lang w:val="zh-CN"/>
                            </w:rPr>
                            <w:fldChar w:fldCharType="separate"/>
                          </w:r>
                          <w:r>
                            <w:rPr>
                              <w:lang w:val="zh-CN"/>
                            </w:rPr>
                            <w:t>80</w:t>
                          </w:r>
                          <w:r>
                            <w:rPr>
                              <w:lang w:val="zh-CN"/>
                            </w:rPr>
                            <w:fldChar w:fldCharType="end"/>
                          </w:r>
                        </w:p>
                      </w:txbxContent>
                    </wps:txbx>
                    <wps:bodyPr wrap="square" lIns="0" tIns="0" rIns="0" bIns="0" upright="1"/>
                  </wps:wsp>
                </a:graphicData>
              </a:graphic>
            </wp:anchor>
          </w:drawing>
        </mc:Choice>
        <mc:Fallback>
          <w:pict>
            <v:shape id="文本框 3" o:spid="_x0000_s1026" o:spt="202" type="#_x0000_t202" style="position:absolute;left:0pt;margin-top:0pt;height:18.4pt;width:46.1pt;mso-position-horizontal:center;mso-position-horizontal-relative:margin;z-index:251659264;mso-width-relative:page;mso-height-relative:page;" filled="f" stroked="f" coordsize="21600,21600" o:gfxdata="UEsDBAoAAAAAAIdO4kAAAAAAAAAAAAAAAAAEAAAAZHJzL1BLAwQUAAAACACHTuJA3/0m09QAAAAD&#10;AQAADwAAAGRycy9kb3ducmV2LnhtbE2PzU7DMBCE70i8g7VI3KjdIEVtiFMhBCckRBoOHJ14m1iN&#10;1yF2f3h7Fi70stJoRjPflpuzH8UR5+gCaVguFAikLlhHvYaP5uVuBSImQ9aMgVDDN0bYVNdXpSls&#10;OFGNx23qBZdQLIyGIaWpkDJ2A3oTF2FCYm8XZm8Sy7mXdjYnLvejzJTKpTeOeGEwEz4N2O23B6/h&#10;8ZPqZ/f11r7Xu9o1zVrRa77X+vZmqR5AJDyn/zD84jM6VMzUhgPZKEYN/Ej6u+ytswxEq+E+X4Gs&#10;SnnJXv0AUEsDBBQAAAAIAIdO4kCVN6c3zgEAAIoDAAAOAAAAZHJzL2Uyb0RvYy54bWytU0tu2zAQ&#10;3RfoHQjuazl27LqC5QCFkaJA0BZIewCaoiwC/GWGtuQLpDfoqpvuey6fo0Pacop0k0U31HA+b+Y9&#10;jpY3vTVsrwC1dxW/Go05U076Wrttxb99vX2z4AyjcLUw3qmKHxTym9XrV8sulGriW29qBYxAHJZd&#10;qHgbYyiLAmWrrMCRD8pRsPFgRaQrbIsaREfo1hST8XhedB7qAF4qRPKuT0F+RoSXAPqm0VKtvdxZ&#10;5eIJFZQRkShhqwPyVZ62aZSMn5sGVWSm4sQ05pOakL1JZ7FainILIrRankcQLxnhGScrtKOmF6i1&#10;iILtQP8DZbUEj76JI+ltcSKSFSEWV+Nn2ty3IqjMhaTGcBEd/x+s/LT/AkzXtAmLOWdOWHry44/v&#10;x5+/j78e2TQJ1AUsKe8+UGbs3/uekgc/kjPx7huw6UuMGMVJ3sNFXtVHJsk5W8yu31JEUmgync4X&#10;Wf7iqTgAxg/KW5aMigO9XhZV7O8w0iCUOqSkXs7famPyCxrHuoq/m01mueASoQrjqDBROI2arNhv&#10;+jOvja8PRKujDag4PuwEKM7MR0cSp3UZDBiMzWDsAuhtS1NmKXIDeqI843md0g78fc9jPP1Cq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SbT1AAAAAMBAAAPAAAAAAAAAAEAIAAAACIAAABkcnMv&#10;ZG93bnJldi54bWxQSwECFAAUAAAACACHTuJAlTenN84BAACKAwAADgAAAAAAAAABACAAAAAjAQAA&#10;ZHJzL2Uyb0RvYy54bWxQSwUGAAAAAAYABgBZAQAAYwUAAAAA&#10;">
              <v:fill on="f" focussize="0,0"/>
              <v:stroke on="f"/>
              <v:imagedata o:title=""/>
              <o:lock v:ext="edit" aspectratio="f"/>
              <v:textbox inset="0mm,0mm,0mm,0mm">
                <w:txbxContent>
                  <w:p>
                    <w:pPr>
                      <w:pStyle w:val="256"/>
                      <w:ind w:firstLine="360"/>
                      <w:rPr>
                        <w:lang w:val="zh-CN"/>
                      </w:rPr>
                    </w:pPr>
                    <w:r>
                      <w:rPr>
                        <w:lang w:val="zh-CN"/>
                      </w:rPr>
                      <w:fldChar w:fldCharType="begin"/>
                    </w:r>
                    <w:r>
                      <w:rPr>
                        <w:lang w:val="zh-CN"/>
                      </w:rPr>
                      <w:instrText xml:space="preserve">PAGE   \* MERGEFORMAT</w:instrText>
                    </w:r>
                    <w:r>
                      <w:rPr>
                        <w:lang w:val="zh-CN"/>
                      </w:rPr>
                      <w:fldChar w:fldCharType="separate"/>
                    </w:r>
                    <w:r>
                      <w:rPr>
                        <w:lang w:val="zh-CN"/>
                      </w:rPr>
                      <w:t>80</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ind w:firstLine="360"/>
                            <w:jc w:val="center"/>
                          </w:pPr>
                          <w:r>
                            <w:fldChar w:fldCharType="begin"/>
                          </w:r>
                          <w:r>
                            <w:instrText xml:space="preserve">PAGE   \* MERGEFORMAT</w:instrText>
                          </w:r>
                          <w:r>
                            <w:fldChar w:fldCharType="separate"/>
                          </w:r>
                          <w:r>
                            <w:rPr>
                              <w:lang w:val="zh-CN"/>
                            </w:rPr>
                            <w:t>197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5"/>
                      <w:ind w:firstLine="360"/>
                      <w:jc w:val="center"/>
                    </w:pPr>
                    <w:r>
                      <w:fldChar w:fldCharType="begin"/>
                    </w:r>
                    <w:r>
                      <w:instrText xml:space="preserve">PAGE   \* MERGEFORMAT</w:instrText>
                    </w:r>
                    <w:r>
                      <w:fldChar w:fldCharType="separate"/>
                    </w:r>
                    <w:r>
                      <w:rPr>
                        <w:lang w:val="zh-CN"/>
                      </w:rPr>
                      <w:t>197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firstLine="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6B50E"/>
    <w:multiLevelType w:val="singleLevel"/>
    <w:tmpl w:val="B366B50E"/>
    <w:lvl w:ilvl="0" w:tentative="0">
      <w:start w:val="5"/>
      <w:numFmt w:val="chineseCounting"/>
      <w:suff w:val="nothing"/>
      <w:lvlText w:val="%1、"/>
      <w:lvlJc w:val="left"/>
      <w:rPr>
        <w:rFonts w:hint="eastAsia"/>
      </w:rPr>
    </w:lvl>
  </w:abstractNum>
  <w:abstractNum w:abstractNumId="1">
    <w:nsid w:val="0266344B"/>
    <w:multiLevelType w:val="multilevel"/>
    <w:tmpl w:val="0266344B"/>
    <w:lvl w:ilvl="0" w:tentative="0">
      <w:start w:val="1"/>
      <w:numFmt w:val="decimal"/>
      <w:pStyle w:val="278"/>
      <w:lvlText w:val="%1."/>
      <w:lvlJc w:val="left"/>
      <w:pPr>
        <w:tabs>
          <w:tab w:val="left" w:pos="958"/>
        </w:tabs>
        <w:ind w:left="958" w:hanging="420"/>
      </w:pPr>
    </w:lvl>
    <w:lvl w:ilvl="1" w:tentative="0">
      <w:start w:val="1"/>
      <w:numFmt w:val="decimal"/>
      <w:lvlText w:val="%2."/>
      <w:lvlJc w:val="left"/>
      <w:pPr>
        <w:tabs>
          <w:tab w:val="left" w:pos="704"/>
        </w:tabs>
        <w:ind w:left="704"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46260FA"/>
    <w:multiLevelType w:val="multilevel"/>
    <w:tmpl w:val="646260FA"/>
    <w:lvl w:ilvl="0" w:tentative="0">
      <w:start w:val="1"/>
      <w:numFmt w:val="decimal"/>
      <w:pStyle w:val="285"/>
      <w:suff w:val="nothing"/>
      <w:lvlText w:val="表%1　"/>
      <w:lvlJc w:val="left"/>
      <w:pPr>
        <w:ind w:left="1560"/>
      </w:pPr>
      <w:rPr>
        <w:rFonts w:hint="eastAsia" w:ascii="黑体" w:hAnsi="Times New Roman" w:eastAsia="黑体"/>
        <w:b w:val="0"/>
        <w:bCs w:val="0"/>
        <w:i w:val="0"/>
        <w:iCs w:val="0"/>
        <w:sz w:val="21"/>
        <w:szCs w:val="21"/>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141"/>
        </w:tabs>
        <w:ind w:left="-141" w:hanging="567"/>
      </w:pPr>
      <w:rPr>
        <w:rFonts w:hint="eastAsia"/>
      </w:rPr>
    </w:lvl>
    <w:lvl w:ilvl="3" w:tentative="0">
      <w:start w:val="1"/>
      <w:numFmt w:val="decimal"/>
      <w:lvlText w:val="%1.%2.%3.%4"/>
      <w:lvlJc w:val="left"/>
      <w:pPr>
        <w:tabs>
          <w:tab w:val="left" w:pos="425"/>
        </w:tabs>
        <w:ind w:left="425" w:hanging="708"/>
      </w:pPr>
      <w:rPr>
        <w:rFonts w:hint="eastAsia"/>
      </w:rPr>
    </w:lvl>
    <w:lvl w:ilvl="4" w:tentative="0">
      <w:start w:val="1"/>
      <w:numFmt w:val="decimal"/>
      <w:lvlText w:val="%1.%2.%3.%4.%5"/>
      <w:lvlJc w:val="left"/>
      <w:pPr>
        <w:tabs>
          <w:tab w:val="left" w:pos="992"/>
        </w:tabs>
        <w:ind w:left="992" w:hanging="850"/>
      </w:pPr>
      <w:rPr>
        <w:rFonts w:hint="eastAsia"/>
      </w:rPr>
    </w:lvl>
    <w:lvl w:ilvl="5" w:tentative="0">
      <w:start w:val="1"/>
      <w:numFmt w:val="decimal"/>
      <w:lvlText w:val="%1.%2.%3.%4.%5.%6"/>
      <w:lvlJc w:val="left"/>
      <w:pPr>
        <w:tabs>
          <w:tab w:val="left" w:pos="1701"/>
        </w:tabs>
        <w:ind w:left="1701" w:hanging="1134"/>
      </w:pPr>
      <w:rPr>
        <w:rFonts w:hint="eastAsia"/>
      </w:rPr>
    </w:lvl>
    <w:lvl w:ilvl="6" w:tentative="0">
      <w:start w:val="1"/>
      <w:numFmt w:val="decimal"/>
      <w:lvlText w:val="%1.%2.%3.%4.%5.%6.%7"/>
      <w:lvlJc w:val="left"/>
      <w:pPr>
        <w:tabs>
          <w:tab w:val="left" w:pos="2268"/>
        </w:tabs>
        <w:ind w:left="2268" w:hanging="1276"/>
      </w:pPr>
      <w:rPr>
        <w:rFonts w:hint="eastAsia"/>
      </w:rPr>
    </w:lvl>
    <w:lvl w:ilvl="7" w:tentative="0">
      <w:start w:val="1"/>
      <w:numFmt w:val="decimal"/>
      <w:lvlText w:val="%1.%2.%3.%4.%5.%6.%7.%8"/>
      <w:lvlJc w:val="left"/>
      <w:pPr>
        <w:tabs>
          <w:tab w:val="left" w:pos="2835"/>
        </w:tabs>
        <w:ind w:left="2835" w:hanging="1418"/>
      </w:pPr>
      <w:rPr>
        <w:rFonts w:hint="eastAsia"/>
      </w:rPr>
    </w:lvl>
    <w:lvl w:ilvl="8" w:tentative="0">
      <w:start w:val="1"/>
      <w:numFmt w:val="decimal"/>
      <w:lvlText w:val="%1.%2.%3.%4.%5.%6.%7.%8.%9"/>
      <w:lvlJc w:val="left"/>
      <w:pPr>
        <w:tabs>
          <w:tab w:val="left" w:pos="3543"/>
        </w:tabs>
        <w:ind w:left="3543" w:hanging="1700"/>
      </w:pPr>
      <w:rPr>
        <w:rFonts w:hint="eastAsia"/>
      </w:rPr>
    </w:lvl>
  </w:abstractNum>
  <w:abstractNum w:abstractNumId="3">
    <w:nsid w:val="6CEA2025"/>
    <w:multiLevelType w:val="multilevel"/>
    <w:tmpl w:val="6CEA2025"/>
    <w:lvl w:ilvl="0" w:tentative="0">
      <w:start w:val="1"/>
      <w:numFmt w:val="none"/>
      <w:suff w:val="nothing"/>
      <w:lvlText w:val="%1"/>
      <w:lvlJc w:val="left"/>
      <w:rPr>
        <w:rFonts w:hint="default" w:ascii="Times New Roman" w:hAnsi="Times New Roman" w:cs="Times New Roman"/>
        <w:b/>
        <w:bCs/>
        <w:i w:val="0"/>
        <w:iCs w:val="0"/>
        <w:sz w:val="21"/>
        <w:szCs w:val="21"/>
      </w:rPr>
    </w:lvl>
    <w:lvl w:ilvl="1" w:tentative="0">
      <w:start w:val="1"/>
      <w:numFmt w:val="decimal"/>
      <w:pStyle w:val="97"/>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6933334"/>
    <w:multiLevelType w:val="multilevel"/>
    <w:tmpl w:val="76933334"/>
    <w:lvl w:ilvl="0" w:tentative="0">
      <w:start w:val="1"/>
      <w:numFmt w:val="none"/>
      <w:pStyle w:val="88"/>
      <w:lvlText w:val="%1——"/>
      <w:lvlJc w:val="left"/>
      <w:pPr>
        <w:tabs>
          <w:tab w:val="left" w:pos="1140"/>
        </w:tabs>
        <w:ind w:left="840" w:hanging="4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hideGrammaticalErrors/>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NjYxMGI5MWMxNTEyOTE5ZGY1M2UyYmM3NWI0ODgifQ=="/>
  </w:docVars>
  <w:rsids>
    <w:rsidRoot w:val="006372B7"/>
    <w:rsid w:val="0000069E"/>
    <w:rsid w:val="00001C3E"/>
    <w:rsid w:val="00001E21"/>
    <w:rsid w:val="000021AC"/>
    <w:rsid w:val="000021BB"/>
    <w:rsid w:val="000024E6"/>
    <w:rsid w:val="00002BEB"/>
    <w:rsid w:val="00003D9C"/>
    <w:rsid w:val="00006D3C"/>
    <w:rsid w:val="00006FB7"/>
    <w:rsid w:val="000071AA"/>
    <w:rsid w:val="000106C7"/>
    <w:rsid w:val="00013372"/>
    <w:rsid w:val="0001344D"/>
    <w:rsid w:val="0001424A"/>
    <w:rsid w:val="000154DA"/>
    <w:rsid w:val="00016D94"/>
    <w:rsid w:val="00017688"/>
    <w:rsid w:val="00017742"/>
    <w:rsid w:val="000178AB"/>
    <w:rsid w:val="00017C71"/>
    <w:rsid w:val="0002033B"/>
    <w:rsid w:val="00021C6E"/>
    <w:rsid w:val="00024454"/>
    <w:rsid w:val="00024C0B"/>
    <w:rsid w:val="00025864"/>
    <w:rsid w:val="00026E4A"/>
    <w:rsid w:val="000279ED"/>
    <w:rsid w:val="00027EBF"/>
    <w:rsid w:val="000316D4"/>
    <w:rsid w:val="0003388E"/>
    <w:rsid w:val="00033964"/>
    <w:rsid w:val="00041A7A"/>
    <w:rsid w:val="000422A1"/>
    <w:rsid w:val="000440C8"/>
    <w:rsid w:val="000449D0"/>
    <w:rsid w:val="000457A2"/>
    <w:rsid w:val="00045C25"/>
    <w:rsid w:val="00046720"/>
    <w:rsid w:val="00047385"/>
    <w:rsid w:val="00047742"/>
    <w:rsid w:val="00051F93"/>
    <w:rsid w:val="00052399"/>
    <w:rsid w:val="000525AA"/>
    <w:rsid w:val="00052AF2"/>
    <w:rsid w:val="00054F3C"/>
    <w:rsid w:val="00055251"/>
    <w:rsid w:val="0005589A"/>
    <w:rsid w:val="000563B7"/>
    <w:rsid w:val="00057C1C"/>
    <w:rsid w:val="00060EDB"/>
    <w:rsid w:val="00061061"/>
    <w:rsid w:val="000614E0"/>
    <w:rsid w:val="000617F5"/>
    <w:rsid w:val="00062284"/>
    <w:rsid w:val="00062787"/>
    <w:rsid w:val="00064051"/>
    <w:rsid w:val="00064F22"/>
    <w:rsid w:val="000651C0"/>
    <w:rsid w:val="00065C14"/>
    <w:rsid w:val="00066A80"/>
    <w:rsid w:val="00066E53"/>
    <w:rsid w:val="00072628"/>
    <w:rsid w:val="00074B08"/>
    <w:rsid w:val="00075C55"/>
    <w:rsid w:val="00076C0E"/>
    <w:rsid w:val="0008178B"/>
    <w:rsid w:val="0008669A"/>
    <w:rsid w:val="00087328"/>
    <w:rsid w:val="00090E4F"/>
    <w:rsid w:val="000929A8"/>
    <w:rsid w:val="00093848"/>
    <w:rsid w:val="000944D9"/>
    <w:rsid w:val="00094F3E"/>
    <w:rsid w:val="000960B8"/>
    <w:rsid w:val="00096344"/>
    <w:rsid w:val="00097D27"/>
    <w:rsid w:val="000A670C"/>
    <w:rsid w:val="000A6A23"/>
    <w:rsid w:val="000A6A38"/>
    <w:rsid w:val="000B0C33"/>
    <w:rsid w:val="000B15A0"/>
    <w:rsid w:val="000B2315"/>
    <w:rsid w:val="000B2FCA"/>
    <w:rsid w:val="000B32B6"/>
    <w:rsid w:val="000B397F"/>
    <w:rsid w:val="000B46B3"/>
    <w:rsid w:val="000B4A38"/>
    <w:rsid w:val="000B62FC"/>
    <w:rsid w:val="000C0018"/>
    <w:rsid w:val="000C07F2"/>
    <w:rsid w:val="000C0D84"/>
    <w:rsid w:val="000C3082"/>
    <w:rsid w:val="000C393D"/>
    <w:rsid w:val="000C3A53"/>
    <w:rsid w:val="000C3D40"/>
    <w:rsid w:val="000C3FCF"/>
    <w:rsid w:val="000C512B"/>
    <w:rsid w:val="000D0AD9"/>
    <w:rsid w:val="000D0D9F"/>
    <w:rsid w:val="000D318A"/>
    <w:rsid w:val="000D5B97"/>
    <w:rsid w:val="000D7A89"/>
    <w:rsid w:val="000E07FF"/>
    <w:rsid w:val="000E304E"/>
    <w:rsid w:val="000E30CD"/>
    <w:rsid w:val="000E42AD"/>
    <w:rsid w:val="000E68A2"/>
    <w:rsid w:val="000E6B24"/>
    <w:rsid w:val="000E6CA0"/>
    <w:rsid w:val="000E7BDA"/>
    <w:rsid w:val="000E7E61"/>
    <w:rsid w:val="000F1E0F"/>
    <w:rsid w:val="000F21DF"/>
    <w:rsid w:val="000F4175"/>
    <w:rsid w:val="000F4740"/>
    <w:rsid w:val="000F488B"/>
    <w:rsid w:val="000F4F3D"/>
    <w:rsid w:val="000F59ED"/>
    <w:rsid w:val="000F723F"/>
    <w:rsid w:val="001000A9"/>
    <w:rsid w:val="001026D8"/>
    <w:rsid w:val="00104BEB"/>
    <w:rsid w:val="001055EA"/>
    <w:rsid w:val="00105DE3"/>
    <w:rsid w:val="0010613B"/>
    <w:rsid w:val="00106521"/>
    <w:rsid w:val="00107E19"/>
    <w:rsid w:val="00110B4C"/>
    <w:rsid w:val="00110CC0"/>
    <w:rsid w:val="0011182C"/>
    <w:rsid w:val="00112522"/>
    <w:rsid w:val="001133FE"/>
    <w:rsid w:val="00113BF6"/>
    <w:rsid w:val="00114E91"/>
    <w:rsid w:val="0011580B"/>
    <w:rsid w:val="00116224"/>
    <w:rsid w:val="00117AB0"/>
    <w:rsid w:val="00117C26"/>
    <w:rsid w:val="0012191E"/>
    <w:rsid w:val="00122D77"/>
    <w:rsid w:val="00123B9E"/>
    <w:rsid w:val="00123BF9"/>
    <w:rsid w:val="00124307"/>
    <w:rsid w:val="00124C06"/>
    <w:rsid w:val="00126577"/>
    <w:rsid w:val="001265DF"/>
    <w:rsid w:val="00126AAF"/>
    <w:rsid w:val="00126C14"/>
    <w:rsid w:val="00127B89"/>
    <w:rsid w:val="00131386"/>
    <w:rsid w:val="00131BA3"/>
    <w:rsid w:val="00132806"/>
    <w:rsid w:val="00132A2F"/>
    <w:rsid w:val="00133345"/>
    <w:rsid w:val="0013615A"/>
    <w:rsid w:val="00136BD7"/>
    <w:rsid w:val="00136E6E"/>
    <w:rsid w:val="001408A4"/>
    <w:rsid w:val="001415D1"/>
    <w:rsid w:val="001416AA"/>
    <w:rsid w:val="00141741"/>
    <w:rsid w:val="00142064"/>
    <w:rsid w:val="00144FD6"/>
    <w:rsid w:val="0015255D"/>
    <w:rsid w:val="00153970"/>
    <w:rsid w:val="00154F53"/>
    <w:rsid w:val="001561B6"/>
    <w:rsid w:val="00156981"/>
    <w:rsid w:val="001613E2"/>
    <w:rsid w:val="0016199C"/>
    <w:rsid w:val="00162658"/>
    <w:rsid w:val="00162DC6"/>
    <w:rsid w:val="00163BDE"/>
    <w:rsid w:val="00164118"/>
    <w:rsid w:val="00165075"/>
    <w:rsid w:val="0016591F"/>
    <w:rsid w:val="0016779D"/>
    <w:rsid w:val="0017184A"/>
    <w:rsid w:val="0017483F"/>
    <w:rsid w:val="00175341"/>
    <w:rsid w:val="00176A5B"/>
    <w:rsid w:val="00176F64"/>
    <w:rsid w:val="0017703B"/>
    <w:rsid w:val="001777F3"/>
    <w:rsid w:val="0018216F"/>
    <w:rsid w:val="00182A4C"/>
    <w:rsid w:val="0018350D"/>
    <w:rsid w:val="00183AB8"/>
    <w:rsid w:val="00183BA5"/>
    <w:rsid w:val="00185D94"/>
    <w:rsid w:val="00186021"/>
    <w:rsid w:val="001864EF"/>
    <w:rsid w:val="00187A67"/>
    <w:rsid w:val="00191202"/>
    <w:rsid w:val="00191493"/>
    <w:rsid w:val="0019216C"/>
    <w:rsid w:val="0019509A"/>
    <w:rsid w:val="001961DB"/>
    <w:rsid w:val="001A05BD"/>
    <w:rsid w:val="001A1898"/>
    <w:rsid w:val="001A62F3"/>
    <w:rsid w:val="001A7438"/>
    <w:rsid w:val="001A7808"/>
    <w:rsid w:val="001B0160"/>
    <w:rsid w:val="001B06A1"/>
    <w:rsid w:val="001B0C3E"/>
    <w:rsid w:val="001B1870"/>
    <w:rsid w:val="001B19B5"/>
    <w:rsid w:val="001B35CE"/>
    <w:rsid w:val="001B4FB3"/>
    <w:rsid w:val="001B5140"/>
    <w:rsid w:val="001B5358"/>
    <w:rsid w:val="001B53CC"/>
    <w:rsid w:val="001B7058"/>
    <w:rsid w:val="001B775F"/>
    <w:rsid w:val="001B7A1D"/>
    <w:rsid w:val="001C095F"/>
    <w:rsid w:val="001C2BF7"/>
    <w:rsid w:val="001C4288"/>
    <w:rsid w:val="001C4352"/>
    <w:rsid w:val="001C5598"/>
    <w:rsid w:val="001C6B60"/>
    <w:rsid w:val="001D0017"/>
    <w:rsid w:val="001D0776"/>
    <w:rsid w:val="001D14BA"/>
    <w:rsid w:val="001D1E38"/>
    <w:rsid w:val="001D3274"/>
    <w:rsid w:val="001D5C0B"/>
    <w:rsid w:val="001D61C7"/>
    <w:rsid w:val="001D717C"/>
    <w:rsid w:val="001D7C8C"/>
    <w:rsid w:val="001E08AE"/>
    <w:rsid w:val="001E1042"/>
    <w:rsid w:val="001E1421"/>
    <w:rsid w:val="001E21CF"/>
    <w:rsid w:val="001E2E9F"/>
    <w:rsid w:val="001E3274"/>
    <w:rsid w:val="001E37FA"/>
    <w:rsid w:val="001E443E"/>
    <w:rsid w:val="001E79D9"/>
    <w:rsid w:val="001F04C7"/>
    <w:rsid w:val="001F0FB2"/>
    <w:rsid w:val="001F3587"/>
    <w:rsid w:val="001F37F0"/>
    <w:rsid w:val="001F4020"/>
    <w:rsid w:val="001F6EB3"/>
    <w:rsid w:val="001F722C"/>
    <w:rsid w:val="00202E3F"/>
    <w:rsid w:val="0020379D"/>
    <w:rsid w:val="00203E01"/>
    <w:rsid w:val="00204610"/>
    <w:rsid w:val="00207219"/>
    <w:rsid w:val="00212C7E"/>
    <w:rsid w:val="002135D0"/>
    <w:rsid w:val="00213E04"/>
    <w:rsid w:val="002141C1"/>
    <w:rsid w:val="0021592B"/>
    <w:rsid w:val="00217245"/>
    <w:rsid w:val="002175A8"/>
    <w:rsid w:val="00220BDE"/>
    <w:rsid w:val="00221B33"/>
    <w:rsid w:val="00221CC2"/>
    <w:rsid w:val="00221FD2"/>
    <w:rsid w:val="002227F0"/>
    <w:rsid w:val="002229B5"/>
    <w:rsid w:val="0022337E"/>
    <w:rsid w:val="00224475"/>
    <w:rsid w:val="00224723"/>
    <w:rsid w:val="00224987"/>
    <w:rsid w:val="00230B4C"/>
    <w:rsid w:val="00231FBA"/>
    <w:rsid w:val="0023352F"/>
    <w:rsid w:val="00234886"/>
    <w:rsid w:val="00234CDD"/>
    <w:rsid w:val="0023725F"/>
    <w:rsid w:val="00237650"/>
    <w:rsid w:val="002400F6"/>
    <w:rsid w:val="00240323"/>
    <w:rsid w:val="0024121A"/>
    <w:rsid w:val="00242586"/>
    <w:rsid w:val="0024282A"/>
    <w:rsid w:val="00244ABF"/>
    <w:rsid w:val="0024771A"/>
    <w:rsid w:val="00250529"/>
    <w:rsid w:val="002514B2"/>
    <w:rsid w:val="00252226"/>
    <w:rsid w:val="0025442B"/>
    <w:rsid w:val="00254F73"/>
    <w:rsid w:val="00262BBA"/>
    <w:rsid w:val="00263EA9"/>
    <w:rsid w:val="00266CC1"/>
    <w:rsid w:val="00270908"/>
    <w:rsid w:val="00270BD9"/>
    <w:rsid w:val="00271DC9"/>
    <w:rsid w:val="002734C0"/>
    <w:rsid w:val="0027395F"/>
    <w:rsid w:val="00273C1F"/>
    <w:rsid w:val="00274E37"/>
    <w:rsid w:val="002801B8"/>
    <w:rsid w:val="00280467"/>
    <w:rsid w:val="00280ABF"/>
    <w:rsid w:val="00280E94"/>
    <w:rsid w:val="002810AD"/>
    <w:rsid w:val="00286358"/>
    <w:rsid w:val="00291507"/>
    <w:rsid w:val="00293978"/>
    <w:rsid w:val="002953D9"/>
    <w:rsid w:val="00296711"/>
    <w:rsid w:val="00296E2A"/>
    <w:rsid w:val="00297E63"/>
    <w:rsid w:val="002A0C60"/>
    <w:rsid w:val="002A1A02"/>
    <w:rsid w:val="002A1A7A"/>
    <w:rsid w:val="002A2483"/>
    <w:rsid w:val="002A2C88"/>
    <w:rsid w:val="002A5C8E"/>
    <w:rsid w:val="002A7A26"/>
    <w:rsid w:val="002B01AD"/>
    <w:rsid w:val="002B13AC"/>
    <w:rsid w:val="002B1718"/>
    <w:rsid w:val="002B1BA2"/>
    <w:rsid w:val="002B3D1F"/>
    <w:rsid w:val="002B4A75"/>
    <w:rsid w:val="002B4C38"/>
    <w:rsid w:val="002B5449"/>
    <w:rsid w:val="002B747C"/>
    <w:rsid w:val="002C3BAB"/>
    <w:rsid w:val="002C4E3E"/>
    <w:rsid w:val="002D01EC"/>
    <w:rsid w:val="002D11D5"/>
    <w:rsid w:val="002D2D53"/>
    <w:rsid w:val="002D3A77"/>
    <w:rsid w:val="002D3C80"/>
    <w:rsid w:val="002D58A1"/>
    <w:rsid w:val="002D5BC2"/>
    <w:rsid w:val="002D6612"/>
    <w:rsid w:val="002D6938"/>
    <w:rsid w:val="002D6A1B"/>
    <w:rsid w:val="002E020D"/>
    <w:rsid w:val="002E133F"/>
    <w:rsid w:val="002E2299"/>
    <w:rsid w:val="002E323E"/>
    <w:rsid w:val="002E4DC5"/>
    <w:rsid w:val="002E559D"/>
    <w:rsid w:val="002E598B"/>
    <w:rsid w:val="002E6FD9"/>
    <w:rsid w:val="002F08B0"/>
    <w:rsid w:val="002F3B68"/>
    <w:rsid w:val="002F51F5"/>
    <w:rsid w:val="002F52B2"/>
    <w:rsid w:val="002F7D00"/>
    <w:rsid w:val="00300A64"/>
    <w:rsid w:val="003025D1"/>
    <w:rsid w:val="00302899"/>
    <w:rsid w:val="003028E0"/>
    <w:rsid w:val="0030341D"/>
    <w:rsid w:val="0030352C"/>
    <w:rsid w:val="00303D14"/>
    <w:rsid w:val="00304C18"/>
    <w:rsid w:val="003057CF"/>
    <w:rsid w:val="00311A6E"/>
    <w:rsid w:val="003120F0"/>
    <w:rsid w:val="003129E5"/>
    <w:rsid w:val="00313AE8"/>
    <w:rsid w:val="00314045"/>
    <w:rsid w:val="003158B8"/>
    <w:rsid w:val="003163B5"/>
    <w:rsid w:val="003210DE"/>
    <w:rsid w:val="003249F0"/>
    <w:rsid w:val="00324CBA"/>
    <w:rsid w:val="00326EE5"/>
    <w:rsid w:val="00326FF0"/>
    <w:rsid w:val="00327281"/>
    <w:rsid w:val="00330A0D"/>
    <w:rsid w:val="003314A4"/>
    <w:rsid w:val="003317B1"/>
    <w:rsid w:val="00331ACB"/>
    <w:rsid w:val="00334775"/>
    <w:rsid w:val="0033596D"/>
    <w:rsid w:val="00335CE2"/>
    <w:rsid w:val="0033728B"/>
    <w:rsid w:val="0033755A"/>
    <w:rsid w:val="0034312B"/>
    <w:rsid w:val="00346B06"/>
    <w:rsid w:val="003479BF"/>
    <w:rsid w:val="00347F3B"/>
    <w:rsid w:val="003508DE"/>
    <w:rsid w:val="00350F44"/>
    <w:rsid w:val="0035112A"/>
    <w:rsid w:val="00351EE6"/>
    <w:rsid w:val="003540B6"/>
    <w:rsid w:val="003541B2"/>
    <w:rsid w:val="00354BFD"/>
    <w:rsid w:val="0035687C"/>
    <w:rsid w:val="003568E1"/>
    <w:rsid w:val="00356D90"/>
    <w:rsid w:val="00357593"/>
    <w:rsid w:val="0035797D"/>
    <w:rsid w:val="00361025"/>
    <w:rsid w:val="00363154"/>
    <w:rsid w:val="003639AD"/>
    <w:rsid w:val="003649E9"/>
    <w:rsid w:val="00366E99"/>
    <w:rsid w:val="003677F0"/>
    <w:rsid w:val="00372E0E"/>
    <w:rsid w:val="00373AAE"/>
    <w:rsid w:val="003745FB"/>
    <w:rsid w:val="00374BA3"/>
    <w:rsid w:val="00374EB0"/>
    <w:rsid w:val="00375E82"/>
    <w:rsid w:val="003770BA"/>
    <w:rsid w:val="0038211E"/>
    <w:rsid w:val="00383DFA"/>
    <w:rsid w:val="00384347"/>
    <w:rsid w:val="0038691B"/>
    <w:rsid w:val="00386CC1"/>
    <w:rsid w:val="00391E27"/>
    <w:rsid w:val="003944AC"/>
    <w:rsid w:val="00395E71"/>
    <w:rsid w:val="00396182"/>
    <w:rsid w:val="00396FC0"/>
    <w:rsid w:val="00397322"/>
    <w:rsid w:val="003A008A"/>
    <w:rsid w:val="003A03F5"/>
    <w:rsid w:val="003A04E3"/>
    <w:rsid w:val="003A0E08"/>
    <w:rsid w:val="003A2ED7"/>
    <w:rsid w:val="003A618C"/>
    <w:rsid w:val="003B108C"/>
    <w:rsid w:val="003B15CB"/>
    <w:rsid w:val="003B1F5E"/>
    <w:rsid w:val="003B2CB5"/>
    <w:rsid w:val="003B458B"/>
    <w:rsid w:val="003B7934"/>
    <w:rsid w:val="003B7DAE"/>
    <w:rsid w:val="003B7E22"/>
    <w:rsid w:val="003C109A"/>
    <w:rsid w:val="003C3033"/>
    <w:rsid w:val="003C3098"/>
    <w:rsid w:val="003C3402"/>
    <w:rsid w:val="003C4B48"/>
    <w:rsid w:val="003D2314"/>
    <w:rsid w:val="003D253F"/>
    <w:rsid w:val="003D2DDB"/>
    <w:rsid w:val="003D3C81"/>
    <w:rsid w:val="003D65A4"/>
    <w:rsid w:val="003D6676"/>
    <w:rsid w:val="003D7713"/>
    <w:rsid w:val="003E0C27"/>
    <w:rsid w:val="003E1143"/>
    <w:rsid w:val="003E2B6C"/>
    <w:rsid w:val="003E30E6"/>
    <w:rsid w:val="003E4F4A"/>
    <w:rsid w:val="003E6BB9"/>
    <w:rsid w:val="003E7872"/>
    <w:rsid w:val="003F0A31"/>
    <w:rsid w:val="003F0BDA"/>
    <w:rsid w:val="003F169E"/>
    <w:rsid w:val="003F4566"/>
    <w:rsid w:val="003F5B96"/>
    <w:rsid w:val="003F61CD"/>
    <w:rsid w:val="003F6437"/>
    <w:rsid w:val="003F6EB4"/>
    <w:rsid w:val="00400787"/>
    <w:rsid w:val="0040170F"/>
    <w:rsid w:val="00401F42"/>
    <w:rsid w:val="004024E2"/>
    <w:rsid w:val="00403483"/>
    <w:rsid w:val="004036AD"/>
    <w:rsid w:val="00403E82"/>
    <w:rsid w:val="004056B5"/>
    <w:rsid w:val="004070B3"/>
    <w:rsid w:val="004106E6"/>
    <w:rsid w:val="00410A6D"/>
    <w:rsid w:val="004144C7"/>
    <w:rsid w:val="004156DF"/>
    <w:rsid w:val="00416776"/>
    <w:rsid w:val="00416B5B"/>
    <w:rsid w:val="00416EFC"/>
    <w:rsid w:val="004202DC"/>
    <w:rsid w:val="004207AD"/>
    <w:rsid w:val="004211E1"/>
    <w:rsid w:val="00421FB7"/>
    <w:rsid w:val="00423987"/>
    <w:rsid w:val="00425B7E"/>
    <w:rsid w:val="004274FA"/>
    <w:rsid w:val="0042792F"/>
    <w:rsid w:val="0043018A"/>
    <w:rsid w:val="004304B3"/>
    <w:rsid w:val="004314EA"/>
    <w:rsid w:val="00431727"/>
    <w:rsid w:val="00431A13"/>
    <w:rsid w:val="00431D72"/>
    <w:rsid w:val="00432D7C"/>
    <w:rsid w:val="00432FD3"/>
    <w:rsid w:val="00436045"/>
    <w:rsid w:val="00436620"/>
    <w:rsid w:val="00436979"/>
    <w:rsid w:val="00444A15"/>
    <w:rsid w:val="00444BA8"/>
    <w:rsid w:val="00450F4D"/>
    <w:rsid w:val="00451D5C"/>
    <w:rsid w:val="00453616"/>
    <w:rsid w:val="00453958"/>
    <w:rsid w:val="00454B09"/>
    <w:rsid w:val="004566AC"/>
    <w:rsid w:val="00457665"/>
    <w:rsid w:val="004604C3"/>
    <w:rsid w:val="0046086F"/>
    <w:rsid w:val="004610A1"/>
    <w:rsid w:val="00461424"/>
    <w:rsid w:val="00462608"/>
    <w:rsid w:val="00462C6C"/>
    <w:rsid w:val="00463C8D"/>
    <w:rsid w:val="0046535B"/>
    <w:rsid w:val="00470DAE"/>
    <w:rsid w:val="004713A6"/>
    <w:rsid w:val="0047334A"/>
    <w:rsid w:val="00473882"/>
    <w:rsid w:val="00476211"/>
    <w:rsid w:val="00476342"/>
    <w:rsid w:val="0047660E"/>
    <w:rsid w:val="00477333"/>
    <w:rsid w:val="0047750D"/>
    <w:rsid w:val="00480050"/>
    <w:rsid w:val="0048104B"/>
    <w:rsid w:val="004844BE"/>
    <w:rsid w:val="00484CC5"/>
    <w:rsid w:val="00486E15"/>
    <w:rsid w:val="00491EB9"/>
    <w:rsid w:val="00492547"/>
    <w:rsid w:val="004964AD"/>
    <w:rsid w:val="004A0028"/>
    <w:rsid w:val="004A2156"/>
    <w:rsid w:val="004A26CB"/>
    <w:rsid w:val="004A3B81"/>
    <w:rsid w:val="004A7540"/>
    <w:rsid w:val="004B0BC3"/>
    <w:rsid w:val="004B226A"/>
    <w:rsid w:val="004B2636"/>
    <w:rsid w:val="004B347C"/>
    <w:rsid w:val="004B4A65"/>
    <w:rsid w:val="004B4DD5"/>
    <w:rsid w:val="004B63BE"/>
    <w:rsid w:val="004B65DD"/>
    <w:rsid w:val="004B7071"/>
    <w:rsid w:val="004C01F6"/>
    <w:rsid w:val="004C104D"/>
    <w:rsid w:val="004C24AC"/>
    <w:rsid w:val="004C350B"/>
    <w:rsid w:val="004C3D7A"/>
    <w:rsid w:val="004C5103"/>
    <w:rsid w:val="004C56C3"/>
    <w:rsid w:val="004C5FD1"/>
    <w:rsid w:val="004D2237"/>
    <w:rsid w:val="004D295A"/>
    <w:rsid w:val="004D3364"/>
    <w:rsid w:val="004D34E0"/>
    <w:rsid w:val="004D6171"/>
    <w:rsid w:val="004D6A75"/>
    <w:rsid w:val="004D6CEB"/>
    <w:rsid w:val="004D7B9E"/>
    <w:rsid w:val="004D7E8B"/>
    <w:rsid w:val="004E0122"/>
    <w:rsid w:val="004E1337"/>
    <w:rsid w:val="004E454E"/>
    <w:rsid w:val="004E4BE8"/>
    <w:rsid w:val="004E63D8"/>
    <w:rsid w:val="004F0353"/>
    <w:rsid w:val="004F2AF3"/>
    <w:rsid w:val="004F2D9C"/>
    <w:rsid w:val="004F5036"/>
    <w:rsid w:val="004F59C7"/>
    <w:rsid w:val="004F62DE"/>
    <w:rsid w:val="0050393A"/>
    <w:rsid w:val="00503F72"/>
    <w:rsid w:val="005060B1"/>
    <w:rsid w:val="00506B66"/>
    <w:rsid w:val="00507DDF"/>
    <w:rsid w:val="00507E63"/>
    <w:rsid w:val="00507E75"/>
    <w:rsid w:val="0051022B"/>
    <w:rsid w:val="00510D4C"/>
    <w:rsid w:val="00511369"/>
    <w:rsid w:val="00511C22"/>
    <w:rsid w:val="00511E3D"/>
    <w:rsid w:val="00512518"/>
    <w:rsid w:val="00514894"/>
    <w:rsid w:val="00517B1C"/>
    <w:rsid w:val="00517D4D"/>
    <w:rsid w:val="0052006B"/>
    <w:rsid w:val="00520598"/>
    <w:rsid w:val="00520D71"/>
    <w:rsid w:val="00525E30"/>
    <w:rsid w:val="005262AC"/>
    <w:rsid w:val="00532BF4"/>
    <w:rsid w:val="00532E0E"/>
    <w:rsid w:val="00533BC6"/>
    <w:rsid w:val="005341E1"/>
    <w:rsid w:val="00535EDD"/>
    <w:rsid w:val="005407C0"/>
    <w:rsid w:val="00540AE5"/>
    <w:rsid w:val="00542F9E"/>
    <w:rsid w:val="005438B5"/>
    <w:rsid w:val="00545234"/>
    <w:rsid w:val="005452A4"/>
    <w:rsid w:val="00545720"/>
    <w:rsid w:val="00545CA6"/>
    <w:rsid w:val="00547F40"/>
    <w:rsid w:val="00553CC1"/>
    <w:rsid w:val="005549E7"/>
    <w:rsid w:val="00554B18"/>
    <w:rsid w:val="0055638E"/>
    <w:rsid w:val="005565DF"/>
    <w:rsid w:val="00556B9B"/>
    <w:rsid w:val="005607BA"/>
    <w:rsid w:val="005609FB"/>
    <w:rsid w:val="005617FA"/>
    <w:rsid w:val="00561C59"/>
    <w:rsid w:val="005627D9"/>
    <w:rsid w:val="00563F87"/>
    <w:rsid w:val="00565C25"/>
    <w:rsid w:val="005668FB"/>
    <w:rsid w:val="00570122"/>
    <w:rsid w:val="0057763E"/>
    <w:rsid w:val="0058105D"/>
    <w:rsid w:val="00584B8F"/>
    <w:rsid w:val="0058567D"/>
    <w:rsid w:val="00585DAE"/>
    <w:rsid w:val="00591853"/>
    <w:rsid w:val="00593E72"/>
    <w:rsid w:val="00595188"/>
    <w:rsid w:val="00595DA2"/>
    <w:rsid w:val="005966B0"/>
    <w:rsid w:val="0059704D"/>
    <w:rsid w:val="005A0271"/>
    <w:rsid w:val="005A1EC6"/>
    <w:rsid w:val="005A3999"/>
    <w:rsid w:val="005A4675"/>
    <w:rsid w:val="005A4B9F"/>
    <w:rsid w:val="005A4D3B"/>
    <w:rsid w:val="005A5144"/>
    <w:rsid w:val="005A63C0"/>
    <w:rsid w:val="005A7924"/>
    <w:rsid w:val="005A7EBD"/>
    <w:rsid w:val="005B19F8"/>
    <w:rsid w:val="005B58C1"/>
    <w:rsid w:val="005B660C"/>
    <w:rsid w:val="005B6973"/>
    <w:rsid w:val="005B7238"/>
    <w:rsid w:val="005C030E"/>
    <w:rsid w:val="005C0C21"/>
    <w:rsid w:val="005C0D91"/>
    <w:rsid w:val="005C656B"/>
    <w:rsid w:val="005C73B9"/>
    <w:rsid w:val="005D14F6"/>
    <w:rsid w:val="005D18CA"/>
    <w:rsid w:val="005D2046"/>
    <w:rsid w:val="005D20AE"/>
    <w:rsid w:val="005D2574"/>
    <w:rsid w:val="005D2F65"/>
    <w:rsid w:val="005D4AF6"/>
    <w:rsid w:val="005D7516"/>
    <w:rsid w:val="005D7E5E"/>
    <w:rsid w:val="005E05A1"/>
    <w:rsid w:val="005E395F"/>
    <w:rsid w:val="005E68DE"/>
    <w:rsid w:val="005E7D67"/>
    <w:rsid w:val="005E7EF5"/>
    <w:rsid w:val="005F07A6"/>
    <w:rsid w:val="005F0E49"/>
    <w:rsid w:val="005F15E9"/>
    <w:rsid w:val="005F24E3"/>
    <w:rsid w:val="005F2EE0"/>
    <w:rsid w:val="005F4537"/>
    <w:rsid w:val="005F674C"/>
    <w:rsid w:val="005F6C6E"/>
    <w:rsid w:val="006042BF"/>
    <w:rsid w:val="0060439F"/>
    <w:rsid w:val="0060473E"/>
    <w:rsid w:val="00604DF7"/>
    <w:rsid w:val="006053D8"/>
    <w:rsid w:val="0060547F"/>
    <w:rsid w:val="006075BF"/>
    <w:rsid w:val="00610FFE"/>
    <w:rsid w:val="00612540"/>
    <w:rsid w:val="00616B1F"/>
    <w:rsid w:val="006211CC"/>
    <w:rsid w:val="006213C9"/>
    <w:rsid w:val="006225BD"/>
    <w:rsid w:val="00625B4B"/>
    <w:rsid w:val="00627376"/>
    <w:rsid w:val="0062740F"/>
    <w:rsid w:val="00631D39"/>
    <w:rsid w:val="00632678"/>
    <w:rsid w:val="00632897"/>
    <w:rsid w:val="006349DB"/>
    <w:rsid w:val="00635902"/>
    <w:rsid w:val="006372B7"/>
    <w:rsid w:val="00640D70"/>
    <w:rsid w:val="0064104B"/>
    <w:rsid w:val="00641BD6"/>
    <w:rsid w:val="00641F69"/>
    <w:rsid w:val="00642022"/>
    <w:rsid w:val="00642946"/>
    <w:rsid w:val="00645915"/>
    <w:rsid w:val="00651DE6"/>
    <w:rsid w:val="0065288E"/>
    <w:rsid w:val="00653210"/>
    <w:rsid w:val="0065400B"/>
    <w:rsid w:val="00654CDA"/>
    <w:rsid w:val="00655540"/>
    <w:rsid w:val="0065735E"/>
    <w:rsid w:val="00657C43"/>
    <w:rsid w:val="00657CD1"/>
    <w:rsid w:val="00660311"/>
    <w:rsid w:val="006613C2"/>
    <w:rsid w:val="006624A8"/>
    <w:rsid w:val="00662A7A"/>
    <w:rsid w:val="006656F1"/>
    <w:rsid w:val="00666D09"/>
    <w:rsid w:val="00670A92"/>
    <w:rsid w:val="00671422"/>
    <w:rsid w:val="006736FD"/>
    <w:rsid w:val="006738C4"/>
    <w:rsid w:val="00674F72"/>
    <w:rsid w:val="006754CD"/>
    <w:rsid w:val="006759A3"/>
    <w:rsid w:val="0067685F"/>
    <w:rsid w:val="006819DD"/>
    <w:rsid w:val="00682A70"/>
    <w:rsid w:val="00683CDD"/>
    <w:rsid w:val="00683D41"/>
    <w:rsid w:val="0068485D"/>
    <w:rsid w:val="00685982"/>
    <w:rsid w:val="0068757A"/>
    <w:rsid w:val="00690169"/>
    <w:rsid w:val="00691092"/>
    <w:rsid w:val="00691BC2"/>
    <w:rsid w:val="00693A87"/>
    <w:rsid w:val="00693BDC"/>
    <w:rsid w:val="00694079"/>
    <w:rsid w:val="0069426F"/>
    <w:rsid w:val="00695A40"/>
    <w:rsid w:val="006A061C"/>
    <w:rsid w:val="006A2EBF"/>
    <w:rsid w:val="006A42AD"/>
    <w:rsid w:val="006A5EB9"/>
    <w:rsid w:val="006A6261"/>
    <w:rsid w:val="006A642F"/>
    <w:rsid w:val="006A6DB1"/>
    <w:rsid w:val="006A768D"/>
    <w:rsid w:val="006B06DE"/>
    <w:rsid w:val="006B5DFA"/>
    <w:rsid w:val="006C0EAF"/>
    <w:rsid w:val="006C1532"/>
    <w:rsid w:val="006C15B4"/>
    <w:rsid w:val="006C1BB0"/>
    <w:rsid w:val="006C1C55"/>
    <w:rsid w:val="006C1FC6"/>
    <w:rsid w:val="006C38DC"/>
    <w:rsid w:val="006D0921"/>
    <w:rsid w:val="006D1E13"/>
    <w:rsid w:val="006D2DA9"/>
    <w:rsid w:val="006D3CF4"/>
    <w:rsid w:val="006D442B"/>
    <w:rsid w:val="006D7506"/>
    <w:rsid w:val="006D7675"/>
    <w:rsid w:val="006E238D"/>
    <w:rsid w:val="006E4571"/>
    <w:rsid w:val="006E4EE1"/>
    <w:rsid w:val="006E611A"/>
    <w:rsid w:val="006E7183"/>
    <w:rsid w:val="006F158C"/>
    <w:rsid w:val="006F39DF"/>
    <w:rsid w:val="006F3E3F"/>
    <w:rsid w:val="006F52D4"/>
    <w:rsid w:val="006F6494"/>
    <w:rsid w:val="006F666A"/>
    <w:rsid w:val="006F6B29"/>
    <w:rsid w:val="006F70F7"/>
    <w:rsid w:val="006F75FA"/>
    <w:rsid w:val="006F7C7E"/>
    <w:rsid w:val="00700931"/>
    <w:rsid w:val="00700F06"/>
    <w:rsid w:val="007027A7"/>
    <w:rsid w:val="007049ED"/>
    <w:rsid w:val="00706AC9"/>
    <w:rsid w:val="00710B2B"/>
    <w:rsid w:val="0071272F"/>
    <w:rsid w:val="0071279B"/>
    <w:rsid w:val="0071416C"/>
    <w:rsid w:val="0071566B"/>
    <w:rsid w:val="00716072"/>
    <w:rsid w:val="007166F2"/>
    <w:rsid w:val="00716E71"/>
    <w:rsid w:val="00717054"/>
    <w:rsid w:val="00717383"/>
    <w:rsid w:val="00721454"/>
    <w:rsid w:val="00722066"/>
    <w:rsid w:val="0072268A"/>
    <w:rsid w:val="007245B6"/>
    <w:rsid w:val="007247F7"/>
    <w:rsid w:val="007251E6"/>
    <w:rsid w:val="007273D7"/>
    <w:rsid w:val="00731245"/>
    <w:rsid w:val="00731B84"/>
    <w:rsid w:val="00732B57"/>
    <w:rsid w:val="007340B4"/>
    <w:rsid w:val="00734AE7"/>
    <w:rsid w:val="007356E3"/>
    <w:rsid w:val="00735D46"/>
    <w:rsid w:val="00735FBE"/>
    <w:rsid w:val="00741E1D"/>
    <w:rsid w:val="00742C67"/>
    <w:rsid w:val="00742E25"/>
    <w:rsid w:val="007434D1"/>
    <w:rsid w:val="007452B9"/>
    <w:rsid w:val="00747E98"/>
    <w:rsid w:val="00750812"/>
    <w:rsid w:val="007514B2"/>
    <w:rsid w:val="00752ABB"/>
    <w:rsid w:val="00753464"/>
    <w:rsid w:val="007554F9"/>
    <w:rsid w:val="00757BAD"/>
    <w:rsid w:val="00757BF7"/>
    <w:rsid w:val="0076229F"/>
    <w:rsid w:val="007629E9"/>
    <w:rsid w:val="00763B88"/>
    <w:rsid w:val="00766584"/>
    <w:rsid w:val="00766B94"/>
    <w:rsid w:val="007673A2"/>
    <w:rsid w:val="00767A5B"/>
    <w:rsid w:val="00767DA1"/>
    <w:rsid w:val="007716E7"/>
    <w:rsid w:val="00771A07"/>
    <w:rsid w:val="00773340"/>
    <w:rsid w:val="00773C69"/>
    <w:rsid w:val="00773EA3"/>
    <w:rsid w:val="00774C82"/>
    <w:rsid w:val="00774EDC"/>
    <w:rsid w:val="0077571A"/>
    <w:rsid w:val="00781826"/>
    <w:rsid w:val="007830C1"/>
    <w:rsid w:val="00783160"/>
    <w:rsid w:val="00783184"/>
    <w:rsid w:val="0078413D"/>
    <w:rsid w:val="007842B3"/>
    <w:rsid w:val="0078555C"/>
    <w:rsid w:val="007862A9"/>
    <w:rsid w:val="00787538"/>
    <w:rsid w:val="0079010E"/>
    <w:rsid w:val="0079152F"/>
    <w:rsid w:val="007918AA"/>
    <w:rsid w:val="0079368D"/>
    <w:rsid w:val="00793D3F"/>
    <w:rsid w:val="007A15F0"/>
    <w:rsid w:val="007A1738"/>
    <w:rsid w:val="007A1C6F"/>
    <w:rsid w:val="007A3642"/>
    <w:rsid w:val="007A3DA0"/>
    <w:rsid w:val="007A5F03"/>
    <w:rsid w:val="007A6F2D"/>
    <w:rsid w:val="007A7408"/>
    <w:rsid w:val="007B21E9"/>
    <w:rsid w:val="007B3156"/>
    <w:rsid w:val="007B3283"/>
    <w:rsid w:val="007B5185"/>
    <w:rsid w:val="007B5E03"/>
    <w:rsid w:val="007B673F"/>
    <w:rsid w:val="007B6DF4"/>
    <w:rsid w:val="007B7E9C"/>
    <w:rsid w:val="007C03AE"/>
    <w:rsid w:val="007C0EDD"/>
    <w:rsid w:val="007C15E8"/>
    <w:rsid w:val="007C3194"/>
    <w:rsid w:val="007C3939"/>
    <w:rsid w:val="007C3D1A"/>
    <w:rsid w:val="007C3E51"/>
    <w:rsid w:val="007C3FC2"/>
    <w:rsid w:val="007C4C4D"/>
    <w:rsid w:val="007C54BD"/>
    <w:rsid w:val="007C78A8"/>
    <w:rsid w:val="007D04B5"/>
    <w:rsid w:val="007D0837"/>
    <w:rsid w:val="007D2A48"/>
    <w:rsid w:val="007D4019"/>
    <w:rsid w:val="007D4E54"/>
    <w:rsid w:val="007D5ACB"/>
    <w:rsid w:val="007E0600"/>
    <w:rsid w:val="007E0C00"/>
    <w:rsid w:val="007E247C"/>
    <w:rsid w:val="007E294B"/>
    <w:rsid w:val="007E2EDA"/>
    <w:rsid w:val="007E4313"/>
    <w:rsid w:val="007E456C"/>
    <w:rsid w:val="007E4AA4"/>
    <w:rsid w:val="007E51A7"/>
    <w:rsid w:val="007E5A3B"/>
    <w:rsid w:val="007F0509"/>
    <w:rsid w:val="007F3D49"/>
    <w:rsid w:val="007F5575"/>
    <w:rsid w:val="007F5EA3"/>
    <w:rsid w:val="007F6021"/>
    <w:rsid w:val="007F67D2"/>
    <w:rsid w:val="007F6F65"/>
    <w:rsid w:val="007F71AB"/>
    <w:rsid w:val="008004A1"/>
    <w:rsid w:val="008006FB"/>
    <w:rsid w:val="00801CC7"/>
    <w:rsid w:val="00802CF0"/>
    <w:rsid w:val="00802CFF"/>
    <w:rsid w:val="00805D93"/>
    <w:rsid w:val="008064A1"/>
    <w:rsid w:val="00810065"/>
    <w:rsid w:val="00810C9A"/>
    <w:rsid w:val="00811620"/>
    <w:rsid w:val="00812A80"/>
    <w:rsid w:val="0081300C"/>
    <w:rsid w:val="00814CC4"/>
    <w:rsid w:val="0081526C"/>
    <w:rsid w:val="00815D60"/>
    <w:rsid w:val="00815FFD"/>
    <w:rsid w:val="00821083"/>
    <w:rsid w:val="0082192B"/>
    <w:rsid w:val="00821FCB"/>
    <w:rsid w:val="008224EB"/>
    <w:rsid w:val="008231A6"/>
    <w:rsid w:val="00824177"/>
    <w:rsid w:val="00825952"/>
    <w:rsid w:val="00827688"/>
    <w:rsid w:val="0083025A"/>
    <w:rsid w:val="00830309"/>
    <w:rsid w:val="00832A56"/>
    <w:rsid w:val="00832BD8"/>
    <w:rsid w:val="00833FA8"/>
    <w:rsid w:val="008412EA"/>
    <w:rsid w:val="008417B4"/>
    <w:rsid w:val="008435DF"/>
    <w:rsid w:val="00843E73"/>
    <w:rsid w:val="00843F6A"/>
    <w:rsid w:val="00851EB4"/>
    <w:rsid w:val="00852B91"/>
    <w:rsid w:val="0085378C"/>
    <w:rsid w:val="008548C2"/>
    <w:rsid w:val="008551A9"/>
    <w:rsid w:val="0085640D"/>
    <w:rsid w:val="00857F64"/>
    <w:rsid w:val="00860B4F"/>
    <w:rsid w:val="00861987"/>
    <w:rsid w:val="00861C2B"/>
    <w:rsid w:val="00861C2D"/>
    <w:rsid w:val="0086215D"/>
    <w:rsid w:val="00863905"/>
    <w:rsid w:val="00863940"/>
    <w:rsid w:val="00863FC3"/>
    <w:rsid w:val="00864AC2"/>
    <w:rsid w:val="00865494"/>
    <w:rsid w:val="00867FC7"/>
    <w:rsid w:val="00871A2D"/>
    <w:rsid w:val="00872A3C"/>
    <w:rsid w:val="00872E2E"/>
    <w:rsid w:val="008741E0"/>
    <w:rsid w:val="008746A0"/>
    <w:rsid w:val="0087592E"/>
    <w:rsid w:val="00877A46"/>
    <w:rsid w:val="00880D51"/>
    <w:rsid w:val="00881FEE"/>
    <w:rsid w:val="00886B2F"/>
    <w:rsid w:val="00892861"/>
    <w:rsid w:val="0089363B"/>
    <w:rsid w:val="008936AD"/>
    <w:rsid w:val="008969BF"/>
    <w:rsid w:val="008A11F3"/>
    <w:rsid w:val="008A24AB"/>
    <w:rsid w:val="008A3653"/>
    <w:rsid w:val="008A4BAF"/>
    <w:rsid w:val="008A4E3F"/>
    <w:rsid w:val="008A5884"/>
    <w:rsid w:val="008A5E74"/>
    <w:rsid w:val="008A7316"/>
    <w:rsid w:val="008A7906"/>
    <w:rsid w:val="008B0CA9"/>
    <w:rsid w:val="008B44D0"/>
    <w:rsid w:val="008B5DD9"/>
    <w:rsid w:val="008B6311"/>
    <w:rsid w:val="008B76AF"/>
    <w:rsid w:val="008B7BBF"/>
    <w:rsid w:val="008B7E85"/>
    <w:rsid w:val="008C07F3"/>
    <w:rsid w:val="008C2F66"/>
    <w:rsid w:val="008C378F"/>
    <w:rsid w:val="008C3804"/>
    <w:rsid w:val="008C4CEB"/>
    <w:rsid w:val="008C4EF5"/>
    <w:rsid w:val="008C794E"/>
    <w:rsid w:val="008D413A"/>
    <w:rsid w:val="008D5D58"/>
    <w:rsid w:val="008D6240"/>
    <w:rsid w:val="008E2BDE"/>
    <w:rsid w:val="008E2C37"/>
    <w:rsid w:val="008E2F56"/>
    <w:rsid w:val="008E3158"/>
    <w:rsid w:val="008E344B"/>
    <w:rsid w:val="008E37AB"/>
    <w:rsid w:val="008E4FEC"/>
    <w:rsid w:val="008E5711"/>
    <w:rsid w:val="008E617F"/>
    <w:rsid w:val="008E7BC5"/>
    <w:rsid w:val="008F02BF"/>
    <w:rsid w:val="008F0332"/>
    <w:rsid w:val="008F2C89"/>
    <w:rsid w:val="008F4878"/>
    <w:rsid w:val="008F4FBD"/>
    <w:rsid w:val="008F5860"/>
    <w:rsid w:val="008F6D13"/>
    <w:rsid w:val="009008C1"/>
    <w:rsid w:val="00900931"/>
    <w:rsid w:val="00902933"/>
    <w:rsid w:val="00902EEA"/>
    <w:rsid w:val="009030D4"/>
    <w:rsid w:val="00904876"/>
    <w:rsid w:val="00911593"/>
    <w:rsid w:val="009115F5"/>
    <w:rsid w:val="009126C1"/>
    <w:rsid w:val="00916520"/>
    <w:rsid w:val="00916AF0"/>
    <w:rsid w:val="00916DE2"/>
    <w:rsid w:val="0091758B"/>
    <w:rsid w:val="00920434"/>
    <w:rsid w:val="00921153"/>
    <w:rsid w:val="00925082"/>
    <w:rsid w:val="009264B8"/>
    <w:rsid w:val="009269B8"/>
    <w:rsid w:val="0093147F"/>
    <w:rsid w:val="00931FF6"/>
    <w:rsid w:val="00932AB5"/>
    <w:rsid w:val="009331B3"/>
    <w:rsid w:val="0093334D"/>
    <w:rsid w:val="0093345D"/>
    <w:rsid w:val="00934E93"/>
    <w:rsid w:val="00936012"/>
    <w:rsid w:val="00940288"/>
    <w:rsid w:val="00940F0D"/>
    <w:rsid w:val="00941454"/>
    <w:rsid w:val="009420CE"/>
    <w:rsid w:val="00942D11"/>
    <w:rsid w:val="009432A0"/>
    <w:rsid w:val="00944079"/>
    <w:rsid w:val="009468FD"/>
    <w:rsid w:val="00947B3A"/>
    <w:rsid w:val="0095068C"/>
    <w:rsid w:val="0095078A"/>
    <w:rsid w:val="00952159"/>
    <w:rsid w:val="00952CB6"/>
    <w:rsid w:val="009533E0"/>
    <w:rsid w:val="009539C3"/>
    <w:rsid w:val="00953DBB"/>
    <w:rsid w:val="00954AF6"/>
    <w:rsid w:val="00957BA5"/>
    <w:rsid w:val="00961248"/>
    <w:rsid w:val="00961B3B"/>
    <w:rsid w:val="00962330"/>
    <w:rsid w:val="0096366E"/>
    <w:rsid w:val="00964EC8"/>
    <w:rsid w:val="009668D3"/>
    <w:rsid w:val="00970261"/>
    <w:rsid w:val="009702B4"/>
    <w:rsid w:val="00970674"/>
    <w:rsid w:val="0097147C"/>
    <w:rsid w:val="00972B85"/>
    <w:rsid w:val="00972B96"/>
    <w:rsid w:val="009732AD"/>
    <w:rsid w:val="00973A53"/>
    <w:rsid w:val="009744D8"/>
    <w:rsid w:val="009747CB"/>
    <w:rsid w:val="00974884"/>
    <w:rsid w:val="0097615E"/>
    <w:rsid w:val="0097645E"/>
    <w:rsid w:val="0098015D"/>
    <w:rsid w:val="00980E9D"/>
    <w:rsid w:val="00982A26"/>
    <w:rsid w:val="00982D40"/>
    <w:rsid w:val="0098316E"/>
    <w:rsid w:val="009836FF"/>
    <w:rsid w:val="009840C7"/>
    <w:rsid w:val="00984211"/>
    <w:rsid w:val="00984772"/>
    <w:rsid w:val="00984894"/>
    <w:rsid w:val="009851E6"/>
    <w:rsid w:val="00985CA3"/>
    <w:rsid w:val="00985E21"/>
    <w:rsid w:val="009903B3"/>
    <w:rsid w:val="009922BA"/>
    <w:rsid w:val="00993E9E"/>
    <w:rsid w:val="00994A1B"/>
    <w:rsid w:val="00994FA9"/>
    <w:rsid w:val="0099587E"/>
    <w:rsid w:val="00996478"/>
    <w:rsid w:val="009A020D"/>
    <w:rsid w:val="009A0467"/>
    <w:rsid w:val="009A06E1"/>
    <w:rsid w:val="009A3152"/>
    <w:rsid w:val="009A3F41"/>
    <w:rsid w:val="009A47BF"/>
    <w:rsid w:val="009A539D"/>
    <w:rsid w:val="009A636D"/>
    <w:rsid w:val="009A71F7"/>
    <w:rsid w:val="009A7A4F"/>
    <w:rsid w:val="009B1289"/>
    <w:rsid w:val="009B4150"/>
    <w:rsid w:val="009B57F6"/>
    <w:rsid w:val="009B67A0"/>
    <w:rsid w:val="009B6DAE"/>
    <w:rsid w:val="009B6E4F"/>
    <w:rsid w:val="009C06E1"/>
    <w:rsid w:val="009C1E43"/>
    <w:rsid w:val="009C405B"/>
    <w:rsid w:val="009C45EB"/>
    <w:rsid w:val="009D0F7D"/>
    <w:rsid w:val="009D1AA8"/>
    <w:rsid w:val="009D2753"/>
    <w:rsid w:val="009D2824"/>
    <w:rsid w:val="009D3E57"/>
    <w:rsid w:val="009D49E6"/>
    <w:rsid w:val="009D4A9C"/>
    <w:rsid w:val="009D5D16"/>
    <w:rsid w:val="009D7D86"/>
    <w:rsid w:val="009E4BAB"/>
    <w:rsid w:val="009E605F"/>
    <w:rsid w:val="009F25A9"/>
    <w:rsid w:val="009F7716"/>
    <w:rsid w:val="00A0176D"/>
    <w:rsid w:val="00A02FD9"/>
    <w:rsid w:val="00A04486"/>
    <w:rsid w:val="00A066CE"/>
    <w:rsid w:val="00A068B3"/>
    <w:rsid w:val="00A06B88"/>
    <w:rsid w:val="00A07425"/>
    <w:rsid w:val="00A114CD"/>
    <w:rsid w:val="00A143E0"/>
    <w:rsid w:val="00A15E92"/>
    <w:rsid w:val="00A162D3"/>
    <w:rsid w:val="00A165E0"/>
    <w:rsid w:val="00A1788A"/>
    <w:rsid w:val="00A205EC"/>
    <w:rsid w:val="00A215EE"/>
    <w:rsid w:val="00A23814"/>
    <w:rsid w:val="00A252F8"/>
    <w:rsid w:val="00A26F2D"/>
    <w:rsid w:val="00A2727A"/>
    <w:rsid w:val="00A2788C"/>
    <w:rsid w:val="00A27D1B"/>
    <w:rsid w:val="00A32EEF"/>
    <w:rsid w:val="00A33FDB"/>
    <w:rsid w:val="00A356D1"/>
    <w:rsid w:val="00A401DD"/>
    <w:rsid w:val="00A405C7"/>
    <w:rsid w:val="00A4574C"/>
    <w:rsid w:val="00A464CE"/>
    <w:rsid w:val="00A46630"/>
    <w:rsid w:val="00A50964"/>
    <w:rsid w:val="00A51AA5"/>
    <w:rsid w:val="00A551D1"/>
    <w:rsid w:val="00A557C0"/>
    <w:rsid w:val="00A57F2B"/>
    <w:rsid w:val="00A603E4"/>
    <w:rsid w:val="00A60642"/>
    <w:rsid w:val="00A61894"/>
    <w:rsid w:val="00A6571B"/>
    <w:rsid w:val="00A71354"/>
    <w:rsid w:val="00A72180"/>
    <w:rsid w:val="00A7249E"/>
    <w:rsid w:val="00A74506"/>
    <w:rsid w:val="00A74BB4"/>
    <w:rsid w:val="00A772DD"/>
    <w:rsid w:val="00A7739B"/>
    <w:rsid w:val="00A77D73"/>
    <w:rsid w:val="00A80E68"/>
    <w:rsid w:val="00A828B2"/>
    <w:rsid w:val="00A83616"/>
    <w:rsid w:val="00A836F0"/>
    <w:rsid w:val="00A8475A"/>
    <w:rsid w:val="00A84889"/>
    <w:rsid w:val="00A85CD0"/>
    <w:rsid w:val="00A906C7"/>
    <w:rsid w:val="00A90C17"/>
    <w:rsid w:val="00A90EE2"/>
    <w:rsid w:val="00A91733"/>
    <w:rsid w:val="00A9178F"/>
    <w:rsid w:val="00A91C59"/>
    <w:rsid w:val="00A93C94"/>
    <w:rsid w:val="00A9593B"/>
    <w:rsid w:val="00A95A2D"/>
    <w:rsid w:val="00A962CD"/>
    <w:rsid w:val="00A963B1"/>
    <w:rsid w:val="00A966B4"/>
    <w:rsid w:val="00A96728"/>
    <w:rsid w:val="00A96E33"/>
    <w:rsid w:val="00AA0805"/>
    <w:rsid w:val="00AA0C65"/>
    <w:rsid w:val="00AA2906"/>
    <w:rsid w:val="00AA3A73"/>
    <w:rsid w:val="00AA4E87"/>
    <w:rsid w:val="00AA7052"/>
    <w:rsid w:val="00AA71C6"/>
    <w:rsid w:val="00AA7FC7"/>
    <w:rsid w:val="00AB07BB"/>
    <w:rsid w:val="00AB0CAA"/>
    <w:rsid w:val="00AB23C9"/>
    <w:rsid w:val="00AB24A2"/>
    <w:rsid w:val="00AB2832"/>
    <w:rsid w:val="00AB2FDA"/>
    <w:rsid w:val="00AB47C1"/>
    <w:rsid w:val="00AB67B0"/>
    <w:rsid w:val="00AB7313"/>
    <w:rsid w:val="00AB79D5"/>
    <w:rsid w:val="00AB7E65"/>
    <w:rsid w:val="00AC00D5"/>
    <w:rsid w:val="00AC0ACF"/>
    <w:rsid w:val="00AC1C3A"/>
    <w:rsid w:val="00AC3CCC"/>
    <w:rsid w:val="00AC5907"/>
    <w:rsid w:val="00AC6038"/>
    <w:rsid w:val="00AC6814"/>
    <w:rsid w:val="00AD044A"/>
    <w:rsid w:val="00AD5386"/>
    <w:rsid w:val="00AD5CEB"/>
    <w:rsid w:val="00AE1009"/>
    <w:rsid w:val="00AE2F56"/>
    <w:rsid w:val="00AE5071"/>
    <w:rsid w:val="00AE6409"/>
    <w:rsid w:val="00AE7204"/>
    <w:rsid w:val="00AE7C65"/>
    <w:rsid w:val="00AE7C85"/>
    <w:rsid w:val="00AF08AF"/>
    <w:rsid w:val="00AF1027"/>
    <w:rsid w:val="00AF1AF7"/>
    <w:rsid w:val="00AF1B39"/>
    <w:rsid w:val="00AF1D80"/>
    <w:rsid w:val="00AF4052"/>
    <w:rsid w:val="00AF6D0C"/>
    <w:rsid w:val="00AF70EF"/>
    <w:rsid w:val="00AF73EC"/>
    <w:rsid w:val="00AF7A78"/>
    <w:rsid w:val="00B005D7"/>
    <w:rsid w:val="00B018DB"/>
    <w:rsid w:val="00B03F4F"/>
    <w:rsid w:val="00B04A4F"/>
    <w:rsid w:val="00B055D7"/>
    <w:rsid w:val="00B05BBD"/>
    <w:rsid w:val="00B06A8C"/>
    <w:rsid w:val="00B075BC"/>
    <w:rsid w:val="00B07D02"/>
    <w:rsid w:val="00B10C6F"/>
    <w:rsid w:val="00B11670"/>
    <w:rsid w:val="00B124AA"/>
    <w:rsid w:val="00B1292A"/>
    <w:rsid w:val="00B14B2E"/>
    <w:rsid w:val="00B15F30"/>
    <w:rsid w:val="00B1661F"/>
    <w:rsid w:val="00B16B51"/>
    <w:rsid w:val="00B17E79"/>
    <w:rsid w:val="00B206C9"/>
    <w:rsid w:val="00B20D8E"/>
    <w:rsid w:val="00B22576"/>
    <w:rsid w:val="00B23B9C"/>
    <w:rsid w:val="00B241A7"/>
    <w:rsid w:val="00B26329"/>
    <w:rsid w:val="00B278D5"/>
    <w:rsid w:val="00B30A95"/>
    <w:rsid w:val="00B31054"/>
    <w:rsid w:val="00B313F7"/>
    <w:rsid w:val="00B336B5"/>
    <w:rsid w:val="00B33760"/>
    <w:rsid w:val="00B33C1C"/>
    <w:rsid w:val="00B3412B"/>
    <w:rsid w:val="00B34A61"/>
    <w:rsid w:val="00B34F8E"/>
    <w:rsid w:val="00B35415"/>
    <w:rsid w:val="00B363A9"/>
    <w:rsid w:val="00B36E2A"/>
    <w:rsid w:val="00B36E6E"/>
    <w:rsid w:val="00B40FDA"/>
    <w:rsid w:val="00B410CF"/>
    <w:rsid w:val="00B423EE"/>
    <w:rsid w:val="00B42C9E"/>
    <w:rsid w:val="00B433F8"/>
    <w:rsid w:val="00B500E7"/>
    <w:rsid w:val="00B50112"/>
    <w:rsid w:val="00B51FE7"/>
    <w:rsid w:val="00B529E5"/>
    <w:rsid w:val="00B53863"/>
    <w:rsid w:val="00B53EEC"/>
    <w:rsid w:val="00B54047"/>
    <w:rsid w:val="00B5407E"/>
    <w:rsid w:val="00B544D8"/>
    <w:rsid w:val="00B55BCC"/>
    <w:rsid w:val="00B579D3"/>
    <w:rsid w:val="00B61721"/>
    <w:rsid w:val="00B61E10"/>
    <w:rsid w:val="00B62506"/>
    <w:rsid w:val="00B62A4A"/>
    <w:rsid w:val="00B63014"/>
    <w:rsid w:val="00B63C2E"/>
    <w:rsid w:val="00B64798"/>
    <w:rsid w:val="00B64A39"/>
    <w:rsid w:val="00B669BC"/>
    <w:rsid w:val="00B70652"/>
    <w:rsid w:val="00B72656"/>
    <w:rsid w:val="00B72DA5"/>
    <w:rsid w:val="00B72E69"/>
    <w:rsid w:val="00B74373"/>
    <w:rsid w:val="00B75169"/>
    <w:rsid w:val="00B753AF"/>
    <w:rsid w:val="00B77018"/>
    <w:rsid w:val="00B80656"/>
    <w:rsid w:val="00B81701"/>
    <w:rsid w:val="00B828BB"/>
    <w:rsid w:val="00B83286"/>
    <w:rsid w:val="00B84FAA"/>
    <w:rsid w:val="00B85EEC"/>
    <w:rsid w:val="00B87508"/>
    <w:rsid w:val="00B92352"/>
    <w:rsid w:val="00B93783"/>
    <w:rsid w:val="00B95CB4"/>
    <w:rsid w:val="00B95E3A"/>
    <w:rsid w:val="00B960BB"/>
    <w:rsid w:val="00B96498"/>
    <w:rsid w:val="00BA0F2E"/>
    <w:rsid w:val="00BA24BB"/>
    <w:rsid w:val="00BA2BE5"/>
    <w:rsid w:val="00BA3239"/>
    <w:rsid w:val="00BA395E"/>
    <w:rsid w:val="00BA51B2"/>
    <w:rsid w:val="00BA6128"/>
    <w:rsid w:val="00BB156D"/>
    <w:rsid w:val="00BB1B3D"/>
    <w:rsid w:val="00BB245B"/>
    <w:rsid w:val="00BB3042"/>
    <w:rsid w:val="00BB3764"/>
    <w:rsid w:val="00BB414F"/>
    <w:rsid w:val="00BB62B3"/>
    <w:rsid w:val="00BB6776"/>
    <w:rsid w:val="00BC1A74"/>
    <w:rsid w:val="00BC4BB6"/>
    <w:rsid w:val="00BD340A"/>
    <w:rsid w:val="00BD416E"/>
    <w:rsid w:val="00BD5E4F"/>
    <w:rsid w:val="00BD781C"/>
    <w:rsid w:val="00BD7838"/>
    <w:rsid w:val="00BE17F5"/>
    <w:rsid w:val="00BE223E"/>
    <w:rsid w:val="00BE3031"/>
    <w:rsid w:val="00BE38B7"/>
    <w:rsid w:val="00BE7B97"/>
    <w:rsid w:val="00BF0D7B"/>
    <w:rsid w:val="00BF19BC"/>
    <w:rsid w:val="00BF32CD"/>
    <w:rsid w:val="00BF362D"/>
    <w:rsid w:val="00BF3972"/>
    <w:rsid w:val="00BF4D8C"/>
    <w:rsid w:val="00BF598A"/>
    <w:rsid w:val="00BF5C54"/>
    <w:rsid w:val="00BF6240"/>
    <w:rsid w:val="00BF64B6"/>
    <w:rsid w:val="00BF6DCC"/>
    <w:rsid w:val="00BF772A"/>
    <w:rsid w:val="00C01873"/>
    <w:rsid w:val="00C02F3C"/>
    <w:rsid w:val="00C032A6"/>
    <w:rsid w:val="00C058A4"/>
    <w:rsid w:val="00C0618E"/>
    <w:rsid w:val="00C06405"/>
    <w:rsid w:val="00C06773"/>
    <w:rsid w:val="00C07D29"/>
    <w:rsid w:val="00C1007C"/>
    <w:rsid w:val="00C11920"/>
    <w:rsid w:val="00C11A08"/>
    <w:rsid w:val="00C11A49"/>
    <w:rsid w:val="00C14416"/>
    <w:rsid w:val="00C14C69"/>
    <w:rsid w:val="00C158A4"/>
    <w:rsid w:val="00C2216D"/>
    <w:rsid w:val="00C231DB"/>
    <w:rsid w:val="00C23E61"/>
    <w:rsid w:val="00C25232"/>
    <w:rsid w:val="00C25FB5"/>
    <w:rsid w:val="00C32977"/>
    <w:rsid w:val="00C33C68"/>
    <w:rsid w:val="00C35F5D"/>
    <w:rsid w:val="00C3719B"/>
    <w:rsid w:val="00C3779D"/>
    <w:rsid w:val="00C40CA2"/>
    <w:rsid w:val="00C412DE"/>
    <w:rsid w:val="00C433AE"/>
    <w:rsid w:val="00C44669"/>
    <w:rsid w:val="00C460F9"/>
    <w:rsid w:val="00C47665"/>
    <w:rsid w:val="00C5058F"/>
    <w:rsid w:val="00C50DE9"/>
    <w:rsid w:val="00C530D3"/>
    <w:rsid w:val="00C53AF8"/>
    <w:rsid w:val="00C56692"/>
    <w:rsid w:val="00C576BE"/>
    <w:rsid w:val="00C57A1D"/>
    <w:rsid w:val="00C603C9"/>
    <w:rsid w:val="00C6225A"/>
    <w:rsid w:val="00C666E6"/>
    <w:rsid w:val="00C66BD6"/>
    <w:rsid w:val="00C66E16"/>
    <w:rsid w:val="00C705BC"/>
    <w:rsid w:val="00C71456"/>
    <w:rsid w:val="00C72973"/>
    <w:rsid w:val="00C75ED1"/>
    <w:rsid w:val="00C7723A"/>
    <w:rsid w:val="00C809A8"/>
    <w:rsid w:val="00C80AA7"/>
    <w:rsid w:val="00C80F7B"/>
    <w:rsid w:val="00C825D4"/>
    <w:rsid w:val="00C84642"/>
    <w:rsid w:val="00C87AB8"/>
    <w:rsid w:val="00C90110"/>
    <w:rsid w:val="00C9380F"/>
    <w:rsid w:val="00C941CA"/>
    <w:rsid w:val="00C959E7"/>
    <w:rsid w:val="00C95BDE"/>
    <w:rsid w:val="00C96C98"/>
    <w:rsid w:val="00CA0E37"/>
    <w:rsid w:val="00CA1547"/>
    <w:rsid w:val="00CA35D0"/>
    <w:rsid w:val="00CA392A"/>
    <w:rsid w:val="00CA3F13"/>
    <w:rsid w:val="00CA4022"/>
    <w:rsid w:val="00CA66B3"/>
    <w:rsid w:val="00CA6F14"/>
    <w:rsid w:val="00CA715A"/>
    <w:rsid w:val="00CA7A85"/>
    <w:rsid w:val="00CB211E"/>
    <w:rsid w:val="00CB3425"/>
    <w:rsid w:val="00CB36E4"/>
    <w:rsid w:val="00CB4BDE"/>
    <w:rsid w:val="00CB5E76"/>
    <w:rsid w:val="00CB7C1A"/>
    <w:rsid w:val="00CC03CA"/>
    <w:rsid w:val="00CC1ED9"/>
    <w:rsid w:val="00CC356D"/>
    <w:rsid w:val="00CC36C2"/>
    <w:rsid w:val="00CC41BA"/>
    <w:rsid w:val="00CC5B6D"/>
    <w:rsid w:val="00CD0366"/>
    <w:rsid w:val="00CD11DB"/>
    <w:rsid w:val="00CD132D"/>
    <w:rsid w:val="00CD1C32"/>
    <w:rsid w:val="00CD1D02"/>
    <w:rsid w:val="00CD282A"/>
    <w:rsid w:val="00CD3252"/>
    <w:rsid w:val="00CD6DC2"/>
    <w:rsid w:val="00CE1C88"/>
    <w:rsid w:val="00CE31DA"/>
    <w:rsid w:val="00CE3445"/>
    <w:rsid w:val="00CE45D7"/>
    <w:rsid w:val="00CE6285"/>
    <w:rsid w:val="00CE689C"/>
    <w:rsid w:val="00CE6C67"/>
    <w:rsid w:val="00CE76C7"/>
    <w:rsid w:val="00CE79CB"/>
    <w:rsid w:val="00CF02EC"/>
    <w:rsid w:val="00CF34A4"/>
    <w:rsid w:val="00CF38DF"/>
    <w:rsid w:val="00CF469D"/>
    <w:rsid w:val="00CF4DCE"/>
    <w:rsid w:val="00D0424E"/>
    <w:rsid w:val="00D0594C"/>
    <w:rsid w:val="00D070CA"/>
    <w:rsid w:val="00D073C1"/>
    <w:rsid w:val="00D07DA3"/>
    <w:rsid w:val="00D126D7"/>
    <w:rsid w:val="00D14B67"/>
    <w:rsid w:val="00D179E6"/>
    <w:rsid w:val="00D2003C"/>
    <w:rsid w:val="00D20F21"/>
    <w:rsid w:val="00D21485"/>
    <w:rsid w:val="00D2240B"/>
    <w:rsid w:val="00D30CE2"/>
    <w:rsid w:val="00D324D5"/>
    <w:rsid w:val="00D32D62"/>
    <w:rsid w:val="00D33949"/>
    <w:rsid w:val="00D34466"/>
    <w:rsid w:val="00D3480D"/>
    <w:rsid w:val="00D37942"/>
    <w:rsid w:val="00D404AA"/>
    <w:rsid w:val="00D420FB"/>
    <w:rsid w:val="00D45B4C"/>
    <w:rsid w:val="00D47F09"/>
    <w:rsid w:val="00D50229"/>
    <w:rsid w:val="00D50E2F"/>
    <w:rsid w:val="00D51827"/>
    <w:rsid w:val="00D518D6"/>
    <w:rsid w:val="00D518E5"/>
    <w:rsid w:val="00D536B6"/>
    <w:rsid w:val="00D54644"/>
    <w:rsid w:val="00D54983"/>
    <w:rsid w:val="00D54FEB"/>
    <w:rsid w:val="00D551C7"/>
    <w:rsid w:val="00D56576"/>
    <w:rsid w:val="00D568E2"/>
    <w:rsid w:val="00D57616"/>
    <w:rsid w:val="00D61660"/>
    <w:rsid w:val="00D61FC2"/>
    <w:rsid w:val="00D70E80"/>
    <w:rsid w:val="00D71ABB"/>
    <w:rsid w:val="00D734C1"/>
    <w:rsid w:val="00D7485B"/>
    <w:rsid w:val="00D753B7"/>
    <w:rsid w:val="00D75B4B"/>
    <w:rsid w:val="00D76202"/>
    <w:rsid w:val="00D80928"/>
    <w:rsid w:val="00D81587"/>
    <w:rsid w:val="00D81DCA"/>
    <w:rsid w:val="00D81DD4"/>
    <w:rsid w:val="00D82EE8"/>
    <w:rsid w:val="00D85673"/>
    <w:rsid w:val="00D85B36"/>
    <w:rsid w:val="00D90D10"/>
    <w:rsid w:val="00D91330"/>
    <w:rsid w:val="00D91849"/>
    <w:rsid w:val="00D92174"/>
    <w:rsid w:val="00D950F1"/>
    <w:rsid w:val="00D95C2E"/>
    <w:rsid w:val="00D962E2"/>
    <w:rsid w:val="00D9729A"/>
    <w:rsid w:val="00DA09CD"/>
    <w:rsid w:val="00DA229C"/>
    <w:rsid w:val="00DA2631"/>
    <w:rsid w:val="00DA279A"/>
    <w:rsid w:val="00DA4850"/>
    <w:rsid w:val="00DA54CE"/>
    <w:rsid w:val="00DA5F37"/>
    <w:rsid w:val="00DA6628"/>
    <w:rsid w:val="00DB0D6F"/>
    <w:rsid w:val="00DB0EA5"/>
    <w:rsid w:val="00DB32B1"/>
    <w:rsid w:val="00DB3F77"/>
    <w:rsid w:val="00DB5AE9"/>
    <w:rsid w:val="00DB5F1A"/>
    <w:rsid w:val="00DB615C"/>
    <w:rsid w:val="00DB62AB"/>
    <w:rsid w:val="00DC2F4F"/>
    <w:rsid w:val="00DC393B"/>
    <w:rsid w:val="00DC3B3A"/>
    <w:rsid w:val="00DC4942"/>
    <w:rsid w:val="00DC511D"/>
    <w:rsid w:val="00DC6036"/>
    <w:rsid w:val="00DC652F"/>
    <w:rsid w:val="00DD1034"/>
    <w:rsid w:val="00DD3350"/>
    <w:rsid w:val="00DD4521"/>
    <w:rsid w:val="00DD511B"/>
    <w:rsid w:val="00DD69E5"/>
    <w:rsid w:val="00DD78C2"/>
    <w:rsid w:val="00DE4FB9"/>
    <w:rsid w:val="00DF0F96"/>
    <w:rsid w:val="00DF3D02"/>
    <w:rsid w:val="00DF7290"/>
    <w:rsid w:val="00E00137"/>
    <w:rsid w:val="00E00FEE"/>
    <w:rsid w:val="00E03C24"/>
    <w:rsid w:val="00E03F7D"/>
    <w:rsid w:val="00E0462D"/>
    <w:rsid w:val="00E06AFD"/>
    <w:rsid w:val="00E157BA"/>
    <w:rsid w:val="00E16238"/>
    <w:rsid w:val="00E21027"/>
    <w:rsid w:val="00E21B63"/>
    <w:rsid w:val="00E23BF2"/>
    <w:rsid w:val="00E24281"/>
    <w:rsid w:val="00E2428A"/>
    <w:rsid w:val="00E257D3"/>
    <w:rsid w:val="00E2607C"/>
    <w:rsid w:val="00E260FB"/>
    <w:rsid w:val="00E26B0A"/>
    <w:rsid w:val="00E2719D"/>
    <w:rsid w:val="00E27822"/>
    <w:rsid w:val="00E30C8E"/>
    <w:rsid w:val="00E31CA4"/>
    <w:rsid w:val="00E326C9"/>
    <w:rsid w:val="00E33EBF"/>
    <w:rsid w:val="00E34492"/>
    <w:rsid w:val="00E36611"/>
    <w:rsid w:val="00E3679A"/>
    <w:rsid w:val="00E36C25"/>
    <w:rsid w:val="00E40275"/>
    <w:rsid w:val="00E41945"/>
    <w:rsid w:val="00E42246"/>
    <w:rsid w:val="00E4264F"/>
    <w:rsid w:val="00E433DC"/>
    <w:rsid w:val="00E451E3"/>
    <w:rsid w:val="00E45E3D"/>
    <w:rsid w:val="00E4653E"/>
    <w:rsid w:val="00E465AB"/>
    <w:rsid w:val="00E46BF5"/>
    <w:rsid w:val="00E5086D"/>
    <w:rsid w:val="00E51310"/>
    <w:rsid w:val="00E540B1"/>
    <w:rsid w:val="00E54247"/>
    <w:rsid w:val="00E5534E"/>
    <w:rsid w:val="00E55E04"/>
    <w:rsid w:val="00E563BF"/>
    <w:rsid w:val="00E568BF"/>
    <w:rsid w:val="00E57EEF"/>
    <w:rsid w:val="00E602A2"/>
    <w:rsid w:val="00E61C57"/>
    <w:rsid w:val="00E629D8"/>
    <w:rsid w:val="00E62B73"/>
    <w:rsid w:val="00E62FDA"/>
    <w:rsid w:val="00E64488"/>
    <w:rsid w:val="00E6695A"/>
    <w:rsid w:val="00E70900"/>
    <w:rsid w:val="00E70913"/>
    <w:rsid w:val="00E713F3"/>
    <w:rsid w:val="00E71CAB"/>
    <w:rsid w:val="00E7210D"/>
    <w:rsid w:val="00E7260B"/>
    <w:rsid w:val="00E73A8E"/>
    <w:rsid w:val="00E75E7D"/>
    <w:rsid w:val="00E76786"/>
    <w:rsid w:val="00E77D60"/>
    <w:rsid w:val="00E84817"/>
    <w:rsid w:val="00E848A6"/>
    <w:rsid w:val="00E87A30"/>
    <w:rsid w:val="00E900F9"/>
    <w:rsid w:val="00E90B15"/>
    <w:rsid w:val="00E91692"/>
    <w:rsid w:val="00E91AAB"/>
    <w:rsid w:val="00E93897"/>
    <w:rsid w:val="00E946F9"/>
    <w:rsid w:val="00E95B1E"/>
    <w:rsid w:val="00E96431"/>
    <w:rsid w:val="00E965D4"/>
    <w:rsid w:val="00E9695C"/>
    <w:rsid w:val="00E979CA"/>
    <w:rsid w:val="00E97AD9"/>
    <w:rsid w:val="00EA0B6E"/>
    <w:rsid w:val="00EA0EC8"/>
    <w:rsid w:val="00EA2F2E"/>
    <w:rsid w:val="00EA39DB"/>
    <w:rsid w:val="00EA3CEF"/>
    <w:rsid w:val="00EA44E6"/>
    <w:rsid w:val="00EA53DC"/>
    <w:rsid w:val="00EB0BDB"/>
    <w:rsid w:val="00EB0CF6"/>
    <w:rsid w:val="00EB1DE7"/>
    <w:rsid w:val="00EB4696"/>
    <w:rsid w:val="00EB4FC9"/>
    <w:rsid w:val="00EB5474"/>
    <w:rsid w:val="00EB58DA"/>
    <w:rsid w:val="00EB637F"/>
    <w:rsid w:val="00EB7637"/>
    <w:rsid w:val="00EC2242"/>
    <w:rsid w:val="00EC3E45"/>
    <w:rsid w:val="00EC519A"/>
    <w:rsid w:val="00EC574D"/>
    <w:rsid w:val="00EC621D"/>
    <w:rsid w:val="00EC68D1"/>
    <w:rsid w:val="00EC7DD3"/>
    <w:rsid w:val="00ED1A69"/>
    <w:rsid w:val="00ED1A97"/>
    <w:rsid w:val="00ED2A3E"/>
    <w:rsid w:val="00ED31D8"/>
    <w:rsid w:val="00ED3552"/>
    <w:rsid w:val="00ED3AF2"/>
    <w:rsid w:val="00ED46A0"/>
    <w:rsid w:val="00ED46A9"/>
    <w:rsid w:val="00ED4F7F"/>
    <w:rsid w:val="00EE0AEC"/>
    <w:rsid w:val="00EE15F9"/>
    <w:rsid w:val="00EE1CC1"/>
    <w:rsid w:val="00EF0785"/>
    <w:rsid w:val="00EF1B2E"/>
    <w:rsid w:val="00EF2E56"/>
    <w:rsid w:val="00EF3BB4"/>
    <w:rsid w:val="00EF45DB"/>
    <w:rsid w:val="00EF4DDF"/>
    <w:rsid w:val="00EF5BE3"/>
    <w:rsid w:val="00EF65A1"/>
    <w:rsid w:val="00EF68FB"/>
    <w:rsid w:val="00EF6C82"/>
    <w:rsid w:val="00EF71A1"/>
    <w:rsid w:val="00EF7AC7"/>
    <w:rsid w:val="00F00FE1"/>
    <w:rsid w:val="00F01814"/>
    <w:rsid w:val="00F01DCE"/>
    <w:rsid w:val="00F039FA"/>
    <w:rsid w:val="00F0447A"/>
    <w:rsid w:val="00F056B0"/>
    <w:rsid w:val="00F056D2"/>
    <w:rsid w:val="00F05742"/>
    <w:rsid w:val="00F05936"/>
    <w:rsid w:val="00F05965"/>
    <w:rsid w:val="00F064C0"/>
    <w:rsid w:val="00F075CF"/>
    <w:rsid w:val="00F10876"/>
    <w:rsid w:val="00F11218"/>
    <w:rsid w:val="00F12255"/>
    <w:rsid w:val="00F12A2D"/>
    <w:rsid w:val="00F131E5"/>
    <w:rsid w:val="00F13E75"/>
    <w:rsid w:val="00F13E86"/>
    <w:rsid w:val="00F16E2F"/>
    <w:rsid w:val="00F173D8"/>
    <w:rsid w:val="00F1744F"/>
    <w:rsid w:val="00F20565"/>
    <w:rsid w:val="00F21994"/>
    <w:rsid w:val="00F22FBA"/>
    <w:rsid w:val="00F23414"/>
    <w:rsid w:val="00F2444D"/>
    <w:rsid w:val="00F249B4"/>
    <w:rsid w:val="00F257A0"/>
    <w:rsid w:val="00F25B9A"/>
    <w:rsid w:val="00F25E2B"/>
    <w:rsid w:val="00F26807"/>
    <w:rsid w:val="00F26CAC"/>
    <w:rsid w:val="00F27E6A"/>
    <w:rsid w:val="00F31812"/>
    <w:rsid w:val="00F323EA"/>
    <w:rsid w:val="00F334ED"/>
    <w:rsid w:val="00F33AE9"/>
    <w:rsid w:val="00F33C85"/>
    <w:rsid w:val="00F33FFF"/>
    <w:rsid w:val="00F342FB"/>
    <w:rsid w:val="00F3464E"/>
    <w:rsid w:val="00F350CE"/>
    <w:rsid w:val="00F364E2"/>
    <w:rsid w:val="00F41B98"/>
    <w:rsid w:val="00F4452B"/>
    <w:rsid w:val="00F44A6D"/>
    <w:rsid w:val="00F44C49"/>
    <w:rsid w:val="00F46134"/>
    <w:rsid w:val="00F4767D"/>
    <w:rsid w:val="00F50448"/>
    <w:rsid w:val="00F50C9F"/>
    <w:rsid w:val="00F52E26"/>
    <w:rsid w:val="00F530B4"/>
    <w:rsid w:val="00F5389F"/>
    <w:rsid w:val="00F54234"/>
    <w:rsid w:val="00F56B18"/>
    <w:rsid w:val="00F57B46"/>
    <w:rsid w:val="00F606EE"/>
    <w:rsid w:val="00F60AA6"/>
    <w:rsid w:val="00F62E31"/>
    <w:rsid w:val="00F65B2C"/>
    <w:rsid w:val="00F67D35"/>
    <w:rsid w:val="00F7129A"/>
    <w:rsid w:val="00F71ED0"/>
    <w:rsid w:val="00F76CC5"/>
    <w:rsid w:val="00F8143D"/>
    <w:rsid w:val="00F814D0"/>
    <w:rsid w:val="00F81FFB"/>
    <w:rsid w:val="00F82CA7"/>
    <w:rsid w:val="00F85D50"/>
    <w:rsid w:val="00F865D5"/>
    <w:rsid w:val="00F90EED"/>
    <w:rsid w:val="00F91CF5"/>
    <w:rsid w:val="00F93910"/>
    <w:rsid w:val="00F93FFB"/>
    <w:rsid w:val="00F94115"/>
    <w:rsid w:val="00F94159"/>
    <w:rsid w:val="00F96537"/>
    <w:rsid w:val="00F9706C"/>
    <w:rsid w:val="00F9768D"/>
    <w:rsid w:val="00FA0B87"/>
    <w:rsid w:val="00FA11D0"/>
    <w:rsid w:val="00FA1AE1"/>
    <w:rsid w:val="00FA2402"/>
    <w:rsid w:val="00FA30E5"/>
    <w:rsid w:val="00FA3F3C"/>
    <w:rsid w:val="00FA5DDF"/>
    <w:rsid w:val="00FB12D4"/>
    <w:rsid w:val="00FB3897"/>
    <w:rsid w:val="00FB46DA"/>
    <w:rsid w:val="00FB58E3"/>
    <w:rsid w:val="00FB5B24"/>
    <w:rsid w:val="00FB6D7F"/>
    <w:rsid w:val="00FC07C1"/>
    <w:rsid w:val="00FC0DA8"/>
    <w:rsid w:val="00FC3ACE"/>
    <w:rsid w:val="00FC477D"/>
    <w:rsid w:val="00FC5821"/>
    <w:rsid w:val="00FC5B4D"/>
    <w:rsid w:val="00FC7951"/>
    <w:rsid w:val="00FD03C8"/>
    <w:rsid w:val="00FD2253"/>
    <w:rsid w:val="00FD2804"/>
    <w:rsid w:val="00FD4FF0"/>
    <w:rsid w:val="00FD663B"/>
    <w:rsid w:val="00FD6E7F"/>
    <w:rsid w:val="00FD758A"/>
    <w:rsid w:val="00FE0B5B"/>
    <w:rsid w:val="00FE100C"/>
    <w:rsid w:val="00FE12B7"/>
    <w:rsid w:val="00FE16AE"/>
    <w:rsid w:val="00FE1D37"/>
    <w:rsid w:val="00FE58A9"/>
    <w:rsid w:val="00FE5D8C"/>
    <w:rsid w:val="00FF0B8E"/>
    <w:rsid w:val="00FF0E49"/>
    <w:rsid w:val="0122699D"/>
    <w:rsid w:val="025D48E2"/>
    <w:rsid w:val="026B66F5"/>
    <w:rsid w:val="026F4D09"/>
    <w:rsid w:val="02FD025A"/>
    <w:rsid w:val="03057F29"/>
    <w:rsid w:val="03334A83"/>
    <w:rsid w:val="0410030A"/>
    <w:rsid w:val="049B5083"/>
    <w:rsid w:val="04B12F88"/>
    <w:rsid w:val="053206AA"/>
    <w:rsid w:val="065EBA1A"/>
    <w:rsid w:val="06F207B4"/>
    <w:rsid w:val="072B5270"/>
    <w:rsid w:val="07EC346C"/>
    <w:rsid w:val="08C565B3"/>
    <w:rsid w:val="08F64631"/>
    <w:rsid w:val="091B7C9A"/>
    <w:rsid w:val="09524804"/>
    <w:rsid w:val="095A2715"/>
    <w:rsid w:val="0A265555"/>
    <w:rsid w:val="0A3C0FA2"/>
    <w:rsid w:val="0A6156E6"/>
    <w:rsid w:val="0B241641"/>
    <w:rsid w:val="0BA010AC"/>
    <w:rsid w:val="0C7946CB"/>
    <w:rsid w:val="0D164302"/>
    <w:rsid w:val="0D6E27C1"/>
    <w:rsid w:val="0F2A219D"/>
    <w:rsid w:val="0F9B17A6"/>
    <w:rsid w:val="0FE54C07"/>
    <w:rsid w:val="10090647"/>
    <w:rsid w:val="10B82028"/>
    <w:rsid w:val="10C71A7F"/>
    <w:rsid w:val="111343BD"/>
    <w:rsid w:val="11542623"/>
    <w:rsid w:val="116C047F"/>
    <w:rsid w:val="11715B79"/>
    <w:rsid w:val="11BA18B5"/>
    <w:rsid w:val="11C306F6"/>
    <w:rsid w:val="120839D7"/>
    <w:rsid w:val="128C4537"/>
    <w:rsid w:val="12C604D3"/>
    <w:rsid w:val="130558A8"/>
    <w:rsid w:val="138F1CB0"/>
    <w:rsid w:val="14DC2625"/>
    <w:rsid w:val="151A6E20"/>
    <w:rsid w:val="16045423"/>
    <w:rsid w:val="167A3B1D"/>
    <w:rsid w:val="173973F0"/>
    <w:rsid w:val="174160E8"/>
    <w:rsid w:val="17BF2209"/>
    <w:rsid w:val="18160C17"/>
    <w:rsid w:val="183B2229"/>
    <w:rsid w:val="184E6D78"/>
    <w:rsid w:val="186344A4"/>
    <w:rsid w:val="19045B0B"/>
    <w:rsid w:val="19430632"/>
    <w:rsid w:val="1A036CC6"/>
    <w:rsid w:val="1A182DAA"/>
    <w:rsid w:val="1A3F5126"/>
    <w:rsid w:val="1A8E3568"/>
    <w:rsid w:val="1A9E68F6"/>
    <w:rsid w:val="1ADF4437"/>
    <w:rsid w:val="1AFC5AC2"/>
    <w:rsid w:val="1B010F04"/>
    <w:rsid w:val="1B261637"/>
    <w:rsid w:val="1B7A130C"/>
    <w:rsid w:val="1C0858DF"/>
    <w:rsid w:val="1C137045"/>
    <w:rsid w:val="1C5725CD"/>
    <w:rsid w:val="1C8E7C18"/>
    <w:rsid w:val="1C910DCD"/>
    <w:rsid w:val="1C91555D"/>
    <w:rsid w:val="1CCB1796"/>
    <w:rsid w:val="1CDC68F8"/>
    <w:rsid w:val="1D1207F7"/>
    <w:rsid w:val="1D952B6E"/>
    <w:rsid w:val="1DBB4D3D"/>
    <w:rsid w:val="1DE51186"/>
    <w:rsid w:val="1DEC3AAC"/>
    <w:rsid w:val="1E3B6AEE"/>
    <w:rsid w:val="1EA86EAA"/>
    <w:rsid w:val="1EDE6278"/>
    <w:rsid w:val="1EFE4032"/>
    <w:rsid w:val="1F356D04"/>
    <w:rsid w:val="1FDD5308"/>
    <w:rsid w:val="1FDF2AB6"/>
    <w:rsid w:val="206550E2"/>
    <w:rsid w:val="20CF43C9"/>
    <w:rsid w:val="21227A50"/>
    <w:rsid w:val="21DE001A"/>
    <w:rsid w:val="22B02C0B"/>
    <w:rsid w:val="233262B0"/>
    <w:rsid w:val="235F73B2"/>
    <w:rsid w:val="23FF67CD"/>
    <w:rsid w:val="2538236E"/>
    <w:rsid w:val="25B83C84"/>
    <w:rsid w:val="260979B3"/>
    <w:rsid w:val="267A1545"/>
    <w:rsid w:val="268915E1"/>
    <w:rsid w:val="26940D94"/>
    <w:rsid w:val="26EF2BD7"/>
    <w:rsid w:val="27062770"/>
    <w:rsid w:val="27283820"/>
    <w:rsid w:val="277D5407"/>
    <w:rsid w:val="27DFA4C7"/>
    <w:rsid w:val="281E0BFC"/>
    <w:rsid w:val="282140A6"/>
    <w:rsid w:val="28737A0A"/>
    <w:rsid w:val="28D92648"/>
    <w:rsid w:val="28E461DD"/>
    <w:rsid w:val="28F95AD9"/>
    <w:rsid w:val="290F054E"/>
    <w:rsid w:val="29573532"/>
    <w:rsid w:val="2964780B"/>
    <w:rsid w:val="296843D0"/>
    <w:rsid w:val="29DB590A"/>
    <w:rsid w:val="2A3873D6"/>
    <w:rsid w:val="2A9D7823"/>
    <w:rsid w:val="2AAA7004"/>
    <w:rsid w:val="2ACD2B54"/>
    <w:rsid w:val="2AFF8873"/>
    <w:rsid w:val="2BD20298"/>
    <w:rsid w:val="2BF1FA64"/>
    <w:rsid w:val="2C001C45"/>
    <w:rsid w:val="2C537484"/>
    <w:rsid w:val="2CE07991"/>
    <w:rsid w:val="2D411E12"/>
    <w:rsid w:val="2D921F20"/>
    <w:rsid w:val="2E0E5D19"/>
    <w:rsid w:val="2E3D76E0"/>
    <w:rsid w:val="2E7C28D5"/>
    <w:rsid w:val="2E800FE4"/>
    <w:rsid w:val="2EC0302C"/>
    <w:rsid w:val="2FC9172B"/>
    <w:rsid w:val="2FE1298F"/>
    <w:rsid w:val="30423599"/>
    <w:rsid w:val="31023A8C"/>
    <w:rsid w:val="31566B14"/>
    <w:rsid w:val="31611C9E"/>
    <w:rsid w:val="31FD7870"/>
    <w:rsid w:val="328501E0"/>
    <w:rsid w:val="32DE3097"/>
    <w:rsid w:val="33386686"/>
    <w:rsid w:val="334C6987"/>
    <w:rsid w:val="33646C24"/>
    <w:rsid w:val="337F564A"/>
    <w:rsid w:val="33BFE8EA"/>
    <w:rsid w:val="33DB30F1"/>
    <w:rsid w:val="33FD3E32"/>
    <w:rsid w:val="343E47D5"/>
    <w:rsid w:val="345A7A25"/>
    <w:rsid w:val="34722C7B"/>
    <w:rsid w:val="348A7F4C"/>
    <w:rsid w:val="354E4C98"/>
    <w:rsid w:val="361A5BB1"/>
    <w:rsid w:val="363F3DD3"/>
    <w:rsid w:val="366B145D"/>
    <w:rsid w:val="366F6862"/>
    <w:rsid w:val="368D74FB"/>
    <w:rsid w:val="36AE1F23"/>
    <w:rsid w:val="37D36809"/>
    <w:rsid w:val="37E5F108"/>
    <w:rsid w:val="37FF5D6E"/>
    <w:rsid w:val="380E3CCD"/>
    <w:rsid w:val="38CA1F82"/>
    <w:rsid w:val="39040E25"/>
    <w:rsid w:val="39B822CE"/>
    <w:rsid w:val="39BBB523"/>
    <w:rsid w:val="3A2163E4"/>
    <w:rsid w:val="3A7361E3"/>
    <w:rsid w:val="3B163750"/>
    <w:rsid w:val="3B7F21E9"/>
    <w:rsid w:val="3BEF7F4A"/>
    <w:rsid w:val="3CEE5AE6"/>
    <w:rsid w:val="3D3B2076"/>
    <w:rsid w:val="3D716170"/>
    <w:rsid w:val="3E2503BA"/>
    <w:rsid w:val="3E572B72"/>
    <w:rsid w:val="3E872808"/>
    <w:rsid w:val="3EBB6573"/>
    <w:rsid w:val="3F7C7782"/>
    <w:rsid w:val="3F921D57"/>
    <w:rsid w:val="3FB12AFB"/>
    <w:rsid w:val="3FB5F62B"/>
    <w:rsid w:val="40C057DB"/>
    <w:rsid w:val="40FE4A6B"/>
    <w:rsid w:val="41EA07A4"/>
    <w:rsid w:val="42075CE5"/>
    <w:rsid w:val="42823244"/>
    <w:rsid w:val="43361DBB"/>
    <w:rsid w:val="434B6CB8"/>
    <w:rsid w:val="43D87D99"/>
    <w:rsid w:val="43E8565E"/>
    <w:rsid w:val="44850FBD"/>
    <w:rsid w:val="449E0282"/>
    <w:rsid w:val="44E74536"/>
    <w:rsid w:val="451E1E73"/>
    <w:rsid w:val="4561156F"/>
    <w:rsid w:val="45755414"/>
    <w:rsid w:val="45B425EE"/>
    <w:rsid w:val="461B1C1B"/>
    <w:rsid w:val="464262CF"/>
    <w:rsid w:val="46491E27"/>
    <w:rsid w:val="469D6349"/>
    <w:rsid w:val="471B7AA2"/>
    <w:rsid w:val="47C83C30"/>
    <w:rsid w:val="47D84E78"/>
    <w:rsid w:val="47DDAB62"/>
    <w:rsid w:val="481C1F6F"/>
    <w:rsid w:val="483E4334"/>
    <w:rsid w:val="48574AE0"/>
    <w:rsid w:val="48C02F69"/>
    <w:rsid w:val="49740948"/>
    <w:rsid w:val="49757894"/>
    <w:rsid w:val="49DC7913"/>
    <w:rsid w:val="4A6C513B"/>
    <w:rsid w:val="4C07090C"/>
    <w:rsid w:val="4C2F673D"/>
    <w:rsid w:val="4CAFAA43"/>
    <w:rsid w:val="4D606BC1"/>
    <w:rsid w:val="4D6C034F"/>
    <w:rsid w:val="4DFE721A"/>
    <w:rsid w:val="4E0079F3"/>
    <w:rsid w:val="4E2F16D1"/>
    <w:rsid w:val="4E2F5DEA"/>
    <w:rsid w:val="4E371BEE"/>
    <w:rsid w:val="4E9133C2"/>
    <w:rsid w:val="4EA46F42"/>
    <w:rsid w:val="4EA75D78"/>
    <w:rsid w:val="4EED6484"/>
    <w:rsid w:val="4F543247"/>
    <w:rsid w:val="4F852194"/>
    <w:rsid w:val="4F952A3E"/>
    <w:rsid w:val="503A6ABA"/>
    <w:rsid w:val="509C680D"/>
    <w:rsid w:val="50FE4613"/>
    <w:rsid w:val="50FF0A6B"/>
    <w:rsid w:val="517123C4"/>
    <w:rsid w:val="517F0D94"/>
    <w:rsid w:val="51890FBA"/>
    <w:rsid w:val="523F3135"/>
    <w:rsid w:val="529B258B"/>
    <w:rsid w:val="52B121C0"/>
    <w:rsid w:val="52BD1751"/>
    <w:rsid w:val="532C0E25"/>
    <w:rsid w:val="53512661"/>
    <w:rsid w:val="53B410AA"/>
    <w:rsid w:val="53B4A588"/>
    <w:rsid w:val="53D76159"/>
    <w:rsid w:val="53F758FD"/>
    <w:rsid w:val="541832B5"/>
    <w:rsid w:val="54816852"/>
    <w:rsid w:val="54EF49D4"/>
    <w:rsid w:val="54F44BF4"/>
    <w:rsid w:val="551C488C"/>
    <w:rsid w:val="55381371"/>
    <w:rsid w:val="553A4B52"/>
    <w:rsid w:val="554B2051"/>
    <w:rsid w:val="558C7F43"/>
    <w:rsid w:val="55BA2021"/>
    <w:rsid w:val="55DD4B40"/>
    <w:rsid w:val="55E84C4F"/>
    <w:rsid w:val="564D17CF"/>
    <w:rsid w:val="56641B50"/>
    <w:rsid w:val="56653B89"/>
    <w:rsid w:val="575B2D80"/>
    <w:rsid w:val="57AA7C84"/>
    <w:rsid w:val="57EE5C46"/>
    <w:rsid w:val="5804309E"/>
    <w:rsid w:val="58693873"/>
    <w:rsid w:val="58800ED2"/>
    <w:rsid w:val="59002601"/>
    <w:rsid w:val="590E3866"/>
    <w:rsid w:val="59C96464"/>
    <w:rsid w:val="59D1265A"/>
    <w:rsid w:val="5A89012A"/>
    <w:rsid w:val="5AD1496F"/>
    <w:rsid w:val="5BCDC1A2"/>
    <w:rsid w:val="5BF22E03"/>
    <w:rsid w:val="5C243041"/>
    <w:rsid w:val="5D7DB3A5"/>
    <w:rsid w:val="5DA6AADD"/>
    <w:rsid w:val="5DBE65EC"/>
    <w:rsid w:val="5DE64CFD"/>
    <w:rsid w:val="5DFF0200"/>
    <w:rsid w:val="5E1676D1"/>
    <w:rsid w:val="5E1C32F6"/>
    <w:rsid w:val="5E75F7FC"/>
    <w:rsid w:val="5EB75803"/>
    <w:rsid w:val="5EBBDF43"/>
    <w:rsid w:val="5F622211"/>
    <w:rsid w:val="5F7A755A"/>
    <w:rsid w:val="5F7EABDF"/>
    <w:rsid w:val="5F861CD6"/>
    <w:rsid w:val="5FD85CB5"/>
    <w:rsid w:val="5FDE37BA"/>
    <w:rsid w:val="5FE746D3"/>
    <w:rsid w:val="5FFB3149"/>
    <w:rsid w:val="611F4205"/>
    <w:rsid w:val="6187215C"/>
    <w:rsid w:val="62331FAF"/>
    <w:rsid w:val="623AFFCD"/>
    <w:rsid w:val="624C771A"/>
    <w:rsid w:val="62544B76"/>
    <w:rsid w:val="62C247A9"/>
    <w:rsid w:val="62D17336"/>
    <w:rsid w:val="63ED4ED2"/>
    <w:rsid w:val="63FE0583"/>
    <w:rsid w:val="642C55C8"/>
    <w:rsid w:val="65B34C12"/>
    <w:rsid w:val="65BF90C2"/>
    <w:rsid w:val="661A2469"/>
    <w:rsid w:val="66631E37"/>
    <w:rsid w:val="666FC0DD"/>
    <w:rsid w:val="668971A0"/>
    <w:rsid w:val="66951D5C"/>
    <w:rsid w:val="670E32EB"/>
    <w:rsid w:val="67310E46"/>
    <w:rsid w:val="6737F112"/>
    <w:rsid w:val="67574C2B"/>
    <w:rsid w:val="67AD3D06"/>
    <w:rsid w:val="67C22620"/>
    <w:rsid w:val="67E119C4"/>
    <w:rsid w:val="67FF2F52"/>
    <w:rsid w:val="67FFF1D7"/>
    <w:rsid w:val="682136ED"/>
    <w:rsid w:val="682155CC"/>
    <w:rsid w:val="687D0D84"/>
    <w:rsid w:val="69197978"/>
    <w:rsid w:val="6A955B90"/>
    <w:rsid w:val="6BBF792D"/>
    <w:rsid w:val="6BFEB90C"/>
    <w:rsid w:val="6C5E30DA"/>
    <w:rsid w:val="6CB21589"/>
    <w:rsid w:val="6CCA798C"/>
    <w:rsid w:val="6CDC01CB"/>
    <w:rsid w:val="6D55105D"/>
    <w:rsid w:val="6E5D4C17"/>
    <w:rsid w:val="6EC26341"/>
    <w:rsid w:val="6F141C24"/>
    <w:rsid w:val="6F3EC9D4"/>
    <w:rsid w:val="6F4FDF5D"/>
    <w:rsid w:val="6FB52373"/>
    <w:rsid w:val="6FCC02A4"/>
    <w:rsid w:val="6FF330B2"/>
    <w:rsid w:val="6FFC5B59"/>
    <w:rsid w:val="70226969"/>
    <w:rsid w:val="70D7153A"/>
    <w:rsid w:val="70FFE58A"/>
    <w:rsid w:val="713663EE"/>
    <w:rsid w:val="71EC2BF4"/>
    <w:rsid w:val="71F97C92"/>
    <w:rsid w:val="724F1C02"/>
    <w:rsid w:val="7283072F"/>
    <w:rsid w:val="73D843E9"/>
    <w:rsid w:val="73DA4BFF"/>
    <w:rsid w:val="73DF0976"/>
    <w:rsid w:val="74B36A60"/>
    <w:rsid w:val="752A3A47"/>
    <w:rsid w:val="7568029E"/>
    <w:rsid w:val="75795EB8"/>
    <w:rsid w:val="75FA55B6"/>
    <w:rsid w:val="764B61C2"/>
    <w:rsid w:val="76501187"/>
    <w:rsid w:val="766134E0"/>
    <w:rsid w:val="76985CAE"/>
    <w:rsid w:val="76FFC282"/>
    <w:rsid w:val="775F63CD"/>
    <w:rsid w:val="777D7282"/>
    <w:rsid w:val="77DBB4B1"/>
    <w:rsid w:val="77FF9B6A"/>
    <w:rsid w:val="78AF2378"/>
    <w:rsid w:val="78B27F0F"/>
    <w:rsid w:val="79046EA5"/>
    <w:rsid w:val="79871ED6"/>
    <w:rsid w:val="79EB1329"/>
    <w:rsid w:val="79F337B7"/>
    <w:rsid w:val="7A0C02D9"/>
    <w:rsid w:val="7A1962AF"/>
    <w:rsid w:val="7A742B66"/>
    <w:rsid w:val="7A87032D"/>
    <w:rsid w:val="7ACB7B0F"/>
    <w:rsid w:val="7AF44552"/>
    <w:rsid w:val="7B146F46"/>
    <w:rsid w:val="7B545265"/>
    <w:rsid w:val="7B713012"/>
    <w:rsid w:val="7BB6632D"/>
    <w:rsid w:val="7BF72156"/>
    <w:rsid w:val="7BF7FDDB"/>
    <w:rsid w:val="7BFF1C2F"/>
    <w:rsid w:val="7BFF9814"/>
    <w:rsid w:val="7C2362A5"/>
    <w:rsid w:val="7C4F176D"/>
    <w:rsid w:val="7C5052A3"/>
    <w:rsid w:val="7C990890"/>
    <w:rsid w:val="7CBD9A19"/>
    <w:rsid w:val="7CDD7EE6"/>
    <w:rsid w:val="7D00273E"/>
    <w:rsid w:val="7D0F1E96"/>
    <w:rsid w:val="7D292894"/>
    <w:rsid w:val="7D3D9E8B"/>
    <w:rsid w:val="7D3FB84B"/>
    <w:rsid w:val="7D5F8421"/>
    <w:rsid w:val="7D9F4F89"/>
    <w:rsid w:val="7DC7065C"/>
    <w:rsid w:val="7E5F23B4"/>
    <w:rsid w:val="7E5F8E1B"/>
    <w:rsid w:val="7E9B3071"/>
    <w:rsid w:val="7EB9C885"/>
    <w:rsid w:val="7EBC6D4C"/>
    <w:rsid w:val="7ED9102E"/>
    <w:rsid w:val="7EE935C1"/>
    <w:rsid w:val="7EEEAEB9"/>
    <w:rsid w:val="7EFCAE0D"/>
    <w:rsid w:val="7F3B645F"/>
    <w:rsid w:val="7F4052EB"/>
    <w:rsid w:val="7F5D08FC"/>
    <w:rsid w:val="7F6F4679"/>
    <w:rsid w:val="7F6F9368"/>
    <w:rsid w:val="7FAF2134"/>
    <w:rsid w:val="7FDFE0C5"/>
    <w:rsid w:val="7FEB4E27"/>
    <w:rsid w:val="7FEF6D48"/>
    <w:rsid w:val="7FF7DF84"/>
    <w:rsid w:val="7FFD24AC"/>
    <w:rsid w:val="7FFF1E69"/>
    <w:rsid w:val="83471263"/>
    <w:rsid w:val="8E5FD14A"/>
    <w:rsid w:val="9ADFAAD2"/>
    <w:rsid w:val="9D3D0FE2"/>
    <w:rsid w:val="9F9D4632"/>
    <w:rsid w:val="9FAFA810"/>
    <w:rsid w:val="A4FDF118"/>
    <w:rsid w:val="A7F2FE1C"/>
    <w:rsid w:val="A7FFA3A0"/>
    <w:rsid w:val="A8FAEF68"/>
    <w:rsid w:val="ABEE5B11"/>
    <w:rsid w:val="ADEF93FE"/>
    <w:rsid w:val="AE6F5762"/>
    <w:rsid w:val="AF22B0D3"/>
    <w:rsid w:val="AFDF4F60"/>
    <w:rsid w:val="B5EF3A2E"/>
    <w:rsid w:val="B6B67291"/>
    <w:rsid w:val="BACF3002"/>
    <w:rsid w:val="BBF7D8BC"/>
    <w:rsid w:val="BDB0E5E1"/>
    <w:rsid w:val="BDCB0FBB"/>
    <w:rsid w:val="BEC297C0"/>
    <w:rsid w:val="BEFD87FD"/>
    <w:rsid w:val="BFEB2A3B"/>
    <w:rsid w:val="BFFF5425"/>
    <w:rsid w:val="CABC8D3F"/>
    <w:rsid w:val="CBEDC9D7"/>
    <w:rsid w:val="CCF71386"/>
    <w:rsid w:val="CEA9E528"/>
    <w:rsid w:val="D17FAF71"/>
    <w:rsid w:val="D1FD73AC"/>
    <w:rsid w:val="D24F832D"/>
    <w:rsid w:val="D36D4ABB"/>
    <w:rsid w:val="D9FE8E5D"/>
    <w:rsid w:val="D9FED2DB"/>
    <w:rsid w:val="DCFF615C"/>
    <w:rsid w:val="DEEFDD2B"/>
    <w:rsid w:val="DF3E8E9F"/>
    <w:rsid w:val="DFE7FC82"/>
    <w:rsid w:val="DFF948DA"/>
    <w:rsid w:val="DFFBD092"/>
    <w:rsid w:val="E6BD9D11"/>
    <w:rsid w:val="E6F721C0"/>
    <w:rsid w:val="E7E36274"/>
    <w:rsid w:val="E7EF557B"/>
    <w:rsid w:val="E9757F27"/>
    <w:rsid w:val="E9BBC41F"/>
    <w:rsid w:val="EBBF3A10"/>
    <w:rsid w:val="EBBF7B68"/>
    <w:rsid w:val="EBBF97F7"/>
    <w:rsid w:val="EBF7A9C0"/>
    <w:rsid w:val="EE3A5B68"/>
    <w:rsid w:val="EFBF6D29"/>
    <w:rsid w:val="EFD73878"/>
    <w:rsid w:val="EFDA3078"/>
    <w:rsid w:val="EFEF3541"/>
    <w:rsid w:val="EFF55E81"/>
    <w:rsid w:val="EFFFB9A7"/>
    <w:rsid w:val="F1BBDC2F"/>
    <w:rsid w:val="F59B0574"/>
    <w:rsid w:val="F6DF327A"/>
    <w:rsid w:val="F76FFD93"/>
    <w:rsid w:val="F79711EB"/>
    <w:rsid w:val="F7A99599"/>
    <w:rsid w:val="F7AFF8F6"/>
    <w:rsid w:val="F7E69040"/>
    <w:rsid w:val="FABF2222"/>
    <w:rsid w:val="FAFE010C"/>
    <w:rsid w:val="FB3D7F75"/>
    <w:rsid w:val="FBEF3304"/>
    <w:rsid w:val="FBEFECB6"/>
    <w:rsid w:val="FBFE2793"/>
    <w:rsid w:val="FBFF4D5A"/>
    <w:rsid w:val="FCFF7FD1"/>
    <w:rsid w:val="FD5571EE"/>
    <w:rsid w:val="FDE6DE4A"/>
    <w:rsid w:val="FDE7828E"/>
    <w:rsid w:val="FDE79B91"/>
    <w:rsid w:val="FDE9DEE8"/>
    <w:rsid w:val="FDED4D90"/>
    <w:rsid w:val="FDFBC699"/>
    <w:rsid w:val="FE9FF325"/>
    <w:rsid w:val="FEBAB00B"/>
    <w:rsid w:val="FEC25A51"/>
    <w:rsid w:val="FEEBDA6A"/>
    <w:rsid w:val="FEF97FEE"/>
    <w:rsid w:val="FF375266"/>
    <w:rsid w:val="FF756BF6"/>
    <w:rsid w:val="FFB589D2"/>
    <w:rsid w:val="FFBF904C"/>
    <w:rsid w:val="FFEBF31D"/>
    <w:rsid w:val="FFFA209C"/>
    <w:rsid w:val="FFFB1C37"/>
    <w:rsid w:val="FFFD07F9"/>
    <w:rsid w:val="FFFD44A2"/>
    <w:rsid w:val="FFFF5A6A"/>
    <w:rsid w:val="FFFF9613"/>
    <w:rsid w:val="FFFFB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qFormat="1" w:unhideWhenUsed="0" w:uiPriority="99" w:semiHidden="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uiPriority="0" w:name="Body Text First Indent 2"/>
    <w:lsdException w:uiPriority="0" w:name="Note Heading"/>
    <w:lsdException w:qFormat="1" w:unhideWhenUsed="0" w:uiPriority="99" w:semiHidden="0" w:name="Body Text 2"/>
    <w:lsdException w:qFormat="1" w:uiPriority="99" w:semiHidden="0" w:name="Body Text 3"/>
    <w:lsdException w:qFormat="1" w:unhideWhenUsed="0" w:uiPriority="0"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8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640"/>
    <w:autoRedefine/>
    <w:qFormat/>
    <w:uiPriority w:val="9"/>
    <w:pPr>
      <w:keepNext/>
      <w:keepLines/>
      <w:jc w:val="center"/>
      <w:outlineLvl w:val="0"/>
    </w:pPr>
    <w:rPr>
      <w:rFonts w:eastAsia="黑体"/>
      <w:bCs/>
      <w:kern w:val="44"/>
      <w:szCs w:val="44"/>
    </w:rPr>
  </w:style>
  <w:style w:type="paragraph" w:styleId="3">
    <w:name w:val="heading 2"/>
    <w:basedOn w:val="1"/>
    <w:next w:val="1"/>
    <w:link w:val="682"/>
    <w:autoRedefine/>
    <w:qFormat/>
    <w:uiPriority w:val="99"/>
    <w:pPr>
      <w:keepNext/>
      <w:keepLines/>
      <w:ind w:left="1061" w:hanging="420" w:firstLineChars="0"/>
      <w:outlineLvl w:val="1"/>
    </w:pPr>
    <w:rPr>
      <w:rFonts w:eastAsia="楷体"/>
      <w:b/>
      <w:bCs/>
      <w:szCs w:val="30"/>
    </w:rPr>
  </w:style>
  <w:style w:type="paragraph" w:styleId="4">
    <w:name w:val="heading 3"/>
    <w:basedOn w:val="1"/>
    <w:next w:val="1"/>
    <w:link w:val="602"/>
    <w:autoRedefine/>
    <w:qFormat/>
    <w:uiPriority w:val="9"/>
    <w:pPr>
      <w:spacing w:line="360" w:lineRule="auto"/>
      <w:ind w:firstLine="602"/>
      <w:outlineLvl w:val="2"/>
    </w:pPr>
    <w:rPr>
      <w:b/>
      <w:sz w:val="30"/>
      <w:szCs w:val="30"/>
    </w:rPr>
  </w:style>
  <w:style w:type="paragraph" w:styleId="5">
    <w:name w:val="heading 4"/>
    <w:basedOn w:val="1"/>
    <w:next w:val="1"/>
    <w:link w:val="528"/>
    <w:autoRedefine/>
    <w:qFormat/>
    <w:uiPriority w:val="99"/>
    <w:pPr>
      <w:outlineLvl w:val="3"/>
    </w:pPr>
    <w:rPr>
      <w:b/>
      <w:szCs w:val="30"/>
    </w:rPr>
  </w:style>
  <w:style w:type="paragraph" w:styleId="6">
    <w:name w:val="heading 5"/>
    <w:basedOn w:val="1"/>
    <w:next w:val="1"/>
    <w:link w:val="756"/>
    <w:autoRedefine/>
    <w:qFormat/>
    <w:uiPriority w:val="0"/>
    <w:pPr>
      <w:widowControl/>
      <w:spacing w:before="240" w:after="60"/>
      <w:jc w:val="left"/>
      <w:outlineLvl w:val="4"/>
    </w:pPr>
    <w:rPr>
      <w:rFonts w:eastAsia="宋体"/>
      <w:b/>
      <w:bCs/>
      <w:i/>
      <w:iCs/>
      <w:kern w:val="0"/>
      <w:sz w:val="26"/>
      <w:szCs w:val="26"/>
    </w:rPr>
  </w:style>
  <w:style w:type="paragraph" w:styleId="7">
    <w:name w:val="heading 6"/>
    <w:basedOn w:val="1"/>
    <w:next w:val="1"/>
    <w:link w:val="445"/>
    <w:autoRedefine/>
    <w:qFormat/>
    <w:uiPriority w:val="0"/>
    <w:pPr>
      <w:widowControl/>
      <w:spacing w:before="240" w:after="60"/>
      <w:jc w:val="left"/>
      <w:outlineLvl w:val="5"/>
    </w:pPr>
    <w:rPr>
      <w:rFonts w:eastAsia="宋体"/>
      <w:b/>
      <w:bCs/>
      <w:kern w:val="0"/>
      <w:sz w:val="20"/>
      <w:szCs w:val="20"/>
    </w:rPr>
  </w:style>
  <w:style w:type="paragraph" w:styleId="8">
    <w:name w:val="heading 7"/>
    <w:basedOn w:val="1"/>
    <w:next w:val="1"/>
    <w:link w:val="716"/>
    <w:autoRedefine/>
    <w:qFormat/>
    <w:uiPriority w:val="99"/>
    <w:pPr>
      <w:widowControl/>
      <w:spacing w:before="240" w:after="60"/>
      <w:jc w:val="left"/>
      <w:outlineLvl w:val="6"/>
    </w:pPr>
    <w:rPr>
      <w:rFonts w:eastAsia="宋体"/>
      <w:kern w:val="0"/>
      <w:sz w:val="24"/>
    </w:rPr>
  </w:style>
  <w:style w:type="paragraph" w:styleId="9">
    <w:name w:val="heading 8"/>
    <w:basedOn w:val="1"/>
    <w:next w:val="1"/>
    <w:link w:val="443"/>
    <w:autoRedefine/>
    <w:qFormat/>
    <w:uiPriority w:val="99"/>
    <w:pPr>
      <w:widowControl/>
      <w:spacing w:before="240" w:after="60"/>
      <w:jc w:val="left"/>
      <w:outlineLvl w:val="7"/>
    </w:pPr>
    <w:rPr>
      <w:rFonts w:eastAsia="宋体"/>
      <w:i/>
      <w:iCs/>
      <w:kern w:val="0"/>
      <w:sz w:val="24"/>
    </w:rPr>
  </w:style>
  <w:style w:type="paragraph" w:styleId="10">
    <w:name w:val="heading 9"/>
    <w:basedOn w:val="1"/>
    <w:next w:val="1"/>
    <w:link w:val="477"/>
    <w:autoRedefine/>
    <w:qFormat/>
    <w:uiPriority w:val="99"/>
    <w:pPr>
      <w:widowControl/>
      <w:spacing w:before="240" w:after="60"/>
      <w:jc w:val="left"/>
      <w:outlineLvl w:val="8"/>
    </w:pPr>
    <w:rPr>
      <w:rFonts w:ascii="Cambria" w:hAnsi="Cambria" w:eastAsia="宋体"/>
      <w:kern w:val="0"/>
      <w:sz w:val="20"/>
      <w:szCs w:val="20"/>
    </w:rPr>
  </w:style>
  <w:style w:type="character" w:default="1" w:styleId="60">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widowControl/>
      <w:adjustRightInd w:val="0"/>
      <w:snapToGrid w:val="0"/>
      <w:ind w:left="1320"/>
      <w:jc w:val="left"/>
    </w:pPr>
    <w:rPr>
      <w:rFonts w:ascii="Calibri" w:hAnsi="Calibri" w:eastAsia="微软雅黑"/>
      <w:kern w:val="0"/>
      <w:sz w:val="18"/>
      <w:szCs w:val="18"/>
    </w:rPr>
  </w:style>
  <w:style w:type="paragraph" w:styleId="12">
    <w:name w:val="index 8"/>
    <w:basedOn w:val="1"/>
    <w:next w:val="1"/>
    <w:autoRedefine/>
    <w:qFormat/>
    <w:uiPriority w:val="99"/>
    <w:pPr>
      <w:ind w:left="1680" w:hanging="210"/>
      <w:jc w:val="left"/>
    </w:pPr>
    <w:rPr>
      <w:sz w:val="20"/>
      <w:szCs w:val="20"/>
    </w:rPr>
  </w:style>
  <w:style w:type="paragraph" w:styleId="13">
    <w:name w:val="Normal Indent"/>
    <w:basedOn w:val="1"/>
    <w:link w:val="484"/>
    <w:autoRedefine/>
    <w:qFormat/>
    <w:uiPriority w:val="0"/>
    <w:pPr>
      <w:ind w:firstLine="420"/>
    </w:pPr>
  </w:style>
  <w:style w:type="paragraph" w:styleId="14">
    <w:name w:val="caption"/>
    <w:basedOn w:val="1"/>
    <w:next w:val="1"/>
    <w:autoRedefine/>
    <w:qFormat/>
    <w:uiPriority w:val="99"/>
    <w:pPr>
      <w:spacing w:before="152" w:after="160"/>
    </w:pPr>
    <w:rPr>
      <w:rFonts w:ascii="Arial" w:hAnsi="Arial" w:eastAsia="黑体" w:cs="Arial"/>
      <w:sz w:val="20"/>
      <w:szCs w:val="20"/>
    </w:rPr>
  </w:style>
  <w:style w:type="paragraph" w:styleId="15">
    <w:name w:val="index 5"/>
    <w:basedOn w:val="1"/>
    <w:next w:val="1"/>
    <w:autoRedefine/>
    <w:qFormat/>
    <w:uiPriority w:val="99"/>
    <w:pPr>
      <w:ind w:left="1050" w:hanging="210"/>
      <w:jc w:val="left"/>
    </w:pPr>
    <w:rPr>
      <w:sz w:val="20"/>
      <w:szCs w:val="20"/>
    </w:rPr>
  </w:style>
  <w:style w:type="paragraph" w:styleId="16">
    <w:name w:val="Document Map"/>
    <w:basedOn w:val="1"/>
    <w:link w:val="738"/>
    <w:autoRedefine/>
    <w:qFormat/>
    <w:uiPriority w:val="99"/>
    <w:rPr>
      <w:rFonts w:ascii="宋体" w:eastAsia="宋体"/>
      <w:sz w:val="18"/>
      <w:szCs w:val="18"/>
    </w:rPr>
  </w:style>
  <w:style w:type="paragraph" w:styleId="17">
    <w:name w:val="annotation text"/>
    <w:basedOn w:val="1"/>
    <w:link w:val="736"/>
    <w:autoRedefine/>
    <w:qFormat/>
    <w:uiPriority w:val="0"/>
    <w:pPr>
      <w:jc w:val="left"/>
    </w:pPr>
    <w:rPr>
      <w:rFonts w:eastAsia="宋体"/>
      <w:kern w:val="0"/>
      <w:sz w:val="20"/>
    </w:rPr>
  </w:style>
  <w:style w:type="paragraph" w:styleId="18">
    <w:name w:val="index 6"/>
    <w:basedOn w:val="1"/>
    <w:next w:val="1"/>
    <w:autoRedefine/>
    <w:qFormat/>
    <w:uiPriority w:val="99"/>
    <w:pPr>
      <w:ind w:left="1260" w:hanging="210"/>
      <w:jc w:val="left"/>
    </w:pPr>
    <w:rPr>
      <w:sz w:val="20"/>
      <w:szCs w:val="20"/>
    </w:rPr>
  </w:style>
  <w:style w:type="paragraph" w:styleId="19">
    <w:name w:val="Salutation"/>
    <w:basedOn w:val="1"/>
    <w:next w:val="1"/>
    <w:link w:val="482"/>
    <w:autoRedefine/>
    <w:qFormat/>
    <w:uiPriority w:val="99"/>
    <w:pPr>
      <w:widowControl/>
      <w:spacing w:before="100" w:beforeAutospacing="1" w:after="100" w:afterAutospacing="1" w:line="240" w:lineRule="auto"/>
      <w:ind w:firstLine="0" w:firstLineChars="0"/>
      <w:jc w:val="left"/>
    </w:pPr>
    <w:rPr>
      <w:rFonts w:ascii="宋体" w:hAnsi="宋体" w:eastAsia="宋体"/>
      <w:color w:val="333333"/>
      <w:kern w:val="0"/>
      <w:sz w:val="24"/>
    </w:rPr>
  </w:style>
  <w:style w:type="paragraph" w:styleId="20">
    <w:name w:val="Body Text 3"/>
    <w:basedOn w:val="1"/>
    <w:link w:val="728"/>
    <w:autoRedefine/>
    <w:unhideWhenUsed/>
    <w:qFormat/>
    <w:uiPriority w:val="99"/>
    <w:pPr>
      <w:spacing w:line="240" w:lineRule="auto"/>
      <w:ind w:firstLine="0" w:firstLineChars="0"/>
    </w:pPr>
    <w:rPr>
      <w:rFonts w:eastAsia="宋体"/>
      <w:sz w:val="28"/>
    </w:rPr>
  </w:style>
  <w:style w:type="paragraph" w:styleId="21">
    <w:name w:val="Closing"/>
    <w:basedOn w:val="1"/>
    <w:next w:val="1"/>
    <w:link w:val="509"/>
    <w:autoRedefine/>
    <w:qFormat/>
    <w:uiPriority w:val="99"/>
    <w:pPr>
      <w:spacing w:line="240" w:lineRule="auto"/>
      <w:ind w:left="4320" w:firstLine="0" w:firstLineChars="0"/>
    </w:pPr>
    <w:rPr>
      <w:spacing w:val="10"/>
      <w:sz w:val="28"/>
      <w:szCs w:val="20"/>
    </w:rPr>
  </w:style>
  <w:style w:type="paragraph" w:styleId="22">
    <w:name w:val="Body Text"/>
    <w:basedOn w:val="1"/>
    <w:link w:val="638"/>
    <w:autoRedefine/>
    <w:qFormat/>
    <w:uiPriority w:val="99"/>
    <w:pPr>
      <w:ind w:left="540"/>
      <w:jc w:val="left"/>
    </w:pPr>
    <w:rPr>
      <w:rFonts w:eastAsia="Calibri"/>
      <w:kern w:val="0"/>
      <w:sz w:val="22"/>
      <w:szCs w:val="22"/>
      <w:lang w:eastAsia="en-US"/>
    </w:rPr>
  </w:style>
  <w:style w:type="paragraph" w:styleId="23">
    <w:name w:val="Body Text Indent"/>
    <w:basedOn w:val="1"/>
    <w:link w:val="711"/>
    <w:autoRedefine/>
    <w:qFormat/>
    <w:uiPriority w:val="99"/>
    <w:pPr>
      <w:ind w:firstLine="560"/>
    </w:pPr>
    <w:rPr>
      <w:rFonts w:eastAsia="宋体"/>
      <w:kern w:val="0"/>
      <w:sz w:val="28"/>
    </w:rPr>
  </w:style>
  <w:style w:type="paragraph" w:styleId="24">
    <w:name w:val="HTML Address"/>
    <w:basedOn w:val="1"/>
    <w:link w:val="749"/>
    <w:autoRedefine/>
    <w:qFormat/>
    <w:uiPriority w:val="0"/>
    <w:rPr>
      <w:rFonts w:eastAsia="宋体"/>
      <w:i/>
      <w:iCs/>
      <w:sz w:val="24"/>
    </w:rPr>
  </w:style>
  <w:style w:type="paragraph" w:styleId="25">
    <w:name w:val="index 4"/>
    <w:basedOn w:val="1"/>
    <w:next w:val="1"/>
    <w:autoRedefine/>
    <w:qFormat/>
    <w:uiPriority w:val="99"/>
    <w:pPr>
      <w:ind w:left="840" w:hanging="210"/>
      <w:jc w:val="left"/>
    </w:pPr>
    <w:rPr>
      <w:sz w:val="20"/>
      <w:szCs w:val="20"/>
    </w:rPr>
  </w:style>
  <w:style w:type="paragraph" w:styleId="26">
    <w:name w:val="toc 5"/>
    <w:basedOn w:val="1"/>
    <w:next w:val="1"/>
    <w:autoRedefine/>
    <w:unhideWhenUsed/>
    <w:qFormat/>
    <w:uiPriority w:val="39"/>
    <w:pPr>
      <w:widowControl/>
      <w:adjustRightInd w:val="0"/>
      <w:snapToGrid w:val="0"/>
      <w:ind w:left="880"/>
      <w:jc w:val="left"/>
    </w:pPr>
    <w:rPr>
      <w:rFonts w:ascii="Calibri" w:hAnsi="Calibri" w:eastAsia="微软雅黑"/>
      <w:kern w:val="0"/>
      <w:sz w:val="18"/>
      <w:szCs w:val="18"/>
    </w:rPr>
  </w:style>
  <w:style w:type="paragraph" w:styleId="27">
    <w:name w:val="toc 3"/>
    <w:basedOn w:val="1"/>
    <w:next w:val="1"/>
    <w:autoRedefine/>
    <w:qFormat/>
    <w:uiPriority w:val="39"/>
    <w:pPr>
      <w:ind w:left="840" w:leftChars="400"/>
    </w:pPr>
  </w:style>
  <w:style w:type="paragraph" w:styleId="28">
    <w:name w:val="Plain Text"/>
    <w:basedOn w:val="1"/>
    <w:link w:val="599"/>
    <w:autoRedefine/>
    <w:qFormat/>
    <w:uiPriority w:val="99"/>
    <w:rPr>
      <w:rFonts w:ascii="宋体" w:hAnsi="Courier New" w:eastAsia="宋体"/>
      <w:kern w:val="0"/>
      <w:sz w:val="20"/>
      <w:szCs w:val="20"/>
    </w:rPr>
  </w:style>
  <w:style w:type="paragraph" w:styleId="29">
    <w:name w:val="toc 8"/>
    <w:basedOn w:val="1"/>
    <w:next w:val="1"/>
    <w:autoRedefine/>
    <w:unhideWhenUsed/>
    <w:qFormat/>
    <w:uiPriority w:val="39"/>
    <w:pPr>
      <w:widowControl/>
      <w:adjustRightInd w:val="0"/>
      <w:snapToGrid w:val="0"/>
      <w:ind w:left="1540"/>
      <w:jc w:val="left"/>
    </w:pPr>
    <w:rPr>
      <w:rFonts w:ascii="Calibri" w:hAnsi="Calibri" w:eastAsia="微软雅黑"/>
      <w:kern w:val="0"/>
      <w:sz w:val="18"/>
      <w:szCs w:val="18"/>
    </w:rPr>
  </w:style>
  <w:style w:type="paragraph" w:styleId="30">
    <w:name w:val="index 3"/>
    <w:basedOn w:val="1"/>
    <w:next w:val="1"/>
    <w:autoRedefine/>
    <w:qFormat/>
    <w:uiPriority w:val="99"/>
    <w:pPr>
      <w:ind w:left="630" w:hanging="210"/>
      <w:jc w:val="left"/>
    </w:pPr>
    <w:rPr>
      <w:sz w:val="20"/>
      <w:szCs w:val="20"/>
    </w:rPr>
  </w:style>
  <w:style w:type="paragraph" w:styleId="31">
    <w:name w:val="Date"/>
    <w:basedOn w:val="1"/>
    <w:next w:val="1"/>
    <w:link w:val="658"/>
    <w:autoRedefine/>
    <w:qFormat/>
    <w:uiPriority w:val="99"/>
    <w:pPr>
      <w:ind w:left="100" w:leftChars="2500"/>
    </w:pPr>
    <w:rPr>
      <w:rFonts w:ascii="Calibri" w:hAnsi="Calibri" w:eastAsia="宋体"/>
      <w:sz w:val="21"/>
      <w:szCs w:val="22"/>
    </w:rPr>
  </w:style>
  <w:style w:type="paragraph" w:styleId="32">
    <w:name w:val="Body Text Indent 2"/>
    <w:basedOn w:val="1"/>
    <w:link w:val="709"/>
    <w:autoRedefine/>
    <w:qFormat/>
    <w:uiPriority w:val="0"/>
    <w:pPr>
      <w:spacing w:line="360" w:lineRule="auto"/>
      <w:ind w:firstLine="560"/>
      <w:jc w:val="left"/>
    </w:pPr>
    <w:rPr>
      <w:rFonts w:ascii="仿宋_GB2312"/>
      <w:kern w:val="0"/>
      <w:sz w:val="28"/>
    </w:rPr>
  </w:style>
  <w:style w:type="paragraph" w:styleId="33">
    <w:name w:val="endnote text"/>
    <w:basedOn w:val="1"/>
    <w:link w:val="671"/>
    <w:autoRedefine/>
    <w:qFormat/>
    <w:uiPriority w:val="99"/>
    <w:pPr>
      <w:snapToGrid w:val="0"/>
      <w:jc w:val="left"/>
    </w:pPr>
    <w:rPr>
      <w:rFonts w:eastAsia="宋体"/>
      <w:sz w:val="24"/>
    </w:rPr>
  </w:style>
  <w:style w:type="paragraph" w:styleId="34">
    <w:name w:val="Balloon Text"/>
    <w:basedOn w:val="1"/>
    <w:link w:val="624"/>
    <w:autoRedefine/>
    <w:qFormat/>
    <w:uiPriority w:val="99"/>
    <w:rPr>
      <w:rFonts w:eastAsia="宋体"/>
      <w:sz w:val="18"/>
      <w:szCs w:val="18"/>
    </w:rPr>
  </w:style>
  <w:style w:type="paragraph" w:styleId="35">
    <w:name w:val="footer"/>
    <w:basedOn w:val="1"/>
    <w:link w:val="622"/>
    <w:autoRedefine/>
    <w:qFormat/>
    <w:uiPriority w:val="99"/>
    <w:pPr>
      <w:tabs>
        <w:tab w:val="center" w:pos="4153"/>
        <w:tab w:val="right" w:pos="8306"/>
      </w:tabs>
      <w:snapToGrid w:val="0"/>
      <w:jc w:val="left"/>
    </w:pPr>
    <w:rPr>
      <w:rFonts w:eastAsia="宋体"/>
      <w:sz w:val="18"/>
      <w:szCs w:val="20"/>
    </w:rPr>
  </w:style>
  <w:style w:type="paragraph" w:styleId="36">
    <w:name w:val="header"/>
    <w:basedOn w:val="1"/>
    <w:link w:val="517"/>
    <w:autoRedefine/>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37">
    <w:name w:val="toc 1"/>
    <w:basedOn w:val="1"/>
    <w:next w:val="1"/>
    <w:autoRedefine/>
    <w:qFormat/>
    <w:uiPriority w:val="39"/>
    <w:pPr>
      <w:spacing w:line="360" w:lineRule="auto"/>
    </w:pPr>
    <w:rPr>
      <w:rFonts w:eastAsia="黑体"/>
      <w:sz w:val="24"/>
    </w:rPr>
  </w:style>
  <w:style w:type="paragraph" w:styleId="38">
    <w:name w:val="toc 4"/>
    <w:basedOn w:val="1"/>
    <w:next w:val="1"/>
    <w:autoRedefine/>
    <w:unhideWhenUsed/>
    <w:qFormat/>
    <w:uiPriority w:val="39"/>
    <w:pPr>
      <w:widowControl/>
      <w:adjustRightInd w:val="0"/>
      <w:snapToGrid w:val="0"/>
      <w:ind w:left="660"/>
      <w:jc w:val="left"/>
    </w:pPr>
    <w:rPr>
      <w:rFonts w:ascii="Calibri" w:hAnsi="Calibri" w:eastAsia="微软雅黑"/>
      <w:kern w:val="0"/>
      <w:sz w:val="18"/>
      <w:szCs w:val="18"/>
    </w:rPr>
  </w:style>
  <w:style w:type="paragraph" w:styleId="39">
    <w:name w:val="index heading"/>
    <w:basedOn w:val="1"/>
    <w:next w:val="40"/>
    <w:autoRedefine/>
    <w:qFormat/>
    <w:uiPriority w:val="99"/>
    <w:pPr>
      <w:spacing w:before="120" w:after="120"/>
      <w:jc w:val="center"/>
    </w:pPr>
    <w:rPr>
      <w:b/>
      <w:bCs/>
      <w:szCs w:val="21"/>
    </w:rPr>
  </w:style>
  <w:style w:type="paragraph" w:styleId="40">
    <w:name w:val="index 1"/>
    <w:basedOn w:val="1"/>
    <w:next w:val="1"/>
    <w:autoRedefine/>
    <w:qFormat/>
    <w:uiPriority w:val="99"/>
    <w:rPr>
      <w:szCs w:val="21"/>
    </w:rPr>
  </w:style>
  <w:style w:type="paragraph" w:styleId="41">
    <w:name w:val="Subtitle"/>
    <w:basedOn w:val="1"/>
    <w:next w:val="1"/>
    <w:link w:val="675"/>
    <w:autoRedefine/>
    <w:qFormat/>
    <w:uiPriority w:val="99"/>
    <w:pPr>
      <w:widowControl/>
      <w:spacing w:after="60"/>
      <w:jc w:val="center"/>
      <w:outlineLvl w:val="1"/>
    </w:pPr>
    <w:rPr>
      <w:rFonts w:ascii="Cambria" w:hAnsi="Cambria" w:eastAsia="宋体"/>
      <w:kern w:val="0"/>
      <w:sz w:val="24"/>
    </w:rPr>
  </w:style>
  <w:style w:type="paragraph" w:styleId="42">
    <w:name w:val="footnote text"/>
    <w:basedOn w:val="1"/>
    <w:link w:val="730"/>
    <w:autoRedefine/>
    <w:qFormat/>
    <w:uiPriority w:val="99"/>
    <w:pPr>
      <w:widowControl/>
      <w:snapToGrid w:val="0"/>
      <w:jc w:val="left"/>
    </w:pPr>
    <w:rPr>
      <w:rFonts w:eastAsia="宋体"/>
      <w:kern w:val="0"/>
      <w:sz w:val="18"/>
      <w:szCs w:val="18"/>
      <w:lang w:eastAsia="en-US"/>
    </w:rPr>
  </w:style>
  <w:style w:type="paragraph" w:styleId="43">
    <w:name w:val="toc 6"/>
    <w:basedOn w:val="1"/>
    <w:next w:val="1"/>
    <w:autoRedefine/>
    <w:unhideWhenUsed/>
    <w:qFormat/>
    <w:uiPriority w:val="39"/>
    <w:pPr>
      <w:widowControl/>
      <w:adjustRightInd w:val="0"/>
      <w:snapToGrid w:val="0"/>
      <w:ind w:left="1100"/>
      <w:jc w:val="left"/>
    </w:pPr>
    <w:rPr>
      <w:rFonts w:ascii="Calibri" w:hAnsi="Calibri" w:eastAsia="微软雅黑"/>
      <w:kern w:val="0"/>
      <w:sz w:val="18"/>
      <w:szCs w:val="18"/>
    </w:rPr>
  </w:style>
  <w:style w:type="paragraph" w:styleId="44">
    <w:name w:val="Body Text Indent 3"/>
    <w:basedOn w:val="1"/>
    <w:link w:val="634"/>
    <w:autoRedefine/>
    <w:qFormat/>
    <w:uiPriority w:val="99"/>
    <w:pPr>
      <w:widowControl/>
      <w:ind w:firstLine="540"/>
      <w:jc w:val="left"/>
    </w:pPr>
    <w:rPr>
      <w:rFonts w:ascii="仿宋_GB2312" w:hAnsi="宋体"/>
      <w:kern w:val="0"/>
      <w:sz w:val="24"/>
      <w:lang w:eastAsia="en-US"/>
    </w:rPr>
  </w:style>
  <w:style w:type="paragraph" w:styleId="45">
    <w:name w:val="index 7"/>
    <w:basedOn w:val="1"/>
    <w:next w:val="1"/>
    <w:autoRedefine/>
    <w:qFormat/>
    <w:uiPriority w:val="99"/>
    <w:pPr>
      <w:ind w:left="1470" w:hanging="210"/>
      <w:jc w:val="left"/>
    </w:pPr>
    <w:rPr>
      <w:sz w:val="20"/>
      <w:szCs w:val="20"/>
    </w:rPr>
  </w:style>
  <w:style w:type="paragraph" w:styleId="46">
    <w:name w:val="index 9"/>
    <w:basedOn w:val="1"/>
    <w:next w:val="1"/>
    <w:autoRedefine/>
    <w:qFormat/>
    <w:uiPriority w:val="99"/>
    <w:pPr>
      <w:ind w:left="1890" w:hanging="210"/>
      <w:jc w:val="left"/>
    </w:pPr>
    <w:rPr>
      <w:sz w:val="20"/>
      <w:szCs w:val="20"/>
    </w:rPr>
  </w:style>
  <w:style w:type="paragraph" w:styleId="47">
    <w:name w:val="toc 2"/>
    <w:basedOn w:val="1"/>
    <w:next w:val="1"/>
    <w:autoRedefine/>
    <w:qFormat/>
    <w:uiPriority w:val="39"/>
    <w:pPr>
      <w:spacing w:line="360" w:lineRule="auto"/>
      <w:ind w:left="200" w:leftChars="200" w:firstLine="150" w:firstLineChars="150"/>
    </w:pPr>
    <w:rPr>
      <w:rFonts w:eastAsia="仿宋"/>
      <w:sz w:val="24"/>
    </w:rPr>
  </w:style>
  <w:style w:type="paragraph" w:styleId="48">
    <w:name w:val="toc 9"/>
    <w:basedOn w:val="1"/>
    <w:next w:val="1"/>
    <w:autoRedefine/>
    <w:unhideWhenUsed/>
    <w:qFormat/>
    <w:uiPriority w:val="39"/>
    <w:pPr>
      <w:widowControl/>
      <w:adjustRightInd w:val="0"/>
      <w:snapToGrid w:val="0"/>
      <w:ind w:left="1760"/>
      <w:jc w:val="left"/>
    </w:pPr>
    <w:rPr>
      <w:rFonts w:ascii="Calibri" w:hAnsi="Calibri" w:eastAsia="微软雅黑"/>
      <w:kern w:val="0"/>
      <w:sz w:val="18"/>
      <w:szCs w:val="18"/>
    </w:rPr>
  </w:style>
  <w:style w:type="paragraph" w:styleId="49">
    <w:name w:val="Body Text 2"/>
    <w:basedOn w:val="1"/>
    <w:link w:val="726"/>
    <w:autoRedefine/>
    <w:qFormat/>
    <w:uiPriority w:val="99"/>
    <w:rPr>
      <w:rFonts w:ascii="宋体" w:eastAsia="宋体"/>
      <w:spacing w:val="26"/>
      <w:szCs w:val="32"/>
    </w:rPr>
  </w:style>
  <w:style w:type="paragraph" w:styleId="50">
    <w:name w:val="HTML Preformatted"/>
    <w:basedOn w:val="1"/>
    <w:link w:val="705"/>
    <w:autoRedefine/>
    <w:qFormat/>
    <w:uiPriority w:val="0"/>
    <w:rPr>
      <w:rFonts w:ascii="Courier New" w:hAnsi="Courier New" w:eastAsia="宋体"/>
      <w:sz w:val="20"/>
      <w:szCs w:val="20"/>
    </w:rPr>
  </w:style>
  <w:style w:type="paragraph" w:styleId="51">
    <w:name w:val="Normal (Web)"/>
    <w:basedOn w:val="1"/>
    <w:autoRedefine/>
    <w:qFormat/>
    <w:uiPriority w:val="99"/>
    <w:pPr>
      <w:widowControl/>
      <w:spacing w:before="100" w:beforeAutospacing="1" w:after="100" w:afterAutospacing="1"/>
      <w:jc w:val="left"/>
    </w:pPr>
    <w:rPr>
      <w:rFonts w:ascii="宋体" w:hAnsi="宋体" w:cs="宋体"/>
      <w:kern w:val="0"/>
      <w:sz w:val="24"/>
      <w:lang w:eastAsia="en-US"/>
    </w:rPr>
  </w:style>
  <w:style w:type="paragraph" w:styleId="52">
    <w:name w:val="index 2"/>
    <w:basedOn w:val="1"/>
    <w:next w:val="1"/>
    <w:autoRedefine/>
    <w:qFormat/>
    <w:uiPriority w:val="99"/>
    <w:pPr>
      <w:ind w:left="420" w:hanging="210"/>
      <w:jc w:val="left"/>
    </w:pPr>
    <w:rPr>
      <w:sz w:val="20"/>
      <w:szCs w:val="20"/>
    </w:rPr>
  </w:style>
  <w:style w:type="paragraph" w:styleId="53">
    <w:name w:val="Title"/>
    <w:basedOn w:val="1"/>
    <w:next w:val="1"/>
    <w:link w:val="529"/>
    <w:autoRedefine/>
    <w:qFormat/>
    <w:uiPriority w:val="99"/>
    <w:pPr>
      <w:widowControl/>
      <w:spacing w:before="240" w:after="60"/>
      <w:jc w:val="center"/>
      <w:outlineLvl w:val="0"/>
    </w:pPr>
    <w:rPr>
      <w:rFonts w:ascii="Cambria" w:hAnsi="Cambria" w:eastAsia="宋体"/>
      <w:b/>
      <w:bCs/>
      <w:kern w:val="28"/>
      <w:szCs w:val="32"/>
    </w:rPr>
  </w:style>
  <w:style w:type="paragraph" w:styleId="54">
    <w:name w:val="annotation subject"/>
    <w:basedOn w:val="17"/>
    <w:next w:val="17"/>
    <w:link w:val="558"/>
    <w:autoRedefine/>
    <w:qFormat/>
    <w:uiPriority w:val="99"/>
    <w:rPr>
      <w:b/>
      <w:bCs/>
    </w:rPr>
  </w:style>
  <w:style w:type="paragraph" w:styleId="55">
    <w:name w:val="Body Text First Indent"/>
    <w:basedOn w:val="22"/>
    <w:link w:val="590"/>
    <w:autoRedefine/>
    <w:qFormat/>
    <w:uiPriority w:val="99"/>
    <w:pPr>
      <w:tabs>
        <w:tab w:val="left" w:pos="435"/>
      </w:tabs>
      <w:spacing w:after="50"/>
      <w:ind w:left="522" w:hanging="435"/>
      <w:jc w:val="both"/>
    </w:pPr>
    <w:rPr>
      <w:rFonts w:eastAsia="仿宋_GB2312"/>
      <w:kern w:val="2"/>
      <w:sz w:val="24"/>
      <w:szCs w:val="24"/>
    </w:rPr>
  </w:style>
  <w:style w:type="table" w:styleId="57">
    <w:name w:val="Table Grid"/>
    <w:basedOn w:val="56"/>
    <w:autoRedefine/>
    <w:qFormat/>
    <w:uiPriority w:val="9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8">
    <w:name w:val="Table Theme"/>
    <w:basedOn w:val="5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9">
    <w:name w:val="Table Simple 1"/>
    <w:basedOn w:val="56"/>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61">
    <w:name w:val="Strong"/>
    <w:autoRedefine/>
    <w:qFormat/>
    <w:uiPriority w:val="0"/>
    <w:rPr>
      <w:b/>
      <w:bCs/>
    </w:rPr>
  </w:style>
  <w:style w:type="character" w:styleId="62">
    <w:name w:val="endnote reference"/>
    <w:autoRedefine/>
    <w:qFormat/>
    <w:uiPriority w:val="0"/>
    <w:rPr>
      <w:vertAlign w:val="superscript"/>
    </w:rPr>
  </w:style>
  <w:style w:type="character" w:styleId="63">
    <w:name w:val="page number"/>
    <w:autoRedefine/>
    <w:qFormat/>
    <w:uiPriority w:val="0"/>
    <w:rPr>
      <w:rFonts w:ascii="Times New Roman" w:hAnsi="Times New Roman" w:eastAsia="宋体" w:cs="Times New Roman"/>
    </w:rPr>
  </w:style>
  <w:style w:type="character" w:styleId="64">
    <w:name w:val="FollowedHyperlink"/>
    <w:autoRedefine/>
    <w:unhideWhenUsed/>
    <w:qFormat/>
    <w:uiPriority w:val="99"/>
    <w:rPr>
      <w:color w:val="954F72"/>
      <w:u w:val="single"/>
    </w:rPr>
  </w:style>
  <w:style w:type="character" w:styleId="65">
    <w:name w:val="Emphasis"/>
    <w:autoRedefine/>
    <w:qFormat/>
    <w:uiPriority w:val="20"/>
    <w:rPr>
      <w:rFonts w:ascii="Calibri" w:hAnsi="Calibri" w:cs="Calibri"/>
      <w:b/>
      <w:bCs/>
      <w:i/>
      <w:iCs/>
    </w:rPr>
  </w:style>
  <w:style w:type="character" w:styleId="66">
    <w:name w:val="HTML Definition"/>
    <w:autoRedefine/>
    <w:qFormat/>
    <w:uiPriority w:val="0"/>
    <w:rPr>
      <w:i/>
      <w:iCs/>
    </w:rPr>
  </w:style>
  <w:style w:type="character" w:styleId="67">
    <w:name w:val="HTML Typewriter"/>
    <w:autoRedefine/>
    <w:qFormat/>
    <w:uiPriority w:val="0"/>
    <w:rPr>
      <w:rFonts w:ascii="Courier New" w:hAnsi="Courier New" w:cs="Courier New"/>
      <w:sz w:val="20"/>
      <w:szCs w:val="20"/>
    </w:rPr>
  </w:style>
  <w:style w:type="character" w:styleId="68">
    <w:name w:val="HTML Acronym"/>
    <w:autoRedefine/>
    <w:qFormat/>
    <w:uiPriority w:val="0"/>
  </w:style>
  <w:style w:type="character" w:styleId="69">
    <w:name w:val="HTML Variable"/>
    <w:autoRedefine/>
    <w:qFormat/>
    <w:uiPriority w:val="0"/>
    <w:rPr>
      <w:i/>
      <w:iCs/>
    </w:rPr>
  </w:style>
  <w:style w:type="character" w:styleId="70">
    <w:name w:val="Hyperlink"/>
    <w:autoRedefine/>
    <w:qFormat/>
    <w:uiPriority w:val="99"/>
    <w:rPr>
      <w:rFonts w:cs="Times New Roman"/>
      <w:color w:val="0000FF"/>
      <w:u w:val="single"/>
    </w:rPr>
  </w:style>
  <w:style w:type="character" w:styleId="71">
    <w:name w:val="HTML Code"/>
    <w:autoRedefine/>
    <w:qFormat/>
    <w:uiPriority w:val="0"/>
    <w:rPr>
      <w:rFonts w:ascii="Courier New" w:hAnsi="Courier New" w:cs="Courier New"/>
      <w:sz w:val="20"/>
      <w:szCs w:val="20"/>
    </w:rPr>
  </w:style>
  <w:style w:type="character" w:styleId="72">
    <w:name w:val="annotation reference"/>
    <w:autoRedefine/>
    <w:qFormat/>
    <w:uiPriority w:val="0"/>
    <w:rPr>
      <w:sz w:val="21"/>
      <w:szCs w:val="21"/>
    </w:rPr>
  </w:style>
  <w:style w:type="character" w:styleId="73">
    <w:name w:val="HTML Cite"/>
    <w:autoRedefine/>
    <w:qFormat/>
    <w:uiPriority w:val="0"/>
    <w:rPr>
      <w:i/>
      <w:iCs/>
    </w:rPr>
  </w:style>
  <w:style w:type="character" w:styleId="74">
    <w:name w:val="footnote reference"/>
    <w:autoRedefine/>
    <w:qFormat/>
    <w:uiPriority w:val="99"/>
    <w:rPr>
      <w:vertAlign w:val="superscript"/>
    </w:rPr>
  </w:style>
  <w:style w:type="character" w:styleId="75">
    <w:name w:val="HTML Keyboard"/>
    <w:autoRedefine/>
    <w:qFormat/>
    <w:uiPriority w:val="0"/>
    <w:rPr>
      <w:rFonts w:ascii="Courier New" w:hAnsi="Courier New" w:cs="Courier New"/>
      <w:sz w:val="20"/>
      <w:szCs w:val="20"/>
    </w:rPr>
  </w:style>
  <w:style w:type="character" w:styleId="76">
    <w:name w:val="HTML Sample"/>
    <w:autoRedefine/>
    <w:qFormat/>
    <w:uiPriority w:val="0"/>
    <w:rPr>
      <w:rFonts w:ascii="Courier New" w:hAnsi="Courier New" w:cs="Courier New"/>
    </w:rPr>
  </w:style>
  <w:style w:type="paragraph" w:customStyle="1" w:styleId="77">
    <w:name w:val="封面标准号1"/>
    <w:autoRedefine/>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78">
    <w:name w:val="附录公式"/>
    <w:basedOn w:val="79"/>
    <w:next w:val="79"/>
    <w:link w:val="673"/>
    <w:autoRedefine/>
    <w:qFormat/>
    <w:uiPriority w:val="99"/>
    <w:pPr>
      <w:tabs>
        <w:tab w:val="center" w:pos="4201"/>
        <w:tab w:val="right" w:leader="dot" w:pos="9298"/>
      </w:tabs>
      <w:ind w:firstLine="420"/>
    </w:pPr>
    <w:rPr>
      <w:rFonts w:ascii="Times New Roman"/>
      <w:sz w:val="20"/>
    </w:rPr>
  </w:style>
  <w:style w:type="paragraph" w:customStyle="1" w:styleId="79">
    <w:name w:val="段"/>
    <w:link w:val="74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0">
    <w:name w:val="xl31"/>
    <w:basedOn w:val="1"/>
    <w:autoRedefine/>
    <w:qFormat/>
    <w:uiPriority w:val="99"/>
    <w:pPr>
      <w:widowControl/>
      <w:pBdr>
        <w:left w:val="single" w:color="auto" w:sz="4" w:space="0"/>
      </w:pBdr>
      <w:spacing w:before="100" w:beforeAutospacing="1" w:after="100" w:afterAutospacing="1" w:line="240" w:lineRule="auto"/>
      <w:ind w:firstLine="0" w:firstLineChars="0"/>
      <w:jc w:val="left"/>
    </w:pPr>
    <w:rPr>
      <w:rFonts w:ascii="宋体" w:hAnsi="宋体" w:eastAsia="宋体"/>
      <w:kern w:val="0"/>
      <w:sz w:val="24"/>
    </w:rPr>
  </w:style>
  <w:style w:type="paragraph" w:customStyle="1" w:styleId="81">
    <w:name w:val="Char Char1 Char Char Char Char Char Char Char Char Char Char Char Char Char Char Char Char Char Char Char Char Char"/>
    <w:basedOn w:val="1"/>
    <w:autoRedefine/>
    <w:qFormat/>
    <w:uiPriority w:val="99"/>
    <w:pPr>
      <w:spacing w:line="360" w:lineRule="auto"/>
    </w:pPr>
    <w:rPr>
      <w:szCs w:val="21"/>
    </w:rPr>
  </w:style>
  <w:style w:type="paragraph" w:customStyle="1" w:styleId="82">
    <w:name w:val="Char"/>
    <w:basedOn w:val="1"/>
    <w:autoRedefine/>
    <w:qFormat/>
    <w:uiPriority w:val="99"/>
    <w:pPr>
      <w:widowControl/>
      <w:spacing w:after="160" w:line="240" w:lineRule="exact"/>
      <w:jc w:val="left"/>
    </w:pPr>
    <w:rPr>
      <w:szCs w:val="20"/>
    </w:rPr>
  </w:style>
  <w:style w:type="paragraph" w:customStyle="1" w:styleId="83">
    <w:name w:val="页脚1"/>
    <w:basedOn w:val="1"/>
    <w:link w:val="733"/>
    <w:autoRedefine/>
    <w:qFormat/>
    <w:uiPriority w:val="0"/>
    <w:pPr>
      <w:widowControl/>
      <w:snapToGrid w:val="0"/>
      <w:spacing w:line="240" w:lineRule="auto"/>
      <w:ind w:firstLine="0" w:firstLineChars="0"/>
      <w:jc w:val="left"/>
      <w:textAlignment w:val="baseline"/>
    </w:pPr>
    <w:rPr>
      <w:rFonts w:eastAsia="宋体"/>
      <w:kern w:val="0"/>
      <w:sz w:val="18"/>
      <w:szCs w:val="20"/>
    </w:rPr>
  </w:style>
  <w:style w:type="paragraph" w:customStyle="1" w:styleId="84">
    <w:name w:val="图的脚注"/>
    <w:next w:val="79"/>
    <w:autoRedefine/>
    <w:qFormat/>
    <w:uiPriority w:val="99"/>
    <w:pPr>
      <w:widowControl w:val="0"/>
      <w:ind w:left="840" w:leftChars="200" w:hanging="420" w:hangingChars="200"/>
      <w:jc w:val="both"/>
    </w:pPr>
    <w:rPr>
      <w:rFonts w:ascii="宋体" w:hAnsi="Times New Roman" w:eastAsia="宋体" w:cs="宋体"/>
      <w:sz w:val="18"/>
      <w:szCs w:val="18"/>
      <w:lang w:val="en-US" w:eastAsia="zh-CN" w:bidi="ar-SA"/>
    </w:rPr>
  </w:style>
  <w:style w:type="paragraph" w:customStyle="1" w:styleId="85">
    <w:name w:val="样式 样式 (西文) 仿宋_GB2312 (中文) 仿宋_GB2312 黑色 段前: 0.5 行 行距: 1.5 倍行距 首....."/>
    <w:basedOn w:val="1"/>
    <w:autoRedefine/>
    <w:qFormat/>
    <w:uiPriority w:val="99"/>
    <w:pPr>
      <w:adjustRightInd w:val="0"/>
      <w:snapToGrid w:val="0"/>
      <w:spacing w:afterLines="100" w:line="300" w:lineRule="auto"/>
    </w:pPr>
    <w:rPr>
      <w:rFonts w:cs="宋体"/>
      <w:color w:val="000000"/>
      <w:sz w:val="28"/>
      <w:szCs w:val="20"/>
    </w:rPr>
  </w:style>
  <w:style w:type="paragraph" w:customStyle="1" w:styleId="86">
    <w:name w:val="中文报告书样式"/>
    <w:basedOn w:val="1"/>
    <w:autoRedefine/>
    <w:qFormat/>
    <w:uiPriority w:val="99"/>
    <w:pPr>
      <w:adjustRightInd w:val="0"/>
      <w:spacing w:line="480" w:lineRule="atLeast"/>
      <w:ind w:firstLine="482" w:firstLineChars="0"/>
    </w:pPr>
    <w:rPr>
      <w:rFonts w:eastAsia="宋体"/>
      <w:kern w:val="24"/>
      <w:sz w:val="24"/>
      <w:szCs w:val="20"/>
    </w:rPr>
  </w:style>
  <w:style w:type="paragraph" w:customStyle="1" w:styleId="87">
    <w:name w:val="UserStyle_23"/>
    <w:basedOn w:val="1"/>
    <w:autoRedefine/>
    <w:qFormat/>
    <w:uiPriority w:val="99"/>
    <w:pPr>
      <w:widowControl/>
      <w:spacing w:line="240" w:lineRule="auto"/>
      <w:ind w:firstLine="420"/>
      <w:textAlignment w:val="baseline"/>
    </w:pPr>
    <w:rPr>
      <w:rFonts w:eastAsia="宋体"/>
      <w:sz w:val="21"/>
      <w:szCs w:val="20"/>
    </w:rPr>
  </w:style>
  <w:style w:type="paragraph" w:customStyle="1" w:styleId="88">
    <w:name w:val="列项——"/>
    <w:autoRedefine/>
    <w:qFormat/>
    <w:uiPriority w:val="99"/>
    <w:pPr>
      <w:widowControl w:val="0"/>
      <w:numPr>
        <w:ilvl w:val="0"/>
        <w:numId w:val="1"/>
      </w:numPr>
      <w:spacing w:after="200" w:line="276" w:lineRule="auto"/>
      <w:jc w:val="both"/>
    </w:pPr>
    <w:rPr>
      <w:rFonts w:ascii="宋体" w:hAnsi="Times New Roman" w:eastAsia="宋体" w:cs="宋体"/>
      <w:sz w:val="21"/>
      <w:szCs w:val="21"/>
      <w:lang w:val="en-US" w:eastAsia="zh-CN" w:bidi="ar-SA"/>
    </w:rPr>
  </w:style>
  <w:style w:type="paragraph" w:customStyle="1" w:styleId="89">
    <w:name w:val="封面正文"/>
    <w:autoRedefine/>
    <w:qFormat/>
    <w:uiPriority w:val="99"/>
    <w:pPr>
      <w:jc w:val="both"/>
    </w:pPr>
    <w:rPr>
      <w:rFonts w:ascii="Times New Roman" w:hAnsi="Times New Roman" w:eastAsia="宋体" w:cs="Times New Roman"/>
      <w:lang w:val="en-US" w:eastAsia="zh-CN" w:bidi="ar-SA"/>
    </w:rPr>
  </w:style>
  <w:style w:type="paragraph" w:customStyle="1" w:styleId="90">
    <w:name w:val="xl54"/>
    <w:basedOn w:val="1"/>
    <w:autoRedefine/>
    <w:qFormat/>
    <w:uiPriority w:val="99"/>
    <w:pPr>
      <w:widowControl/>
      <w:pBdr>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olor w:val="000000"/>
      <w:kern w:val="0"/>
      <w:sz w:val="24"/>
    </w:rPr>
  </w:style>
  <w:style w:type="paragraph" w:customStyle="1" w:styleId="91">
    <w:name w:val="列出段落2"/>
    <w:basedOn w:val="1"/>
    <w:autoRedefine/>
    <w:qFormat/>
    <w:uiPriority w:val="99"/>
    <w:pPr>
      <w:ind w:firstLine="420"/>
    </w:pPr>
    <w:rPr>
      <w:szCs w:val="21"/>
    </w:rPr>
  </w:style>
  <w:style w:type="paragraph" w:customStyle="1" w:styleId="92">
    <w:name w:val="xl9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20"/>
      <w:szCs w:val="20"/>
    </w:rPr>
  </w:style>
  <w:style w:type="paragraph" w:customStyle="1" w:styleId="93">
    <w:name w:val="xl53"/>
    <w:basedOn w:val="1"/>
    <w:autoRedefine/>
    <w:qFormat/>
    <w:uiPriority w:val="99"/>
    <w:pPr>
      <w:widowControl/>
      <w:pBdr>
        <w:bottom w:val="single" w:color="auto" w:sz="4" w:space="0"/>
      </w:pBdr>
      <w:spacing w:before="100" w:beforeAutospacing="1" w:after="100" w:afterAutospacing="1" w:line="240" w:lineRule="auto"/>
      <w:ind w:firstLine="0" w:firstLineChars="0"/>
    </w:pPr>
    <w:rPr>
      <w:rFonts w:eastAsia="宋体"/>
      <w:color w:val="000000"/>
      <w:kern w:val="0"/>
      <w:sz w:val="24"/>
    </w:rPr>
  </w:style>
  <w:style w:type="paragraph" w:customStyle="1" w:styleId="94">
    <w:name w:val="题注1"/>
    <w:basedOn w:val="1"/>
    <w:link w:val="591"/>
    <w:autoRedefine/>
    <w:qFormat/>
    <w:uiPriority w:val="0"/>
    <w:pPr>
      <w:spacing w:line="360" w:lineRule="auto"/>
      <w:jc w:val="center"/>
    </w:pPr>
    <w:rPr>
      <w:rFonts w:eastAsia="黑体"/>
      <w:sz w:val="24"/>
    </w:rPr>
  </w:style>
  <w:style w:type="paragraph" w:customStyle="1" w:styleId="95">
    <w:name w:val="Char Char Char Char Char Char Char Char Char1 Char Char Char Char Char Char Char Char Char Char Char Char Char"/>
    <w:basedOn w:val="2"/>
    <w:autoRedefine/>
    <w:qFormat/>
    <w:uiPriority w:val="99"/>
    <w:pPr>
      <w:keepLines w:val="0"/>
      <w:widowControl/>
      <w:snapToGrid w:val="0"/>
      <w:spacing w:before="240" w:after="240" w:line="348" w:lineRule="auto"/>
      <w:jc w:val="left"/>
    </w:pPr>
    <w:rPr>
      <w:rFonts w:ascii="Tahoma" w:hAnsi="Tahoma" w:cs="Tahoma"/>
      <w:kern w:val="2"/>
      <w:sz w:val="24"/>
      <w:szCs w:val="24"/>
    </w:rPr>
  </w:style>
  <w:style w:type="paragraph" w:customStyle="1" w:styleId="96">
    <w:name w:val="示例×："/>
    <w:basedOn w:val="97"/>
    <w:autoRedefine/>
    <w:qFormat/>
    <w:uiPriority w:val="99"/>
    <w:pPr>
      <w:numPr>
        <w:ilvl w:val="0"/>
        <w:numId w:val="0"/>
      </w:numPr>
      <w:spacing w:beforeLines="0" w:afterLines="0" w:line="240" w:lineRule="auto"/>
      <w:ind w:firstLine="363"/>
      <w:outlineLvl w:val="9"/>
    </w:pPr>
    <w:rPr>
      <w:rFonts w:ascii="宋体" w:eastAsia="宋体" w:cs="宋体"/>
      <w:sz w:val="18"/>
      <w:szCs w:val="18"/>
    </w:rPr>
  </w:style>
  <w:style w:type="paragraph" w:customStyle="1" w:styleId="97">
    <w:name w:val="章标题"/>
    <w:next w:val="79"/>
    <w:autoRedefine/>
    <w:qFormat/>
    <w:uiPriority w:val="99"/>
    <w:pPr>
      <w:numPr>
        <w:ilvl w:val="1"/>
        <w:numId w:val="2"/>
      </w:numPr>
      <w:spacing w:beforeLines="50" w:afterLines="50" w:line="276" w:lineRule="auto"/>
      <w:jc w:val="both"/>
      <w:outlineLvl w:val="1"/>
    </w:pPr>
    <w:rPr>
      <w:rFonts w:ascii="黑体" w:hAnsi="Times New Roman" w:eastAsia="黑体" w:cs="黑体"/>
      <w:sz w:val="21"/>
      <w:szCs w:val="21"/>
      <w:lang w:val="en-US" w:eastAsia="zh-CN" w:bidi="ar-SA"/>
    </w:rPr>
  </w:style>
  <w:style w:type="paragraph" w:customStyle="1" w:styleId="98">
    <w:name w:val="字母编号列项（一级）"/>
    <w:autoRedefine/>
    <w:qFormat/>
    <w:uiPriority w:val="99"/>
    <w:pPr>
      <w:tabs>
        <w:tab w:val="left" w:pos="840"/>
      </w:tabs>
      <w:ind w:left="839" w:hanging="419"/>
      <w:jc w:val="both"/>
    </w:pPr>
    <w:rPr>
      <w:rFonts w:ascii="宋体" w:hAnsi="Times New Roman" w:eastAsia="宋体" w:cs="宋体"/>
      <w:sz w:val="21"/>
      <w:szCs w:val="21"/>
      <w:lang w:val="en-US" w:eastAsia="zh-CN" w:bidi="ar-SA"/>
    </w:rPr>
  </w:style>
  <w:style w:type="paragraph" w:customStyle="1" w:styleId="99">
    <w:name w:val="目录标题格式"/>
    <w:basedOn w:val="1"/>
    <w:link w:val="685"/>
    <w:autoRedefine/>
    <w:qFormat/>
    <w:uiPriority w:val="0"/>
    <w:pPr>
      <w:spacing w:line="360" w:lineRule="auto"/>
      <w:ind w:firstLine="0" w:firstLineChars="0"/>
      <w:jc w:val="center"/>
    </w:pPr>
    <w:rPr>
      <w:rFonts w:ascii="宋体" w:hAnsi="宋体" w:eastAsia="宋体"/>
      <w:b/>
      <w:szCs w:val="32"/>
    </w:rPr>
  </w:style>
  <w:style w:type="paragraph" w:customStyle="1" w:styleId="100">
    <w:name w:val="xl9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4"/>
    </w:rPr>
  </w:style>
  <w:style w:type="paragraph" w:customStyle="1" w:styleId="101">
    <w:name w:val="正文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xl87"/>
    <w:basedOn w:val="1"/>
    <w:autoRedefine/>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03">
    <w:name w:val="xl100"/>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104">
    <w:name w:val="UserStyle_38"/>
    <w:basedOn w:val="1"/>
    <w:autoRedefine/>
    <w:qFormat/>
    <w:uiPriority w:val="99"/>
    <w:pPr>
      <w:widowControl/>
      <w:spacing w:line="240" w:lineRule="auto"/>
      <w:ind w:firstLine="0" w:firstLineChars="0"/>
      <w:textAlignment w:val="baseline"/>
    </w:pPr>
    <w:rPr>
      <w:rFonts w:eastAsia="宋体"/>
      <w:sz w:val="21"/>
    </w:rPr>
  </w:style>
  <w:style w:type="paragraph" w:customStyle="1" w:styleId="105">
    <w:name w:val="五级条标题"/>
    <w:basedOn w:val="106"/>
    <w:next w:val="79"/>
    <w:autoRedefine/>
    <w:qFormat/>
    <w:uiPriority w:val="0"/>
    <w:pPr>
      <w:numPr>
        <w:ilvl w:val="5"/>
      </w:numPr>
      <w:outlineLvl w:val="6"/>
    </w:pPr>
  </w:style>
  <w:style w:type="paragraph" w:customStyle="1" w:styleId="106">
    <w:name w:val="四级条标题"/>
    <w:basedOn w:val="107"/>
    <w:next w:val="79"/>
    <w:autoRedefine/>
    <w:qFormat/>
    <w:uiPriority w:val="0"/>
    <w:pPr>
      <w:numPr>
        <w:ilvl w:val="4"/>
      </w:numPr>
      <w:outlineLvl w:val="5"/>
    </w:pPr>
  </w:style>
  <w:style w:type="paragraph" w:customStyle="1" w:styleId="107">
    <w:name w:val="三级条标题"/>
    <w:basedOn w:val="108"/>
    <w:next w:val="79"/>
    <w:autoRedefine/>
    <w:qFormat/>
    <w:uiPriority w:val="0"/>
    <w:pPr>
      <w:numPr>
        <w:ilvl w:val="3"/>
      </w:numPr>
      <w:outlineLvl w:val="4"/>
    </w:pPr>
  </w:style>
  <w:style w:type="paragraph" w:customStyle="1" w:styleId="108">
    <w:name w:val="二级条标题"/>
    <w:basedOn w:val="109"/>
    <w:next w:val="79"/>
    <w:autoRedefine/>
    <w:qFormat/>
    <w:uiPriority w:val="0"/>
    <w:pPr>
      <w:spacing w:line="240" w:lineRule="auto"/>
      <w:jc w:val="left"/>
      <w:outlineLvl w:val="3"/>
    </w:pPr>
  </w:style>
  <w:style w:type="paragraph" w:customStyle="1" w:styleId="109">
    <w:name w:val="一级条标题"/>
    <w:basedOn w:val="97"/>
    <w:next w:val="79"/>
    <w:autoRedefine/>
    <w:qFormat/>
    <w:uiPriority w:val="0"/>
    <w:pPr>
      <w:numPr>
        <w:ilvl w:val="0"/>
        <w:numId w:val="0"/>
      </w:numPr>
      <w:spacing w:beforeLines="0" w:afterLines="0"/>
      <w:outlineLvl w:val="2"/>
    </w:pPr>
  </w:style>
  <w:style w:type="paragraph" w:customStyle="1" w:styleId="110">
    <w:name w:val="xl33"/>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olor w:val="000000"/>
      <w:kern w:val="0"/>
      <w:sz w:val="24"/>
    </w:rPr>
  </w:style>
  <w:style w:type="paragraph" w:customStyle="1" w:styleId="111">
    <w:name w:val="样式 正文文本缩进 + 首行缩进:  2 字符"/>
    <w:basedOn w:val="112"/>
    <w:autoRedefine/>
    <w:qFormat/>
    <w:uiPriority w:val="0"/>
    <w:pPr>
      <w:autoSpaceDE w:val="0"/>
      <w:autoSpaceDN w:val="0"/>
      <w:adjustRightInd w:val="0"/>
      <w:spacing w:after="0" w:line="240" w:lineRule="auto"/>
      <w:ind w:left="0" w:leftChars="0" w:firstLine="600"/>
    </w:pPr>
    <w:rPr>
      <w:rFonts w:cs="宋体"/>
      <w:kern w:val="0"/>
      <w:sz w:val="30"/>
      <w:szCs w:val="20"/>
    </w:rPr>
  </w:style>
  <w:style w:type="paragraph" w:customStyle="1" w:styleId="112">
    <w:name w:val="正文文本缩进1"/>
    <w:basedOn w:val="1"/>
    <w:autoRedefine/>
    <w:qFormat/>
    <w:uiPriority w:val="99"/>
    <w:pPr>
      <w:spacing w:after="120"/>
      <w:ind w:left="420" w:leftChars="200"/>
    </w:pPr>
    <w:rPr>
      <w:szCs w:val="21"/>
    </w:rPr>
  </w:style>
  <w:style w:type="paragraph" w:customStyle="1" w:styleId="113">
    <w:name w:val="xl7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14">
    <w:name w:val="正文图标题"/>
    <w:next w:val="79"/>
    <w:autoRedefine/>
    <w:qFormat/>
    <w:uiPriority w:val="99"/>
    <w:p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15">
    <w:name w:val="目次、索引正文"/>
    <w:autoRedefine/>
    <w:qFormat/>
    <w:uiPriority w:val="99"/>
    <w:pPr>
      <w:spacing w:line="320" w:lineRule="exact"/>
      <w:jc w:val="both"/>
    </w:pPr>
    <w:rPr>
      <w:rFonts w:ascii="宋体" w:hAnsi="Times New Roman" w:eastAsia="宋体" w:cs="宋体"/>
      <w:sz w:val="21"/>
      <w:szCs w:val="21"/>
      <w:lang w:val="en-US" w:eastAsia="zh-CN" w:bidi="ar-SA"/>
    </w:rPr>
  </w:style>
  <w:style w:type="paragraph" w:customStyle="1" w:styleId="116">
    <w:name w:val="无间隔1"/>
    <w:basedOn w:val="1"/>
    <w:next w:val="117"/>
    <w:autoRedefine/>
    <w:qFormat/>
    <w:uiPriority w:val="99"/>
    <w:pPr>
      <w:widowControl/>
      <w:jc w:val="left"/>
    </w:pPr>
    <w:rPr>
      <w:kern w:val="0"/>
      <w:sz w:val="24"/>
      <w:lang w:eastAsia="en-US"/>
    </w:rPr>
  </w:style>
  <w:style w:type="paragraph" w:customStyle="1" w:styleId="117">
    <w:name w:val="_Style 116"/>
    <w:link w:val="644"/>
    <w:autoRedefine/>
    <w:qFormat/>
    <w:uiPriority w:val="99"/>
    <w:rPr>
      <w:rFonts w:ascii="Times New Roman" w:hAnsi="Times New Roman" w:eastAsia="宋体" w:cs="Times New Roman"/>
      <w:sz w:val="22"/>
      <w:szCs w:val="22"/>
      <w:lang w:val="en-US" w:eastAsia="zh-CN" w:bidi="ar-SA"/>
    </w:rPr>
  </w:style>
  <w:style w:type="paragraph" w:customStyle="1" w:styleId="118">
    <w:name w:val="编号列项（三级）"/>
    <w:autoRedefine/>
    <w:qFormat/>
    <w:uiPriority w:val="99"/>
    <w:pPr>
      <w:tabs>
        <w:tab w:val="left" w:pos="0"/>
      </w:tabs>
      <w:ind w:left="1679" w:hanging="420"/>
    </w:pPr>
    <w:rPr>
      <w:rFonts w:ascii="宋体" w:hAnsi="Times New Roman" w:eastAsia="宋体" w:cs="宋体"/>
      <w:sz w:val="21"/>
      <w:szCs w:val="21"/>
      <w:lang w:val="en-US" w:eastAsia="zh-CN" w:bidi="ar-SA"/>
    </w:rPr>
  </w:style>
  <w:style w:type="paragraph" w:customStyle="1" w:styleId="119">
    <w:name w:val="附件栏"/>
    <w:basedOn w:val="1"/>
    <w:autoRedefine/>
    <w:qFormat/>
    <w:uiPriority w:val="99"/>
    <w:pPr>
      <w:autoSpaceDE w:val="0"/>
      <w:autoSpaceDN w:val="0"/>
      <w:snapToGrid w:val="0"/>
      <w:spacing w:line="590" w:lineRule="atLeast"/>
      <w:ind w:firstLine="624" w:firstLineChars="0"/>
    </w:pPr>
    <w:rPr>
      <w:rFonts w:eastAsia="方正仿宋_GBK"/>
      <w:snapToGrid w:val="0"/>
      <w:kern w:val="0"/>
      <w:szCs w:val="20"/>
    </w:rPr>
  </w:style>
  <w:style w:type="paragraph" w:customStyle="1" w:styleId="120">
    <w:name w:val="p17"/>
    <w:basedOn w:val="1"/>
    <w:autoRedefine/>
    <w:qFormat/>
    <w:uiPriority w:val="99"/>
    <w:pPr>
      <w:widowControl/>
      <w:spacing w:line="240" w:lineRule="auto"/>
      <w:ind w:firstLine="0" w:firstLineChars="0"/>
    </w:pPr>
    <w:rPr>
      <w:rFonts w:eastAsia="宋体"/>
      <w:kern w:val="0"/>
      <w:sz w:val="21"/>
      <w:szCs w:val="21"/>
    </w:rPr>
  </w:style>
  <w:style w:type="paragraph" w:customStyle="1" w:styleId="121">
    <w:name w:val="封面标准代替信息"/>
    <w:autoRedefine/>
    <w:qFormat/>
    <w:uiPriority w:val="99"/>
    <w:pPr>
      <w:spacing w:before="57" w:line="280" w:lineRule="exact"/>
      <w:jc w:val="right"/>
    </w:pPr>
    <w:rPr>
      <w:rFonts w:ascii="宋体" w:hAnsi="Times New Roman" w:eastAsia="宋体" w:cs="宋体"/>
      <w:sz w:val="21"/>
      <w:szCs w:val="21"/>
      <w:lang w:val="en-US" w:eastAsia="zh-CN" w:bidi="ar-SA"/>
    </w:rPr>
  </w:style>
  <w:style w:type="paragraph" w:customStyle="1" w:styleId="122">
    <w:name w:val="其他标准标志"/>
    <w:basedOn w:val="123"/>
    <w:autoRedefine/>
    <w:qFormat/>
    <w:uiPriority w:val="99"/>
    <w:rPr>
      <w:w w:val="130"/>
    </w:rPr>
  </w:style>
  <w:style w:type="paragraph" w:customStyle="1" w:styleId="123">
    <w:name w:val="标准标志"/>
    <w:next w:val="1"/>
    <w:autoRedefine/>
    <w:qFormat/>
    <w:uiPriority w:val="99"/>
    <w:pPr>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124">
    <w:name w:val="xl45"/>
    <w:basedOn w:val="1"/>
    <w:autoRedefine/>
    <w:qFormat/>
    <w:uiPriority w:val="99"/>
    <w:pPr>
      <w:widowControl/>
      <w:spacing w:before="100" w:beforeAutospacing="1" w:after="100" w:afterAutospacing="1" w:line="240" w:lineRule="auto"/>
      <w:ind w:firstLine="0" w:firstLineChars="0"/>
      <w:jc w:val="center"/>
    </w:pPr>
    <w:rPr>
      <w:rFonts w:eastAsia="宋体"/>
      <w:color w:val="000000"/>
      <w:kern w:val="0"/>
      <w:sz w:val="40"/>
      <w:szCs w:val="40"/>
    </w:rPr>
  </w:style>
  <w:style w:type="paragraph" w:customStyle="1" w:styleId="125">
    <w:name w:val="xl44"/>
    <w:basedOn w:val="1"/>
    <w:autoRedefine/>
    <w:qFormat/>
    <w:uiPriority w:val="99"/>
    <w:pPr>
      <w:widowControl/>
      <w:pBdr>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kern w:val="0"/>
      <w:sz w:val="24"/>
    </w:rPr>
  </w:style>
  <w:style w:type="paragraph" w:customStyle="1" w:styleId="126">
    <w:name w:val="xl76"/>
    <w:basedOn w:val="1"/>
    <w:autoRedefine/>
    <w:qFormat/>
    <w:uiPriority w:val="99"/>
    <w:pPr>
      <w:widowControl/>
      <w:spacing w:before="100" w:beforeAutospacing="1" w:after="100" w:afterAutospacing="1"/>
      <w:jc w:val="center"/>
    </w:pPr>
    <w:rPr>
      <w:rFonts w:ascii="宋体" w:hAnsi="宋体" w:cs="宋体"/>
      <w:kern w:val="0"/>
      <w:sz w:val="18"/>
      <w:szCs w:val="18"/>
    </w:rPr>
  </w:style>
  <w:style w:type="paragraph" w:customStyle="1" w:styleId="127">
    <w:name w:val="附录五级条标题"/>
    <w:basedOn w:val="128"/>
    <w:next w:val="79"/>
    <w:autoRedefine/>
    <w:qFormat/>
    <w:uiPriority w:val="0"/>
    <w:pPr>
      <w:tabs>
        <w:tab w:val="left" w:pos="360"/>
      </w:tabs>
      <w:outlineLvl w:val="6"/>
    </w:pPr>
  </w:style>
  <w:style w:type="paragraph" w:customStyle="1" w:styleId="128">
    <w:name w:val="附录四级条标题"/>
    <w:basedOn w:val="129"/>
    <w:next w:val="79"/>
    <w:autoRedefine/>
    <w:qFormat/>
    <w:uiPriority w:val="0"/>
    <w:pPr>
      <w:tabs>
        <w:tab w:val="left" w:pos="360"/>
      </w:tabs>
      <w:outlineLvl w:val="5"/>
    </w:pPr>
  </w:style>
  <w:style w:type="paragraph" w:customStyle="1" w:styleId="129">
    <w:name w:val="附录三级条标题"/>
    <w:basedOn w:val="130"/>
    <w:next w:val="79"/>
    <w:autoRedefine/>
    <w:qFormat/>
    <w:uiPriority w:val="0"/>
    <w:pPr>
      <w:tabs>
        <w:tab w:val="left" w:pos="360"/>
      </w:tabs>
      <w:outlineLvl w:val="4"/>
    </w:pPr>
  </w:style>
  <w:style w:type="paragraph" w:customStyle="1" w:styleId="130">
    <w:name w:val="附录二级条标题"/>
    <w:basedOn w:val="1"/>
    <w:next w:val="79"/>
    <w:autoRedefine/>
    <w:qFormat/>
    <w:uiPriority w:val="99"/>
    <w:pPr>
      <w:widowControl/>
      <w:tabs>
        <w:tab w:val="left" w:pos="360"/>
      </w:tabs>
      <w:wordWrap w:val="0"/>
      <w:overflowPunct w:val="0"/>
      <w:autoSpaceDE w:val="0"/>
      <w:autoSpaceDN w:val="0"/>
      <w:spacing w:beforeLines="50" w:afterLines="50"/>
      <w:ind w:left="4620"/>
      <w:textAlignment w:val="baseline"/>
      <w:outlineLvl w:val="3"/>
    </w:pPr>
    <w:rPr>
      <w:rFonts w:ascii="黑体" w:eastAsia="黑体" w:cs="黑体"/>
      <w:kern w:val="21"/>
      <w:szCs w:val="21"/>
    </w:rPr>
  </w:style>
  <w:style w:type="paragraph" w:customStyle="1" w:styleId="131">
    <w:name w:val="一级标题"/>
    <w:basedOn w:val="1"/>
    <w:next w:val="1"/>
    <w:autoRedefine/>
    <w:qFormat/>
    <w:uiPriority w:val="0"/>
    <w:pPr>
      <w:widowControl/>
      <w:adjustRightInd w:val="0"/>
      <w:snapToGrid w:val="0"/>
      <w:spacing w:before="50" w:beforeLines="50" w:after="50" w:afterLines="50" w:line="600" w:lineRule="exact"/>
      <w:textAlignment w:val="baseline"/>
    </w:pPr>
    <w:rPr>
      <w:rFonts w:eastAsia="黑体"/>
      <w:sz w:val="28"/>
      <w:szCs w:val="20"/>
    </w:rPr>
  </w:style>
  <w:style w:type="paragraph" w:customStyle="1" w:styleId="132">
    <w:name w:val="UserStyle_27"/>
    <w:basedOn w:val="1"/>
    <w:autoRedefine/>
    <w:qFormat/>
    <w:uiPriority w:val="99"/>
    <w:pPr>
      <w:widowControl/>
      <w:spacing w:line="240" w:lineRule="auto"/>
      <w:ind w:firstLine="0" w:firstLineChars="0"/>
      <w:textAlignment w:val="baseline"/>
    </w:pPr>
    <w:rPr>
      <w:rFonts w:ascii="仿宋_GB2312" w:hAnsi="宋体"/>
      <w:kern w:val="0"/>
      <w:szCs w:val="32"/>
    </w:rPr>
  </w:style>
  <w:style w:type="paragraph" w:customStyle="1" w:styleId="133">
    <w:name w:val="列项说明"/>
    <w:basedOn w:val="1"/>
    <w:autoRedefine/>
    <w:qFormat/>
    <w:uiPriority w:val="99"/>
    <w:pPr>
      <w:adjustRightInd w:val="0"/>
      <w:spacing w:line="320" w:lineRule="exact"/>
      <w:ind w:left="400" w:leftChars="200" w:hanging="200" w:hangingChars="200"/>
      <w:jc w:val="left"/>
      <w:textAlignment w:val="baseline"/>
    </w:pPr>
    <w:rPr>
      <w:rFonts w:ascii="宋体" w:cs="宋体"/>
      <w:kern w:val="0"/>
      <w:szCs w:val="21"/>
    </w:rPr>
  </w:style>
  <w:style w:type="paragraph" w:customStyle="1" w:styleId="134">
    <w:name w:val="xl49"/>
    <w:basedOn w:val="1"/>
    <w:autoRedefine/>
    <w:qFormat/>
    <w:uiPriority w:val="99"/>
    <w:pPr>
      <w:widowControl/>
      <w:pBdr>
        <w:left w:val="single" w:color="auto" w:sz="4" w:space="0"/>
        <w:right w:val="single" w:color="auto" w:sz="4" w:space="0"/>
      </w:pBdr>
      <w:spacing w:before="100" w:beforeAutospacing="1" w:after="100" w:afterAutospacing="1" w:line="240" w:lineRule="auto"/>
      <w:ind w:firstLine="0" w:firstLineChars="0"/>
      <w:jc w:val="right"/>
    </w:pPr>
    <w:rPr>
      <w:rFonts w:ascii="宋体" w:hAnsi="宋体" w:eastAsia="宋体"/>
      <w:color w:val="000000"/>
      <w:kern w:val="0"/>
      <w:sz w:val="24"/>
    </w:rPr>
  </w:style>
  <w:style w:type="paragraph" w:customStyle="1" w:styleId="135">
    <w:name w:val="二级无标题条"/>
    <w:basedOn w:val="1"/>
    <w:autoRedefine/>
    <w:qFormat/>
    <w:uiPriority w:val="99"/>
    <w:pPr>
      <w:tabs>
        <w:tab w:val="left" w:pos="1140"/>
      </w:tabs>
      <w:ind w:left="726" w:hanging="363"/>
    </w:pPr>
    <w:rPr>
      <w:szCs w:val="21"/>
    </w:rPr>
  </w:style>
  <w:style w:type="paragraph" w:customStyle="1" w:styleId="136">
    <w:name w:val="附录表标号"/>
    <w:basedOn w:val="1"/>
    <w:next w:val="79"/>
    <w:autoRedefine/>
    <w:qFormat/>
    <w:uiPriority w:val="99"/>
    <w:pPr>
      <w:spacing w:line="14" w:lineRule="exact"/>
      <w:ind w:left="811" w:hanging="448"/>
      <w:jc w:val="center"/>
      <w:outlineLvl w:val="0"/>
    </w:pPr>
    <w:rPr>
      <w:color w:val="FFFFFF"/>
      <w:szCs w:val="21"/>
    </w:rPr>
  </w:style>
  <w:style w:type="paragraph" w:customStyle="1" w:styleId="137">
    <w:name w:val="附录一级条标题"/>
    <w:basedOn w:val="138"/>
    <w:next w:val="79"/>
    <w:autoRedefine/>
    <w:qFormat/>
    <w:uiPriority w:val="99"/>
    <w:pPr>
      <w:autoSpaceDN w:val="0"/>
      <w:spacing w:beforeLines="50" w:afterLines="50"/>
      <w:ind w:left="210"/>
      <w:outlineLvl w:val="2"/>
    </w:pPr>
  </w:style>
  <w:style w:type="paragraph" w:customStyle="1" w:styleId="138">
    <w:name w:val="附录章标题"/>
    <w:next w:val="79"/>
    <w:autoRedefine/>
    <w:qFormat/>
    <w:uiPriority w:val="99"/>
    <w:pPr>
      <w:wordWrap w:val="0"/>
      <w:overflowPunct w:val="0"/>
      <w:autoSpaceDE w:val="0"/>
      <w:spacing w:beforeLines="100" w:afterLines="100"/>
      <w:ind w:left="315"/>
      <w:jc w:val="both"/>
      <w:textAlignment w:val="baseline"/>
      <w:outlineLvl w:val="1"/>
    </w:pPr>
    <w:rPr>
      <w:rFonts w:ascii="黑体" w:hAnsi="Times New Roman" w:eastAsia="黑体" w:cs="黑体"/>
      <w:kern w:val="21"/>
      <w:sz w:val="21"/>
      <w:szCs w:val="21"/>
      <w:lang w:val="en-US" w:eastAsia="zh-CN" w:bidi="ar-SA"/>
    </w:rPr>
  </w:style>
  <w:style w:type="paragraph" w:customStyle="1" w:styleId="139">
    <w:name w:val="附录字母编号列项（一级）"/>
    <w:autoRedefine/>
    <w:qFormat/>
    <w:uiPriority w:val="99"/>
    <w:pPr>
      <w:tabs>
        <w:tab w:val="left" w:pos="839"/>
      </w:tabs>
      <w:ind w:left="839" w:hanging="419"/>
    </w:pPr>
    <w:rPr>
      <w:rFonts w:ascii="宋体" w:hAnsi="Times New Roman" w:eastAsia="宋体" w:cs="宋体"/>
      <w:sz w:val="21"/>
      <w:szCs w:val="21"/>
      <w:lang w:val="en-US" w:eastAsia="zh-CN" w:bidi="ar-SA"/>
    </w:rPr>
  </w:style>
  <w:style w:type="paragraph" w:customStyle="1" w:styleId="140">
    <w:name w:val="附录图标题"/>
    <w:basedOn w:val="1"/>
    <w:next w:val="79"/>
    <w:autoRedefine/>
    <w:qFormat/>
    <w:uiPriority w:val="99"/>
    <w:pPr>
      <w:tabs>
        <w:tab w:val="left" w:pos="363"/>
      </w:tabs>
      <w:spacing w:beforeLines="50" w:afterLines="50"/>
      <w:jc w:val="center"/>
    </w:pPr>
    <w:rPr>
      <w:rFonts w:ascii="黑体" w:eastAsia="黑体" w:cs="黑体"/>
      <w:szCs w:val="21"/>
    </w:rPr>
  </w:style>
  <w:style w:type="paragraph" w:customStyle="1" w:styleId="141">
    <w:name w:val="列表段落1"/>
    <w:basedOn w:val="1"/>
    <w:autoRedefine/>
    <w:qFormat/>
    <w:uiPriority w:val="99"/>
    <w:pPr>
      <w:spacing w:line="240" w:lineRule="auto"/>
      <w:ind w:firstLine="420"/>
    </w:pPr>
    <w:rPr>
      <w:rFonts w:ascii="Calibri" w:hAnsi="Calibri" w:eastAsia="宋体"/>
      <w:sz w:val="21"/>
      <w:szCs w:val="22"/>
    </w:rPr>
  </w:style>
  <w:style w:type="paragraph" w:customStyle="1" w:styleId="142">
    <w:name w:val="标准书脚_奇数页"/>
    <w:autoRedefine/>
    <w:qFormat/>
    <w:uiPriority w:val="99"/>
    <w:pPr>
      <w:spacing w:before="120"/>
      <w:ind w:right="198"/>
      <w:jc w:val="right"/>
    </w:pPr>
    <w:rPr>
      <w:rFonts w:ascii="宋体" w:hAnsi="Times New Roman" w:eastAsia="宋体" w:cs="宋体"/>
      <w:sz w:val="18"/>
      <w:szCs w:val="18"/>
      <w:lang w:val="en-US" w:eastAsia="zh-CN" w:bidi="ar-SA"/>
    </w:rPr>
  </w:style>
  <w:style w:type="paragraph" w:customStyle="1" w:styleId="143">
    <w:name w:val="其他发布部门"/>
    <w:basedOn w:val="144"/>
    <w:autoRedefine/>
    <w:qFormat/>
    <w:uiPriority w:val="99"/>
    <w:pPr>
      <w:spacing w:line="240" w:lineRule="atLeast"/>
    </w:pPr>
    <w:rPr>
      <w:rFonts w:ascii="黑体" w:eastAsia="黑体" w:cs="黑体"/>
      <w:b w:val="0"/>
      <w:bCs w:val="0"/>
    </w:rPr>
  </w:style>
  <w:style w:type="paragraph" w:customStyle="1" w:styleId="144">
    <w:name w:val="发布部门"/>
    <w:next w:val="79"/>
    <w:autoRedefine/>
    <w:qFormat/>
    <w:uiPriority w:val="99"/>
    <w:pPr>
      <w:jc w:val="center"/>
    </w:pPr>
    <w:rPr>
      <w:rFonts w:ascii="宋体" w:hAnsi="Times New Roman" w:eastAsia="宋体" w:cs="宋体"/>
      <w:b/>
      <w:bCs/>
      <w:spacing w:val="20"/>
      <w:w w:val="135"/>
      <w:sz w:val="28"/>
      <w:szCs w:val="28"/>
      <w:lang w:val="en-US" w:eastAsia="zh-CN" w:bidi="ar-SA"/>
    </w:rPr>
  </w:style>
  <w:style w:type="paragraph" w:customStyle="1" w:styleId="145">
    <w:name w:val="Body text|1"/>
    <w:basedOn w:val="1"/>
    <w:autoRedefine/>
    <w:qFormat/>
    <w:uiPriority w:val="0"/>
    <w:pPr>
      <w:spacing w:after="40" w:line="374" w:lineRule="auto"/>
      <w:ind w:firstLine="400"/>
    </w:pPr>
    <w:rPr>
      <w:rFonts w:ascii="宋体" w:hAnsi="宋体" w:eastAsia="宋体" w:cs="宋体"/>
      <w:sz w:val="20"/>
      <w:szCs w:val="20"/>
      <w:lang w:val="zh-TW" w:eastAsia="zh-TW" w:bidi="zh-TW"/>
    </w:rPr>
  </w:style>
  <w:style w:type="paragraph" w:customStyle="1" w:styleId="146">
    <w:name w:val="表头"/>
    <w:basedOn w:val="147"/>
    <w:autoRedefine/>
    <w:qFormat/>
    <w:uiPriority w:val="99"/>
    <w:pPr>
      <w:spacing w:before="120"/>
      <w:jc w:val="center"/>
    </w:pPr>
  </w:style>
  <w:style w:type="paragraph" w:customStyle="1" w:styleId="147">
    <w:name w:val="标准2"/>
    <w:basedOn w:val="1"/>
    <w:autoRedefine/>
    <w:qFormat/>
    <w:uiPriority w:val="99"/>
    <w:pPr>
      <w:spacing w:line="440" w:lineRule="exact"/>
      <w:ind w:firstLine="425" w:firstLineChars="0"/>
    </w:pPr>
    <w:rPr>
      <w:rFonts w:ascii="仿宋_GB2312" w:hAnsi="宋体"/>
      <w:sz w:val="28"/>
      <w:szCs w:val="20"/>
    </w:rPr>
  </w:style>
  <w:style w:type="paragraph" w:customStyle="1" w:styleId="148">
    <w:name w:val="标准1"/>
    <w:basedOn w:val="1"/>
    <w:autoRedefine/>
    <w:qFormat/>
    <w:uiPriority w:val="99"/>
    <w:pPr>
      <w:spacing w:before="120" w:line="440" w:lineRule="exact"/>
      <w:ind w:firstLine="0" w:firstLineChars="0"/>
    </w:pPr>
    <w:rPr>
      <w:rFonts w:ascii="仿宋_GB2312" w:hAnsi="宋体"/>
      <w:b/>
      <w:sz w:val="28"/>
      <w:szCs w:val="20"/>
    </w:rPr>
  </w:style>
  <w:style w:type="paragraph" w:customStyle="1" w:styleId="149">
    <w:name w:val="标题 21"/>
    <w:basedOn w:val="1"/>
    <w:autoRedefine/>
    <w:qFormat/>
    <w:uiPriority w:val="1"/>
    <w:pPr>
      <w:ind w:left="120"/>
      <w:jc w:val="left"/>
      <w:outlineLvl w:val="2"/>
    </w:pPr>
    <w:rPr>
      <w:rFonts w:ascii="仿宋" w:hAnsi="仿宋" w:eastAsia="仿宋"/>
      <w:kern w:val="0"/>
      <w:sz w:val="28"/>
      <w:szCs w:val="28"/>
      <w:lang w:eastAsia="en-US"/>
    </w:rPr>
  </w:style>
  <w:style w:type="paragraph" w:customStyle="1" w:styleId="150">
    <w:name w:val="xl43"/>
    <w:basedOn w:val="1"/>
    <w:autoRedefine/>
    <w:qFormat/>
    <w:uiPriority w:val="99"/>
    <w:pPr>
      <w:widowControl/>
      <w:pBdr>
        <w:bottom w:val="single" w:color="auto" w:sz="4" w:space="0"/>
      </w:pBdr>
      <w:spacing w:before="100" w:beforeAutospacing="1" w:after="100" w:afterAutospacing="1" w:line="240" w:lineRule="auto"/>
      <w:ind w:firstLine="0" w:firstLineChars="0"/>
      <w:jc w:val="left"/>
    </w:pPr>
    <w:rPr>
      <w:rFonts w:ascii="宋体" w:hAnsi="宋体" w:eastAsia="宋体"/>
      <w:kern w:val="0"/>
      <w:sz w:val="24"/>
    </w:rPr>
  </w:style>
  <w:style w:type="paragraph" w:customStyle="1" w:styleId="151">
    <w:name w:val="Acetate"/>
    <w:basedOn w:val="1"/>
    <w:link w:val="630"/>
    <w:autoRedefine/>
    <w:qFormat/>
    <w:uiPriority w:val="0"/>
    <w:pPr>
      <w:widowControl/>
      <w:spacing w:line="240" w:lineRule="auto"/>
      <w:ind w:firstLine="0" w:firstLineChars="0"/>
      <w:textAlignment w:val="baseline"/>
    </w:pPr>
    <w:rPr>
      <w:rFonts w:eastAsia="宋体"/>
      <w:kern w:val="0"/>
      <w:sz w:val="18"/>
      <w:szCs w:val="20"/>
    </w:rPr>
  </w:style>
  <w:style w:type="paragraph" w:customStyle="1" w:styleId="152">
    <w:name w:val="xl30"/>
    <w:basedOn w:val="1"/>
    <w:autoRedefine/>
    <w:qFormat/>
    <w:uiPriority w:val="99"/>
    <w:pPr>
      <w:widowControl/>
      <w:pBdr>
        <w:right w:val="single" w:color="auto" w:sz="4" w:space="0"/>
      </w:pBdr>
      <w:spacing w:before="100" w:beforeAutospacing="1" w:after="100" w:afterAutospacing="1" w:line="240" w:lineRule="auto"/>
      <w:ind w:firstLine="0" w:firstLineChars="0"/>
      <w:jc w:val="left"/>
    </w:pPr>
    <w:rPr>
      <w:rFonts w:ascii="宋体" w:hAnsi="宋体" w:eastAsia="宋体"/>
      <w:kern w:val="0"/>
      <w:sz w:val="24"/>
    </w:rPr>
  </w:style>
  <w:style w:type="paragraph" w:customStyle="1" w:styleId="153">
    <w:name w:val="TOC1"/>
    <w:basedOn w:val="1"/>
    <w:next w:val="1"/>
    <w:autoRedefine/>
    <w:qFormat/>
    <w:uiPriority w:val="99"/>
    <w:pPr>
      <w:widowControl/>
      <w:spacing w:line="276" w:lineRule="auto"/>
      <w:ind w:left="-282" w:leftChars="-135" w:right="-94" w:rightChars="-94" w:hanging="1" w:firstLineChars="0"/>
      <w:textAlignment w:val="baseline"/>
    </w:pPr>
    <w:rPr>
      <w:rFonts w:eastAsia="黑体"/>
      <w:sz w:val="28"/>
      <w:szCs w:val="20"/>
    </w:rPr>
  </w:style>
  <w:style w:type="paragraph" w:customStyle="1" w:styleId="154">
    <w:name w:val="xl8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55">
    <w:name w:val="font6"/>
    <w:basedOn w:val="1"/>
    <w:autoRedefine/>
    <w:qFormat/>
    <w:uiPriority w:val="99"/>
    <w:pPr>
      <w:widowControl/>
      <w:spacing w:before="100" w:beforeAutospacing="1" w:after="100" w:afterAutospacing="1" w:line="240" w:lineRule="auto"/>
      <w:ind w:firstLine="0" w:firstLineChars="0"/>
      <w:jc w:val="left"/>
    </w:pPr>
    <w:rPr>
      <w:rFonts w:eastAsia="宋体"/>
      <w:color w:val="000000"/>
      <w:kern w:val="0"/>
      <w:sz w:val="24"/>
    </w:rPr>
  </w:style>
  <w:style w:type="paragraph" w:customStyle="1" w:styleId="156">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7">
    <w:name w:val="xl26"/>
    <w:basedOn w:val="1"/>
    <w:autoRedefine/>
    <w:qFormat/>
    <w:uiPriority w:val="99"/>
    <w:pPr>
      <w:widowControl/>
      <w:pBdr>
        <w:top w:val="single" w:color="auto" w:sz="4" w:space="0"/>
      </w:pBdr>
      <w:spacing w:before="100" w:beforeAutospacing="1" w:after="100" w:afterAutospacing="1" w:line="240" w:lineRule="auto"/>
      <w:ind w:firstLine="0" w:firstLineChars="0"/>
      <w:jc w:val="right"/>
    </w:pPr>
    <w:rPr>
      <w:rFonts w:eastAsia="宋体"/>
      <w:kern w:val="0"/>
      <w:sz w:val="21"/>
      <w:szCs w:val="21"/>
    </w:rPr>
  </w:style>
  <w:style w:type="paragraph" w:customStyle="1" w:styleId="158">
    <w:name w:val="1级描述"/>
    <w:basedOn w:val="1"/>
    <w:autoRedefine/>
    <w:qFormat/>
    <w:uiPriority w:val="99"/>
    <w:pPr>
      <w:spacing w:line="240" w:lineRule="auto"/>
      <w:ind w:firstLine="420" w:firstLineChars="0"/>
    </w:pPr>
    <w:rPr>
      <w:rFonts w:eastAsia="宋体"/>
      <w:sz w:val="21"/>
    </w:rPr>
  </w:style>
  <w:style w:type="paragraph" w:customStyle="1" w:styleId="159">
    <w:name w:val="xl5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pPr>
    <w:rPr>
      <w:rFonts w:ascii="宋体" w:hAnsi="宋体" w:eastAsia="宋体"/>
      <w:color w:val="000000"/>
      <w:kern w:val="0"/>
      <w:sz w:val="24"/>
    </w:rPr>
  </w:style>
  <w:style w:type="paragraph" w:customStyle="1" w:styleId="160">
    <w:name w:val="xl28"/>
    <w:basedOn w:val="1"/>
    <w:autoRedefine/>
    <w:qFormat/>
    <w:uiPriority w:val="99"/>
    <w:pPr>
      <w:widowControl/>
      <w:pBdr>
        <w:top w:val="single" w:color="auto" w:sz="4" w:space="0"/>
        <w:right w:val="single" w:color="auto" w:sz="4" w:space="0"/>
      </w:pBdr>
      <w:spacing w:before="100" w:beforeAutospacing="1" w:after="100" w:afterAutospacing="1" w:line="240" w:lineRule="auto"/>
      <w:ind w:firstLine="0" w:firstLineChars="0"/>
      <w:jc w:val="right"/>
    </w:pPr>
    <w:rPr>
      <w:rFonts w:eastAsia="宋体"/>
      <w:kern w:val="0"/>
      <w:sz w:val="21"/>
      <w:szCs w:val="21"/>
    </w:rPr>
  </w:style>
  <w:style w:type="paragraph" w:customStyle="1" w:styleId="161">
    <w:name w:val="列出段落11"/>
    <w:basedOn w:val="1"/>
    <w:autoRedefine/>
    <w:qFormat/>
    <w:uiPriority w:val="99"/>
    <w:pPr>
      <w:ind w:firstLine="420"/>
    </w:pPr>
    <w:rPr>
      <w:szCs w:val="21"/>
    </w:rPr>
  </w:style>
  <w:style w:type="paragraph" w:customStyle="1" w:styleId="162">
    <w:name w:val="Char1 Char Char Char Char Char Char Char Char Char Char Char Char Char Char Char"/>
    <w:basedOn w:val="1"/>
    <w:autoRedefine/>
    <w:qFormat/>
    <w:uiPriority w:val="99"/>
    <w:pPr>
      <w:tabs>
        <w:tab w:val="left" w:pos="425"/>
      </w:tabs>
      <w:spacing w:line="240" w:lineRule="auto"/>
      <w:ind w:left="425" w:hanging="425" w:firstLineChars="0"/>
    </w:pPr>
    <w:rPr>
      <w:rFonts w:eastAsia="宋体"/>
      <w:sz w:val="24"/>
    </w:rPr>
  </w:style>
  <w:style w:type="paragraph" w:customStyle="1" w:styleId="163">
    <w:name w:val="修订2"/>
    <w:autoRedefine/>
    <w:qFormat/>
    <w:uiPriority w:val="99"/>
    <w:rPr>
      <w:rFonts w:ascii="Times New Roman" w:hAnsi="Times New Roman" w:eastAsia="宋体" w:cs="Times New Roman"/>
      <w:kern w:val="2"/>
      <w:sz w:val="21"/>
      <w:szCs w:val="21"/>
      <w:lang w:val="en-US" w:eastAsia="zh-CN" w:bidi="ar-SA"/>
    </w:rPr>
  </w:style>
  <w:style w:type="paragraph" w:customStyle="1" w:styleId="164">
    <w:name w:val="列项◆（三级）"/>
    <w:basedOn w:val="1"/>
    <w:autoRedefine/>
    <w:qFormat/>
    <w:uiPriority w:val="99"/>
    <w:pPr>
      <w:tabs>
        <w:tab w:val="left" w:pos="1678"/>
      </w:tabs>
      <w:ind w:left="1678" w:hanging="414"/>
    </w:pPr>
    <w:rPr>
      <w:rFonts w:ascii="宋体" w:cs="宋体"/>
      <w:szCs w:val="21"/>
    </w:rPr>
  </w:style>
  <w:style w:type="paragraph" w:customStyle="1" w:styleId="165">
    <w:name w:val="字元 字元 Char Char 字元 字元1"/>
    <w:basedOn w:val="1"/>
    <w:autoRedefine/>
    <w:qFormat/>
    <w:uiPriority w:val="99"/>
    <w:pPr>
      <w:spacing w:line="240" w:lineRule="auto"/>
      <w:ind w:firstLine="0" w:firstLineChars="0"/>
    </w:pPr>
    <w:rPr>
      <w:rFonts w:eastAsia="宋体"/>
      <w:sz w:val="24"/>
    </w:rPr>
  </w:style>
  <w:style w:type="paragraph" w:customStyle="1" w:styleId="166">
    <w:name w:val="参考文献"/>
    <w:basedOn w:val="1"/>
    <w:next w:val="79"/>
    <w:autoRedefine/>
    <w:qFormat/>
    <w:uiPriority w:val="99"/>
    <w:pPr>
      <w:keepNext/>
      <w:pageBreakBefore/>
      <w:widowControl/>
      <w:shd w:val="clear" w:color="FFFFFF" w:fill="FFFFFF"/>
      <w:spacing w:before="640" w:after="200"/>
      <w:jc w:val="center"/>
      <w:outlineLvl w:val="0"/>
    </w:pPr>
    <w:rPr>
      <w:rFonts w:ascii="黑体" w:eastAsia="黑体" w:cs="黑体"/>
      <w:kern w:val="0"/>
      <w:szCs w:val="21"/>
    </w:rPr>
  </w:style>
  <w:style w:type="paragraph" w:customStyle="1" w:styleId="167">
    <w:name w:val="p0"/>
    <w:basedOn w:val="1"/>
    <w:autoRedefine/>
    <w:qFormat/>
    <w:uiPriority w:val="99"/>
    <w:pPr>
      <w:widowControl/>
    </w:pPr>
    <w:rPr>
      <w:kern w:val="0"/>
      <w:szCs w:val="21"/>
    </w:rPr>
  </w:style>
  <w:style w:type="paragraph" w:customStyle="1" w:styleId="168">
    <w:name w:val="font7"/>
    <w:basedOn w:val="1"/>
    <w:autoRedefine/>
    <w:qFormat/>
    <w:uiPriority w:val="99"/>
    <w:pPr>
      <w:widowControl/>
      <w:spacing w:before="100" w:beforeAutospacing="1" w:after="100" w:afterAutospacing="1" w:line="240" w:lineRule="auto"/>
      <w:ind w:firstLine="0" w:firstLineChars="0"/>
      <w:jc w:val="left"/>
    </w:pPr>
    <w:rPr>
      <w:rFonts w:ascii="宋体" w:hAnsi="宋体" w:eastAsia="宋体"/>
      <w:kern w:val="0"/>
      <w:sz w:val="18"/>
      <w:szCs w:val="18"/>
    </w:rPr>
  </w:style>
  <w:style w:type="paragraph" w:customStyle="1" w:styleId="169">
    <w:name w:val="正文缩进1"/>
    <w:basedOn w:val="1"/>
    <w:autoRedefine/>
    <w:qFormat/>
    <w:uiPriority w:val="99"/>
    <w:pPr>
      <w:snapToGrid w:val="0"/>
      <w:spacing w:line="360" w:lineRule="auto"/>
      <w:ind w:firstLine="420" w:firstLineChars="0"/>
    </w:pPr>
    <w:rPr>
      <w:rFonts w:eastAsia="宋体"/>
      <w:sz w:val="24"/>
      <w:szCs w:val="20"/>
    </w:rPr>
  </w:style>
  <w:style w:type="paragraph" w:customStyle="1" w:styleId="170">
    <w:name w:val="标准书眉_偶数页"/>
    <w:basedOn w:val="171"/>
    <w:next w:val="1"/>
    <w:autoRedefine/>
    <w:qFormat/>
    <w:uiPriority w:val="0"/>
    <w:pPr>
      <w:tabs>
        <w:tab w:val="center" w:pos="4154"/>
        <w:tab w:val="right" w:pos="8306"/>
      </w:tabs>
      <w:jc w:val="left"/>
    </w:pPr>
  </w:style>
  <w:style w:type="paragraph" w:customStyle="1" w:styleId="171">
    <w:name w:val="标准书眉_奇数页"/>
    <w:next w:val="1"/>
    <w:autoRedefine/>
    <w:qFormat/>
    <w:uiPriority w:val="99"/>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172">
    <w:name w:val="Heading3"/>
    <w:basedOn w:val="1"/>
    <w:next w:val="1"/>
    <w:autoRedefine/>
    <w:qFormat/>
    <w:uiPriority w:val="99"/>
    <w:pPr>
      <w:keepNext/>
      <w:keepLines/>
      <w:widowControl/>
      <w:spacing w:before="260" w:after="260" w:line="413" w:lineRule="auto"/>
      <w:ind w:firstLine="0" w:firstLineChars="0"/>
      <w:textAlignment w:val="baseline"/>
    </w:pPr>
    <w:rPr>
      <w:rFonts w:eastAsia="仿宋"/>
      <w:b/>
      <w:kern w:val="0"/>
      <w:szCs w:val="20"/>
    </w:rPr>
  </w:style>
  <w:style w:type="paragraph" w:customStyle="1" w:styleId="173">
    <w:name w:val="标准书脚_偶数页"/>
    <w:autoRedefine/>
    <w:qFormat/>
    <w:uiPriority w:val="99"/>
    <w:pPr>
      <w:spacing w:before="120"/>
      <w:ind w:left="221"/>
    </w:pPr>
    <w:rPr>
      <w:rFonts w:ascii="宋体" w:hAnsi="Times New Roman" w:eastAsia="宋体" w:cs="宋体"/>
      <w:sz w:val="18"/>
      <w:szCs w:val="18"/>
      <w:lang w:val="en-US" w:eastAsia="zh-CN" w:bidi="ar-SA"/>
    </w:rPr>
  </w:style>
  <w:style w:type="paragraph" w:customStyle="1" w:styleId="174">
    <w:name w:val="_Style 817"/>
    <w:basedOn w:val="1"/>
    <w:next w:val="175"/>
    <w:autoRedefine/>
    <w:qFormat/>
    <w:uiPriority w:val="34"/>
    <w:pPr>
      <w:ind w:firstLine="420"/>
    </w:pPr>
  </w:style>
  <w:style w:type="paragraph" w:customStyle="1" w:styleId="175">
    <w:name w:val="_Style 174"/>
    <w:basedOn w:val="1"/>
    <w:link w:val="668"/>
    <w:autoRedefine/>
    <w:qFormat/>
    <w:uiPriority w:val="34"/>
    <w:pPr>
      <w:ind w:firstLine="420"/>
    </w:pPr>
  </w:style>
  <w:style w:type="paragraph" w:customStyle="1" w:styleId="176">
    <w:name w:val="xl32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ind w:firstLine="0" w:firstLineChars="0"/>
      <w:jc w:val="center"/>
    </w:pPr>
    <w:rPr>
      <w:rFonts w:eastAsia="Times New Roman"/>
      <w:b/>
      <w:bCs/>
      <w:kern w:val="0"/>
      <w:sz w:val="24"/>
    </w:rPr>
  </w:style>
  <w:style w:type="paragraph" w:customStyle="1" w:styleId="177">
    <w:name w:val="Heading4"/>
    <w:basedOn w:val="1"/>
    <w:next w:val="1"/>
    <w:autoRedefine/>
    <w:qFormat/>
    <w:uiPriority w:val="99"/>
    <w:pPr>
      <w:keepNext/>
      <w:keepLines/>
      <w:widowControl/>
      <w:spacing w:before="280" w:after="290" w:line="372" w:lineRule="auto"/>
      <w:ind w:firstLine="0" w:firstLineChars="0"/>
      <w:textAlignment w:val="baseline"/>
    </w:pPr>
    <w:rPr>
      <w:rFonts w:ascii="Cambria" w:hAnsi="Cambria" w:eastAsia="宋体"/>
      <w:b/>
      <w:kern w:val="0"/>
      <w:sz w:val="28"/>
      <w:szCs w:val="20"/>
    </w:rPr>
  </w:style>
  <w:style w:type="paragraph" w:customStyle="1" w:styleId="178">
    <w:name w:val="附录四级无"/>
    <w:basedOn w:val="128"/>
    <w:autoRedefine/>
    <w:qFormat/>
    <w:uiPriority w:val="0"/>
    <w:pPr>
      <w:spacing w:beforeLines="0" w:afterLines="0"/>
    </w:pPr>
    <w:rPr>
      <w:rFonts w:ascii="宋体" w:eastAsia="宋体" w:cs="宋体"/>
    </w:rPr>
  </w:style>
  <w:style w:type="paragraph" w:customStyle="1" w:styleId="179">
    <w:name w:val="封面标准文稿编辑信息2"/>
    <w:basedOn w:val="180"/>
    <w:autoRedefine/>
    <w:qFormat/>
    <w:uiPriority w:val="99"/>
  </w:style>
  <w:style w:type="paragraph" w:customStyle="1" w:styleId="180">
    <w:name w:val="封面标准文稿编辑信息"/>
    <w:basedOn w:val="181"/>
    <w:autoRedefine/>
    <w:qFormat/>
    <w:uiPriority w:val="99"/>
    <w:pPr>
      <w:widowControl w:val="0"/>
      <w:spacing w:before="180" w:after="160" w:line="180" w:lineRule="exact"/>
      <w:textAlignment w:val="center"/>
    </w:pPr>
    <w:rPr>
      <w:sz w:val="21"/>
      <w:szCs w:val="21"/>
    </w:rPr>
  </w:style>
  <w:style w:type="paragraph" w:customStyle="1" w:styleId="181">
    <w:name w:val="封面标准文稿类别"/>
    <w:autoRedefine/>
    <w:qFormat/>
    <w:uiPriority w:val="99"/>
    <w:pPr>
      <w:spacing w:before="440" w:after="200" w:line="400" w:lineRule="exact"/>
      <w:jc w:val="center"/>
    </w:pPr>
    <w:rPr>
      <w:rFonts w:ascii="宋体" w:hAnsi="Times New Roman" w:eastAsia="宋体" w:cs="宋体"/>
      <w:sz w:val="24"/>
      <w:szCs w:val="24"/>
      <w:lang w:val="en-US" w:eastAsia="zh-CN" w:bidi="ar-SA"/>
    </w:rPr>
  </w:style>
  <w:style w:type="paragraph" w:customStyle="1" w:styleId="182">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3">
    <w:name w:val="发布日期"/>
    <w:autoRedefine/>
    <w:qFormat/>
    <w:uiPriority w:val="99"/>
    <w:rPr>
      <w:rFonts w:ascii="Times New Roman" w:hAnsi="Times New Roman" w:eastAsia="黑体" w:cs="Times New Roman"/>
      <w:sz w:val="28"/>
      <w:szCs w:val="28"/>
      <w:lang w:val="en-US" w:eastAsia="zh-CN" w:bidi="ar-SA"/>
    </w:rPr>
  </w:style>
  <w:style w:type="paragraph" w:customStyle="1" w:styleId="184">
    <w:name w:val="pa-2"/>
    <w:basedOn w:val="1"/>
    <w:autoRedefine/>
    <w:qFormat/>
    <w:uiPriority w:val="99"/>
    <w:pPr>
      <w:widowControl/>
      <w:spacing w:line="360" w:lineRule="atLeast"/>
      <w:ind w:firstLine="640" w:firstLineChars="0"/>
    </w:pPr>
    <w:rPr>
      <w:rFonts w:ascii="宋体" w:hAnsi="宋体" w:eastAsia="宋体" w:cs="宋体"/>
      <w:kern w:val="0"/>
      <w:sz w:val="24"/>
    </w:rPr>
  </w:style>
  <w:style w:type="paragraph" w:customStyle="1" w:styleId="185">
    <w:name w:val="样式1"/>
    <w:basedOn w:val="1"/>
    <w:link w:val="647"/>
    <w:autoRedefine/>
    <w:qFormat/>
    <w:uiPriority w:val="0"/>
    <w:pPr>
      <w:spacing w:line="360" w:lineRule="auto"/>
      <w:ind w:firstLine="600"/>
    </w:pPr>
    <w:rPr>
      <w:sz w:val="30"/>
      <w:szCs w:val="30"/>
    </w:rPr>
  </w:style>
  <w:style w:type="paragraph" w:customStyle="1" w:styleId="186">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87">
    <w:name w:val="xl55"/>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pPr>
    <w:rPr>
      <w:rFonts w:ascii="宋体" w:hAnsi="宋体" w:eastAsia="宋体"/>
      <w:color w:val="000000"/>
      <w:kern w:val="0"/>
      <w:sz w:val="24"/>
    </w:rPr>
  </w:style>
  <w:style w:type="paragraph" w:customStyle="1" w:styleId="188">
    <w:name w:val="标准称谓"/>
    <w:next w:val="1"/>
    <w:autoRedefine/>
    <w:qFormat/>
    <w:uiPriority w:val="99"/>
    <w:pPr>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189">
    <w:name w:val="示例内容"/>
    <w:autoRedefine/>
    <w:qFormat/>
    <w:uiPriority w:val="99"/>
    <w:pPr>
      <w:ind w:firstLine="200" w:firstLineChars="200"/>
    </w:pPr>
    <w:rPr>
      <w:rFonts w:ascii="宋体" w:hAnsi="Times New Roman" w:eastAsia="宋体" w:cs="宋体"/>
      <w:sz w:val="18"/>
      <w:szCs w:val="18"/>
      <w:lang w:val="en-US" w:eastAsia="zh-CN" w:bidi="ar-SA"/>
    </w:rPr>
  </w:style>
  <w:style w:type="paragraph" w:customStyle="1" w:styleId="190">
    <w:name w:val="TOC 标题11"/>
    <w:basedOn w:val="2"/>
    <w:next w:val="1"/>
    <w:autoRedefine/>
    <w:qFormat/>
    <w:uiPriority w:val="39"/>
    <w:pPr>
      <w:keepLines w:val="0"/>
      <w:widowControl/>
      <w:spacing w:after="60" w:line="240" w:lineRule="auto"/>
      <w:jc w:val="left"/>
      <w:outlineLvl w:val="9"/>
    </w:pPr>
    <w:rPr>
      <w:rFonts w:ascii="宋体" w:hAnsi="宋体" w:cs="宋体"/>
      <w:kern w:val="32"/>
      <w:szCs w:val="32"/>
    </w:rPr>
  </w:style>
  <w:style w:type="paragraph" w:customStyle="1" w:styleId="191">
    <w:name w:val="封面标准文稿类别2"/>
    <w:basedOn w:val="181"/>
    <w:autoRedefine/>
    <w:qFormat/>
    <w:uiPriority w:val="0"/>
    <w:pPr>
      <w:widowControl w:val="0"/>
      <w:spacing w:after="160" w:line="240" w:lineRule="auto"/>
      <w:textAlignment w:val="center"/>
    </w:pPr>
  </w:style>
  <w:style w:type="paragraph" w:customStyle="1" w:styleId="192">
    <w:name w:val="3"/>
    <w:basedOn w:val="1"/>
    <w:next w:val="175"/>
    <w:link w:val="567"/>
    <w:autoRedefine/>
    <w:qFormat/>
    <w:uiPriority w:val="34"/>
    <w:pPr>
      <w:ind w:firstLine="420"/>
    </w:pPr>
  </w:style>
  <w:style w:type="paragraph" w:customStyle="1" w:styleId="193">
    <w:name w:val="UserStyle_33"/>
    <w:basedOn w:val="194"/>
    <w:next w:val="1"/>
    <w:autoRedefine/>
    <w:qFormat/>
    <w:uiPriority w:val="0"/>
    <w:pPr>
      <w:spacing w:before="480" w:after="0" w:line="276" w:lineRule="auto"/>
      <w:jc w:val="left"/>
    </w:pPr>
    <w:rPr>
      <w:rFonts w:ascii="Cambria" w:hAnsi="Cambria"/>
      <w:color w:val="365F91"/>
      <w:kern w:val="0"/>
      <w:sz w:val="28"/>
    </w:rPr>
  </w:style>
  <w:style w:type="paragraph" w:customStyle="1" w:styleId="194">
    <w:name w:val="Heading1"/>
    <w:basedOn w:val="1"/>
    <w:next w:val="1"/>
    <w:autoRedefine/>
    <w:qFormat/>
    <w:uiPriority w:val="99"/>
    <w:pPr>
      <w:keepNext/>
      <w:keepLines/>
      <w:widowControl/>
      <w:spacing w:before="340" w:after="330" w:line="576" w:lineRule="auto"/>
      <w:ind w:firstLine="0" w:firstLineChars="0"/>
      <w:jc w:val="center"/>
      <w:textAlignment w:val="baseline"/>
    </w:pPr>
    <w:rPr>
      <w:rFonts w:eastAsia="宋体"/>
      <w:b/>
      <w:kern w:val="44"/>
      <w:sz w:val="36"/>
      <w:szCs w:val="20"/>
    </w:rPr>
  </w:style>
  <w:style w:type="paragraph" w:customStyle="1" w:styleId="195">
    <w:name w:val="正文公式编号制表符"/>
    <w:basedOn w:val="79"/>
    <w:next w:val="79"/>
    <w:autoRedefine/>
    <w:qFormat/>
    <w:uiPriority w:val="99"/>
    <w:pPr>
      <w:tabs>
        <w:tab w:val="center" w:pos="4201"/>
        <w:tab w:val="right" w:leader="dot" w:pos="9298"/>
      </w:tabs>
      <w:ind w:firstLine="0" w:firstLineChars="0"/>
    </w:pPr>
    <w:rPr>
      <w:rFonts w:cs="宋体"/>
      <w:sz w:val="22"/>
      <w:szCs w:val="22"/>
    </w:rPr>
  </w:style>
  <w:style w:type="paragraph" w:customStyle="1" w:styleId="196">
    <w:name w:val="标题 12"/>
    <w:basedOn w:val="1"/>
    <w:autoRedefine/>
    <w:qFormat/>
    <w:uiPriority w:val="1"/>
    <w:pPr>
      <w:ind w:left="120"/>
      <w:jc w:val="left"/>
      <w:outlineLvl w:val="1"/>
    </w:pPr>
    <w:rPr>
      <w:rFonts w:ascii="宋体" w:hAnsi="宋体"/>
      <w:kern w:val="0"/>
      <w:sz w:val="36"/>
      <w:szCs w:val="36"/>
      <w:lang w:eastAsia="en-US"/>
    </w:rPr>
  </w:style>
  <w:style w:type="paragraph" w:customStyle="1" w:styleId="197">
    <w:name w:val="UserStyle_20"/>
    <w:basedOn w:val="1"/>
    <w:autoRedefine/>
    <w:qFormat/>
    <w:uiPriority w:val="99"/>
    <w:pPr>
      <w:widowControl/>
      <w:snapToGrid w:val="0"/>
      <w:spacing w:line="240" w:lineRule="auto"/>
      <w:ind w:firstLine="0" w:firstLineChars="0"/>
      <w:jc w:val="center"/>
      <w:textAlignment w:val="baseline"/>
    </w:pPr>
    <w:rPr>
      <w:rFonts w:ascii="方正小标宋_GBK" w:eastAsia="方正小标宋_GBK"/>
      <w:sz w:val="38"/>
      <w:szCs w:val="38"/>
    </w:rPr>
  </w:style>
  <w:style w:type="paragraph" w:customStyle="1" w:styleId="198">
    <w:name w:val="Char Char Char"/>
    <w:basedOn w:val="1"/>
    <w:autoRedefine/>
    <w:qFormat/>
    <w:uiPriority w:val="99"/>
    <w:pPr>
      <w:spacing w:line="240" w:lineRule="auto"/>
      <w:ind w:firstLine="0" w:firstLineChars="0"/>
    </w:pPr>
    <w:rPr>
      <w:rFonts w:eastAsia="宋体"/>
      <w:sz w:val="21"/>
    </w:rPr>
  </w:style>
  <w:style w:type="paragraph" w:customStyle="1" w:styleId="199">
    <w:name w:val="普通(网站)1"/>
    <w:basedOn w:val="1"/>
    <w:autoRedefine/>
    <w:qFormat/>
    <w:uiPriority w:val="99"/>
    <w:pPr>
      <w:widowControl/>
      <w:spacing w:line="210" w:lineRule="atLeast"/>
      <w:jc w:val="left"/>
    </w:pPr>
    <w:rPr>
      <w:rFonts w:ascii="宋体" w:hAnsi="宋体" w:cs="宋体"/>
      <w:kern w:val="0"/>
      <w:sz w:val="24"/>
    </w:rPr>
  </w:style>
  <w:style w:type="paragraph" w:customStyle="1" w:styleId="200">
    <w:name w:val="xl3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eastAsia="Times New Roman"/>
      <w:kern w:val="0"/>
      <w:sz w:val="22"/>
      <w:szCs w:val="22"/>
    </w:rPr>
  </w:style>
  <w:style w:type="paragraph" w:customStyle="1" w:styleId="201">
    <w:name w:val="标题 22"/>
    <w:basedOn w:val="1"/>
    <w:autoRedefine/>
    <w:qFormat/>
    <w:uiPriority w:val="1"/>
    <w:pPr>
      <w:ind w:left="120"/>
      <w:jc w:val="left"/>
      <w:outlineLvl w:val="2"/>
    </w:pPr>
    <w:rPr>
      <w:rFonts w:ascii="仿宋" w:hAnsi="仿宋" w:eastAsia="仿宋"/>
      <w:kern w:val="0"/>
      <w:sz w:val="28"/>
      <w:szCs w:val="28"/>
      <w:lang w:eastAsia="en-US"/>
    </w:rPr>
  </w:style>
  <w:style w:type="paragraph" w:customStyle="1" w:styleId="202">
    <w:name w:val="5正文形式"/>
    <w:basedOn w:val="1"/>
    <w:autoRedefine/>
    <w:qFormat/>
    <w:uiPriority w:val="99"/>
    <w:pPr>
      <w:spacing w:line="360" w:lineRule="auto"/>
      <w:ind w:firstLine="420"/>
    </w:pPr>
    <w:rPr>
      <w:sz w:val="28"/>
    </w:rPr>
  </w:style>
  <w:style w:type="paragraph" w:customStyle="1" w:styleId="203">
    <w:name w:val="附录表标题"/>
    <w:basedOn w:val="1"/>
    <w:next w:val="79"/>
    <w:autoRedefine/>
    <w:qFormat/>
    <w:uiPriority w:val="99"/>
    <w:pPr>
      <w:tabs>
        <w:tab w:val="left" w:pos="180"/>
      </w:tabs>
      <w:spacing w:beforeLines="50" w:afterLines="50"/>
      <w:jc w:val="center"/>
    </w:pPr>
    <w:rPr>
      <w:rFonts w:ascii="黑体" w:eastAsia="黑体" w:cs="黑体"/>
      <w:szCs w:val="21"/>
    </w:rPr>
  </w:style>
  <w:style w:type="paragraph" w:customStyle="1" w:styleId="204">
    <w:name w:val="_Style 203"/>
    <w:autoRedefine/>
    <w:unhideWhenUsed/>
    <w:qFormat/>
    <w:uiPriority w:val="99"/>
    <w:rPr>
      <w:rFonts w:ascii="Times New Roman" w:hAnsi="Times New Roman" w:eastAsia="仿宋_GB2312" w:cs="Times New Roman"/>
      <w:kern w:val="2"/>
      <w:sz w:val="32"/>
      <w:szCs w:val="24"/>
      <w:lang w:val="en-US" w:eastAsia="zh-CN" w:bidi="ar-SA"/>
    </w:rPr>
  </w:style>
  <w:style w:type="paragraph" w:customStyle="1" w:styleId="205">
    <w:name w:val="附录公式编号制表符"/>
    <w:basedOn w:val="1"/>
    <w:next w:val="79"/>
    <w:autoRedefine/>
    <w:qFormat/>
    <w:uiPriority w:val="99"/>
    <w:pPr>
      <w:widowControl/>
      <w:tabs>
        <w:tab w:val="center" w:pos="4201"/>
        <w:tab w:val="right" w:leader="dot" w:pos="9298"/>
      </w:tabs>
      <w:autoSpaceDE w:val="0"/>
      <w:autoSpaceDN w:val="0"/>
    </w:pPr>
    <w:rPr>
      <w:rFonts w:ascii="宋体" w:cs="宋体"/>
      <w:kern w:val="0"/>
      <w:szCs w:val="21"/>
    </w:rPr>
  </w:style>
  <w:style w:type="paragraph" w:customStyle="1" w:styleId="206">
    <w:name w:val="xl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07">
    <w:name w:val="表格"/>
    <w:basedOn w:val="1"/>
    <w:autoRedefine/>
    <w:qFormat/>
    <w:uiPriority w:val="99"/>
    <w:pPr>
      <w:spacing w:line="240" w:lineRule="auto"/>
      <w:ind w:firstLine="0" w:firstLineChars="0"/>
      <w:jc w:val="center"/>
    </w:pPr>
    <w:rPr>
      <w:rFonts w:eastAsia="宋体"/>
      <w:sz w:val="21"/>
      <w:szCs w:val="21"/>
    </w:rPr>
  </w:style>
  <w:style w:type="paragraph" w:customStyle="1" w:styleId="208">
    <w:name w:val="xl59"/>
    <w:basedOn w:val="1"/>
    <w:autoRedefine/>
    <w:qFormat/>
    <w:uiPriority w:val="99"/>
    <w:pPr>
      <w:widowControl/>
      <w:pBdr>
        <w:top w:val="single" w:color="auto" w:sz="4" w:space="0"/>
        <w:left w:val="single" w:color="auto" w:sz="4" w:space="0"/>
      </w:pBdr>
      <w:spacing w:before="100" w:beforeAutospacing="1" w:after="100" w:afterAutospacing="1" w:line="240" w:lineRule="auto"/>
      <w:ind w:firstLine="0" w:firstLineChars="0"/>
      <w:jc w:val="center"/>
    </w:pPr>
    <w:rPr>
      <w:rFonts w:eastAsia="宋体"/>
      <w:kern w:val="0"/>
      <w:sz w:val="21"/>
      <w:szCs w:val="21"/>
    </w:rPr>
  </w:style>
  <w:style w:type="paragraph" w:customStyle="1" w:styleId="209">
    <w:name w:val="UserStyle_32"/>
    <w:basedOn w:val="1"/>
    <w:autoRedefine/>
    <w:qFormat/>
    <w:uiPriority w:val="99"/>
    <w:pPr>
      <w:widowControl/>
      <w:spacing w:line="360" w:lineRule="auto"/>
      <w:textAlignment w:val="baseline"/>
    </w:pPr>
    <w:rPr>
      <w:rFonts w:eastAsia="宋体"/>
      <w:sz w:val="21"/>
      <w:szCs w:val="20"/>
    </w:rPr>
  </w:style>
  <w:style w:type="paragraph" w:customStyle="1" w:styleId="210">
    <w:name w:val="xl8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11">
    <w:name w:val="图片"/>
    <w:basedOn w:val="1"/>
    <w:next w:val="14"/>
    <w:autoRedefine/>
    <w:qFormat/>
    <w:uiPriority w:val="99"/>
    <w:pPr>
      <w:keepNext/>
      <w:spacing w:line="240" w:lineRule="auto"/>
      <w:ind w:firstLine="0" w:firstLineChars="0"/>
    </w:pPr>
    <w:rPr>
      <w:rFonts w:ascii="Original Garamond Std Italic" w:hAnsi="Original Garamond Std Italic" w:eastAsia="宋体"/>
      <w:sz w:val="22"/>
    </w:rPr>
  </w:style>
  <w:style w:type="paragraph" w:customStyle="1" w:styleId="212">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olor w:val="000000"/>
      <w:kern w:val="0"/>
      <w:sz w:val="24"/>
    </w:rPr>
  </w:style>
  <w:style w:type="paragraph" w:customStyle="1" w:styleId="213">
    <w:name w:val="示例"/>
    <w:next w:val="189"/>
    <w:autoRedefine/>
    <w:qFormat/>
    <w:uiPriority w:val="99"/>
    <w:pPr>
      <w:widowControl w:val="0"/>
      <w:ind w:firstLine="363"/>
      <w:jc w:val="both"/>
    </w:pPr>
    <w:rPr>
      <w:rFonts w:ascii="宋体" w:hAnsi="Times New Roman" w:eastAsia="宋体" w:cs="宋体"/>
      <w:sz w:val="18"/>
      <w:szCs w:val="18"/>
      <w:lang w:val="en-US" w:eastAsia="zh-CN" w:bidi="ar-SA"/>
    </w:rPr>
  </w:style>
  <w:style w:type="paragraph" w:customStyle="1" w:styleId="214">
    <w:name w:val="_Style 213"/>
    <w:basedOn w:val="1"/>
    <w:next w:val="1"/>
    <w:link w:val="672"/>
    <w:autoRedefine/>
    <w:qFormat/>
    <w:uiPriority w:val="99"/>
    <w:pPr>
      <w:widowControl/>
      <w:jc w:val="left"/>
    </w:pPr>
    <w:rPr>
      <w:rFonts w:eastAsia="宋体"/>
      <w:i/>
      <w:iCs/>
      <w:kern w:val="0"/>
      <w:sz w:val="24"/>
    </w:rPr>
  </w:style>
  <w:style w:type="paragraph" w:customStyle="1" w:styleId="215">
    <w:name w:val="内文1"/>
    <w:autoRedefine/>
    <w:qFormat/>
    <w:uiPriority w:val="99"/>
    <w:pPr>
      <w:widowControl w:val="0"/>
      <w:autoSpaceDE w:val="0"/>
      <w:autoSpaceDN w:val="0"/>
      <w:adjustRightInd w:val="0"/>
      <w:spacing w:before="57" w:after="28" w:line="440" w:lineRule="atLeast"/>
      <w:jc w:val="both"/>
    </w:pPr>
    <w:rPr>
      <w:rFonts w:ascii="复合字体：汉仪书宋二简-Times" w:hAnsi="Times New Roman" w:eastAsia="复合字体：汉仪书宋二简-Times" w:cs="Times New Roman"/>
      <w:sz w:val="25"/>
      <w:szCs w:val="25"/>
      <w:lang w:val="en-US" w:eastAsia="zh-CN" w:bidi="ar-SA"/>
    </w:rPr>
  </w:style>
  <w:style w:type="paragraph" w:customStyle="1" w:styleId="216">
    <w:name w:val="xl301"/>
    <w:basedOn w:val="1"/>
    <w:autoRedefine/>
    <w:qFormat/>
    <w:uiPriority w:val="99"/>
    <w:pPr>
      <w:widowControl/>
      <w:spacing w:before="100" w:beforeAutospacing="1" w:after="100" w:afterAutospacing="1" w:line="360" w:lineRule="auto"/>
      <w:ind w:firstLine="600"/>
      <w:jc w:val="center"/>
    </w:pPr>
    <w:rPr>
      <w:rFonts w:ascii="宋体" w:hAnsi="宋体" w:eastAsia="宋体" w:cs="宋体"/>
      <w:kern w:val="0"/>
      <w:sz w:val="24"/>
    </w:rPr>
  </w:style>
  <w:style w:type="paragraph" w:customStyle="1" w:styleId="217">
    <w:name w:val="AnnotationText"/>
    <w:basedOn w:val="1"/>
    <w:link w:val="663"/>
    <w:autoRedefine/>
    <w:qFormat/>
    <w:uiPriority w:val="0"/>
    <w:pPr>
      <w:widowControl/>
      <w:spacing w:line="240" w:lineRule="auto"/>
      <w:ind w:firstLine="0" w:firstLineChars="0"/>
      <w:jc w:val="left"/>
      <w:textAlignment w:val="baseline"/>
    </w:pPr>
    <w:rPr>
      <w:rFonts w:eastAsia="宋体"/>
      <w:kern w:val="0"/>
      <w:sz w:val="24"/>
      <w:szCs w:val="20"/>
    </w:rPr>
  </w:style>
  <w:style w:type="paragraph" w:customStyle="1" w:styleId="218">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UserStyle_30"/>
    <w:basedOn w:val="1"/>
    <w:autoRedefine/>
    <w:qFormat/>
    <w:uiPriority w:val="99"/>
    <w:pPr>
      <w:widowControl/>
      <w:snapToGrid w:val="0"/>
      <w:spacing w:line="240" w:lineRule="auto"/>
      <w:ind w:firstLine="0" w:firstLineChars="0"/>
      <w:jc w:val="center"/>
      <w:textAlignment w:val="baseline"/>
    </w:pPr>
    <w:rPr>
      <w:rFonts w:ascii="方正小标宋_GBK" w:eastAsia="方正小标宋_GBK"/>
      <w:sz w:val="38"/>
      <w:szCs w:val="38"/>
    </w:rPr>
  </w:style>
  <w:style w:type="paragraph" w:customStyle="1" w:styleId="220">
    <w:name w:val="xl60"/>
    <w:basedOn w:val="1"/>
    <w:autoRedefine/>
    <w:qFormat/>
    <w:uiPriority w:val="99"/>
    <w:pPr>
      <w:widowControl/>
      <w:pBdr>
        <w:top w:val="single" w:color="auto" w:sz="4" w:space="0"/>
      </w:pBdr>
      <w:spacing w:before="100" w:beforeAutospacing="1" w:after="100" w:afterAutospacing="1" w:line="240" w:lineRule="auto"/>
      <w:ind w:firstLine="0" w:firstLineChars="0"/>
      <w:jc w:val="center"/>
    </w:pPr>
    <w:rPr>
      <w:rFonts w:eastAsia="宋体"/>
      <w:kern w:val="0"/>
      <w:sz w:val="21"/>
      <w:szCs w:val="21"/>
    </w:rPr>
  </w:style>
  <w:style w:type="paragraph" w:customStyle="1" w:styleId="221">
    <w:name w:val="Char Char Char Char Char Char Char"/>
    <w:basedOn w:val="1"/>
    <w:autoRedefine/>
    <w:qFormat/>
    <w:uiPriority w:val="99"/>
    <w:pPr>
      <w:widowControl/>
      <w:spacing w:after="160" w:line="240" w:lineRule="exact"/>
      <w:jc w:val="left"/>
    </w:pPr>
    <w:rPr>
      <w:rFonts w:ascii="Arial" w:hAnsi="Arial" w:cs="Arial"/>
      <w:b/>
      <w:bCs/>
      <w:kern w:val="0"/>
      <w:sz w:val="24"/>
      <w:lang w:eastAsia="en-US"/>
    </w:rPr>
  </w:style>
  <w:style w:type="paragraph" w:customStyle="1" w:styleId="222">
    <w:name w:val="简单回函地址"/>
    <w:basedOn w:val="1"/>
    <w:autoRedefine/>
    <w:qFormat/>
    <w:uiPriority w:val="99"/>
    <w:pPr>
      <w:spacing w:line="240" w:lineRule="auto"/>
      <w:ind w:firstLine="0" w:firstLineChars="0"/>
    </w:pPr>
    <w:rPr>
      <w:rFonts w:ascii="宋体" w:hAnsi="宋体" w:eastAsia="宋体"/>
      <w:sz w:val="24"/>
      <w:szCs w:val="32"/>
    </w:rPr>
  </w:style>
  <w:style w:type="paragraph" w:customStyle="1" w:styleId="223">
    <w:name w:val="msolistparagraph"/>
    <w:basedOn w:val="1"/>
    <w:autoRedefine/>
    <w:qFormat/>
    <w:uiPriority w:val="99"/>
    <w:pPr>
      <w:ind w:firstLine="420"/>
    </w:pPr>
  </w:style>
  <w:style w:type="paragraph" w:customStyle="1" w:styleId="224">
    <w:name w:val="xl96"/>
    <w:basedOn w:val="1"/>
    <w:autoRedefine/>
    <w:qFormat/>
    <w:uiPriority w:val="99"/>
    <w:pPr>
      <w:widowControl/>
      <w:pBdr>
        <w:top w:val="single" w:color="auto" w:sz="4" w:space="0"/>
      </w:pBdr>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225">
    <w:name w:val="xl4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pPr>
    <w:rPr>
      <w:rFonts w:eastAsia="宋体"/>
      <w:color w:val="000000"/>
      <w:kern w:val="0"/>
      <w:sz w:val="24"/>
    </w:rPr>
  </w:style>
  <w:style w:type="paragraph" w:customStyle="1" w:styleId="226">
    <w:name w:val="xl95"/>
    <w:basedOn w:val="1"/>
    <w:autoRedefine/>
    <w:qFormat/>
    <w:uiPriority w:val="99"/>
    <w:pPr>
      <w:widowControl/>
      <w:pBdr>
        <w:top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227">
    <w:name w:val="xl94"/>
    <w:basedOn w:val="1"/>
    <w:autoRedefine/>
    <w:qFormat/>
    <w:uiPriority w:val="99"/>
    <w:pPr>
      <w:widowControl/>
      <w:pBdr>
        <w:bottom w:val="single" w:color="auto" w:sz="4" w:space="0"/>
      </w:pBdr>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228">
    <w:name w:val="Char Char Char Char1"/>
    <w:basedOn w:val="1"/>
    <w:autoRedefine/>
    <w:qFormat/>
    <w:uiPriority w:val="99"/>
    <w:pPr>
      <w:widowControl/>
      <w:jc w:val="left"/>
    </w:pPr>
    <w:rPr>
      <w:kern w:val="0"/>
      <w:sz w:val="24"/>
      <w:lang w:eastAsia="en-US"/>
    </w:rPr>
  </w:style>
  <w:style w:type="paragraph" w:customStyle="1" w:styleId="229">
    <w:name w:val="Char Char Char Char Char Char Char Char Char1 Char"/>
    <w:basedOn w:val="2"/>
    <w:autoRedefine/>
    <w:qFormat/>
    <w:uiPriority w:val="99"/>
    <w:pPr>
      <w:snapToGrid w:val="0"/>
      <w:spacing w:before="240" w:after="240" w:line="348" w:lineRule="auto"/>
    </w:pPr>
    <w:rPr>
      <w:bCs w:val="0"/>
      <w:szCs w:val="20"/>
    </w:rPr>
  </w:style>
  <w:style w:type="paragraph" w:customStyle="1" w:styleId="230">
    <w:name w:val="一级无标题条"/>
    <w:basedOn w:val="1"/>
    <w:autoRedefine/>
    <w:qFormat/>
    <w:uiPriority w:val="99"/>
    <w:pPr>
      <w:tabs>
        <w:tab w:val="left" w:pos="993"/>
      </w:tabs>
      <w:ind w:left="993" w:hanging="567"/>
    </w:pPr>
    <w:rPr>
      <w:szCs w:val="21"/>
    </w:rPr>
  </w:style>
  <w:style w:type="paragraph" w:customStyle="1" w:styleId="231">
    <w:name w:val="UserStyle_24"/>
    <w:basedOn w:val="1"/>
    <w:autoRedefine/>
    <w:qFormat/>
    <w:uiPriority w:val="99"/>
    <w:pPr>
      <w:widowControl/>
      <w:spacing w:line="240" w:lineRule="auto"/>
      <w:ind w:firstLine="420"/>
      <w:textAlignment w:val="baseline"/>
    </w:pPr>
    <w:rPr>
      <w:rFonts w:eastAsia="宋体"/>
      <w:sz w:val="21"/>
      <w:szCs w:val="20"/>
    </w:rPr>
  </w:style>
  <w:style w:type="paragraph" w:customStyle="1" w:styleId="232">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0"/>
      <w:szCs w:val="240"/>
    </w:rPr>
  </w:style>
  <w:style w:type="paragraph" w:customStyle="1" w:styleId="233">
    <w:name w:val="报告正文"/>
    <w:link w:val="751"/>
    <w:autoRedefine/>
    <w:qFormat/>
    <w:uiPriority w:val="0"/>
    <w:pPr>
      <w:spacing w:line="360" w:lineRule="auto"/>
      <w:ind w:firstLine="200" w:firstLineChars="200"/>
    </w:pPr>
    <w:rPr>
      <w:rFonts w:ascii="Times New Roman" w:hAnsi="Times New Roman" w:eastAsia="宋体" w:cs="Times New Roman"/>
      <w:bCs/>
      <w:kern w:val="44"/>
      <w:sz w:val="24"/>
      <w:szCs w:val="44"/>
      <w:lang w:val="en-US" w:eastAsia="zh-CN" w:bidi="ar-SA"/>
    </w:rPr>
  </w:style>
  <w:style w:type="paragraph" w:customStyle="1" w:styleId="234">
    <w:name w:val="批注主题1"/>
    <w:basedOn w:val="17"/>
    <w:next w:val="17"/>
    <w:autoRedefine/>
    <w:qFormat/>
    <w:uiPriority w:val="99"/>
    <w:rPr>
      <w:b/>
      <w:bCs/>
      <w:kern w:val="2"/>
      <w:sz w:val="21"/>
      <w:szCs w:val="21"/>
    </w:rPr>
  </w:style>
  <w:style w:type="paragraph" w:customStyle="1" w:styleId="235">
    <w:name w:val="正文首行缩进1"/>
    <w:basedOn w:val="1"/>
    <w:autoRedefine/>
    <w:qFormat/>
    <w:uiPriority w:val="99"/>
    <w:pPr>
      <w:spacing w:line="240" w:lineRule="auto"/>
      <w:ind w:firstLine="0" w:firstLineChars="0"/>
    </w:pPr>
    <w:rPr>
      <w:rFonts w:ascii="Calibri" w:hAnsi="Calibri" w:eastAsia="宋体"/>
      <w:sz w:val="21"/>
    </w:rPr>
  </w:style>
  <w:style w:type="paragraph" w:customStyle="1" w:styleId="236">
    <w:name w:val="纯文本1"/>
    <w:basedOn w:val="1"/>
    <w:autoRedefine/>
    <w:qFormat/>
    <w:uiPriority w:val="99"/>
    <w:rPr>
      <w:rFonts w:ascii="宋体" w:hAnsi="Courier New" w:cs="宋体"/>
      <w:szCs w:val="21"/>
    </w:rPr>
  </w:style>
  <w:style w:type="paragraph" w:customStyle="1" w:styleId="237">
    <w:name w:val="标题4"/>
    <w:basedOn w:val="1"/>
    <w:next w:val="1"/>
    <w:autoRedefine/>
    <w:qFormat/>
    <w:uiPriority w:val="99"/>
    <w:pPr>
      <w:wordWrap w:val="0"/>
      <w:autoSpaceDE w:val="0"/>
      <w:adjustRightInd w:val="0"/>
      <w:spacing w:line="400" w:lineRule="atLeast"/>
      <w:ind w:firstLine="567"/>
      <w:textAlignment w:val="bottom"/>
    </w:pPr>
    <w:rPr>
      <w:rFonts w:ascii="宋体" w:cs="宋体"/>
      <w:b/>
      <w:bCs/>
      <w:kern w:val="0"/>
      <w:sz w:val="24"/>
    </w:rPr>
  </w:style>
  <w:style w:type="paragraph" w:customStyle="1" w:styleId="238">
    <w:name w:val="列出段落21"/>
    <w:basedOn w:val="1"/>
    <w:autoRedefine/>
    <w:qFormat/>
    <w:uiPriority w:val="99"/>
    <w:pPr>
      <w:ind w:firstLine="420"/>
    </w:pPr>
    <w:rPr>
      <w:szCs w:val="21"/>
    </w:rPr>
  </w:style>
  <w:style w:type="paragraph" w:customStyle="1" w:styleId="239">
    <w:name w:val="txt"/>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240">
    <w:name w:val="附录三级无"/>
    <w:basedOn w:val="129"/>
    <w:autoRedefine/>
    <w:qFormat/>
    <w:uiPriority w:val="0"/>
    <w:pPr>
      <w:spacing w:beforeLines="0" w:afterLines="0"/>
    </w:pPr>
    <w:rPr>
      <w:rFonts w:ascii="宋体" w:eastAsia="宋体" w:cs="宋体"/>
    </w:rPr>
  </w:style>
  <w:style w:type="paragraph" w:customStyle="1" w:styleId="241">
    <w:name w:val="Char Char Char Char Char Char Char Char Char Char Char"/>
    <w:basedOn w:val="1"/>
    <w:autoRedefine/>
    <w:qFormat/>
    <w:uiPriority w:val="99"/>
    <w:pPr>
      <w:spacing w:line="360" w:lineRule="auto"/>
      <w:ind w:firstLine="0" w:firstLineChars="0"/>
    </w:pPr>
    <w:rPr>
      <w:rFonts w:ascii="Tahoma" w:hAnsi="Tahoma" w:eastAsia="宋体"/>
      <w:sz w:val="24"/>
      <w:szCs w:val="20"/>
    </w:rPr>
  </w:style>
  <w:style w:type="paragraph" w:customStyle="1" w:styleId="242">
    <w:name w:val="xl34"/>
    <w:basedOn w:val="1"/>
    <w:autoRedefine/>
    <w:qFormat/>
    <w:uiPriority w:val="99"/>
    <w:pPr>
      <w:widowControl/>
      <w:pBdr>
        <w:right w:val="single" w:color="auto" w:sz="4" w:space="0"/>
      </w:pBdr>
      <w:spacing w:before="100" w:beforeAutospacing="1" w:after="100" w:afterAutospacing="1" w:line="240" w:lineRule="auto"/>
      <w:ind w:firstLine="0" w:firstLineChars="0"/>
      <w:jc w:val="right"/>
    </w:pPr>
    <w:rPr>
      <w:rFonts w:eastAsia="宋体"/>
      <w:kern w:val="0"/>
      <w:sz w:val="21"/>
      <w:szCs w:val="21"/>
    </w:rPr>
  </w:style>
  <w:style w:type="paragraph" w:customStyle="1" w:styleId="243">
    <w:name w:val="注：（正文）"/>
    <w:basedOn w:val="244"/>
    <w:next w:val="79"/>
    <w:autoRedefine/>
    <w:qFormat/>
    <w:uiPriority w:val="99"/>
  </w:style>
  <w:style w:type="paragraph" w:customStyle="1" w:styleId="244">
    <w:name w:val="注："/>
    <w:next w:val="79"/>
    <w:autoRedefine/>
    <w:qFormat/>
    <w:uiPriority w:val="99"/>
    <w:pPr>
      <w:widowControl w:val="0"/>
      <w:autoSpaceDE w:val="0"/>
      <w:autoSpaceDN w:val="0"/>
      <w:ind w:left="726" w:hanging="363"/>
      <w:jc w:val="both"/>
    </w:pPr>
    <w:rPr>
      <w:rFonts w:ascii="宋体" w:hAnsi="Times New Roman" w:eastAsia="宋体" w:cs="宋体"/>
      <w:sz w:val="18"/>
      <w:szCs w:val="18"/>
      <w:lang w:val="en-US" w:eastAsia="zh-CN" w:bidi="ar-SA"/>
    </w:rPr>
  </w:style>
  <w:style w:type="paragraph" w:customStyle="1" w:styleId="245">
    <w:name w:val="五级无标题条"/>
    <w:basedOn w:val="1"/>
    <w:autoRedefine/>
    <w:qFormat/>
    <w:uiPriority w:val="99"/>
    <w:pPr>
      <w:tabs>
        <w:tab w:val="left" w:pos="0"/>
      </w:tabs>
      <w:ind w:left="992" w:hanging="629"/>
    </w:pPr>
    <w:rPr>
      <w:szCs w:val="21"/>
    </w:rPr>
  </w:style>
  <w:style w:type="paragraph" w:customStyle="1" w:styleId="246">
    <w:name w:val="font0"/>
    <w:basedOn w:val="1"/>
    <w:autoRedefine/>
    <w:qFormat/>
    <w:uiPriority w:val="99"/>
    <w:pPr>
      <w:widowControl/>
      <w:spacing w:before="100" w:beforeAutospacing="1" w:after="100" w:afterAutospacing="1" w:line="240" w:lineRule="auto"/>
      <w:ind w:firstLine="0" w:firstLineChars="0"/>
      <w:jc w:val="left"/>
    </w:pPr>
    <w:rPr>
      <w:rFonts w:ascii="宋体" w:hAnsi="宋体" w:eastAsia="宋体"/>
      <w:kern w:val="0"/>
      <w:sz w:val="24"/>
    </w:rPr>
  </w:style>
  <w:style w:type="paragraph" w:customStyle="1" w:styleId="247">
    <w:name w:val="font8"/>
    <w:basedOn w:val="1"/>
    <w:autoRedefine/>
    <w:qFormat/>
    <w:uiPriority w:val="99"/>
    <w:pPr>
      <w:widowControl/>
      <w:spacing w:before="100" w:beforeAutospacing="1" w:after="100" w:afterAutospacing="1" w:line="240" w:lineRule="auto"/>
      <w:ind w:firstLine="0" w:firstLineChars="0"/>
      <w:jc w:val="left"/>
    </w:pPr>
    <w:rPr>
      <w:rFonts w:ascii="宋体" w:hAnsi="宋体" w:eastAsia="宋体"/>
      <w:color w:val="000000"/>
      <w:kern w:val="0"/>
      <w:sz w:val="40"/>
      <w:szCs w:val="40"/>
    </w:rPr>
  </w:style>
  <w:style w:type="paragraph" w:customStyle="1" w:styleId="248">
    <w:name w:val="封面标准英文名称"/>
    <w:basedOn w:val="249"/>
    <w:autoRedefine/>
    <w:qFormat/>
    <w:uiPriority w:val="0"/>
    <w:pPr>
      <w:spacing w:before="370" w:line="400" w:lineRule="exact"/>
    </w:pPr>
    <w:rPr>
      <w:rFonts w:ascii="Times New Roman" w:cs="Times New Roman"/>
      <w:sz w:val="28"/>
      <w:szCs w:val="28"/>
    </w:rPr>
  </w:style>
  <w:style w:type="paragraph" w:customStyle="1" w:styleId="249">
    <w:name w:val="封面标准名称"/>
    <w:autoRedefine/>
    <w:qFormat/>
    <w:uiPriority w:val="99"/>
    <w:pPr>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250">
    <w:name w:val="前言、引言标题"/>
    <w:next w:val="79"/>
    <w:autoRedefine/>
    <w:qFormat/>
    <w:uiPriority w:val="99"/>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251">
    <w:name w:val="Char Char Char Char Char Char1 Char"/>
    <w:basedOn w:val="1"/>
    <w:autoRedefine/>
    <w:qFormat/>
    <w:uiPriority w:val="99"/>
    <w:pPr>
      <w:spacing w:line="240" w:lineRule="auto"/>
      <w:ind w:firstLine="0" w:firstLineChars="0"/>
    </w:pPr>
    <w:rPr>
      <w:rFonts w:eastAsia="宋体"/>
      <w:sz w:val="21"/>
      <w:szCs w:val="20"/>
    </w:rPr>
  </w:style>
  <w:style w:type="paragraph" w:customStyle="1" w:styleId="252">
    <w:name w:val="注×："/>
    <w:autoRedefine/>
    <w:qFormat/>
    <w:uiPriority w:val="99"/>
    <w:pPr>
      <w:widowControl w:val="0"/>
      <w:autoSpaceDE w:val="0"/>
      <w:autoSpaceDN w:val="0"/>
      <w:ind w:left="811" w:hanging="448"/>
      <w:jc w:val="both"/>
    </w:pPr>
    <w:rPr>
      <w:rFonts w:ascii="宋体" w:hAnsi="Times New Roman" w:eastAsia="宋体" w:cs="宋体"/>
      <w:sz w:val="18"/>
      <w:szCs w:val="18"/>
      <w:lang w:val="en-US" w:eastAsia="zh-CN" w:bidi="ar-SA"/>
    </w:rPr>
  </w:style>
  <w:style w:type="paragraph" w:customStyle="1" w:styleId="253">
    <w:name w:val="font10"/>
    <w:basedOn w:val="1"/>
    <w:autoRedefine/>
    <w:qFormat/>
    <w:uiPriority w:val="99"/>
    <w:pPr>
      <w:widowControl/>
      <w:spacing w:before="100" w:beforeAutospacing="1" w:after="100" w:afterAutospacing="1" w:line="240" w:lineRule="auto"/>
      <w:ind w:firstLine="0" w:firstLineChars="0"/>
      <w:jc w:val="left"/>
    </w:pPr>
    <w:rPr>
      <w:rFonts w:eastAsia="宋体"/>
      <w:kern w:val="0"/>
      <w:sz w:val="24"/>
    </w:rPr>
  </w:style>
  <w:style w:type="paragraph" w:customStyle="1" w:styleId="254">
    <w:name w:val="正文01"/>
    <w:basedOn w:val="1"/>
    <w:autoRedefine/>
    <w:qFormat/>
    <w:uiPriority w:val="99"/>
    <w:pPr>
      <w:spacing w:before="40" w:line="360" w:lineRule="exact"/>
    </w:pPr>
    <w:rPr>
      <w:rFonts w:eastAsia="宋体"/>
      <w:sz w:val="21"/>
    </w:rPr>
  </w:style>
  <w:style w:type="paragraph" w:customStyle="1" w:styleId="255">
    <w:name w:val="xl3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eastAsia="Times New Roman"/>
      <w:kern w:val="0"/>
      <w:sz w:val="22"/>
      <w:szCs w:val="22"/>
    </w:rPr>
  </w:style>
  <w:style w:type="paragraph" w:customStyle="1" w:styleId="256">
    <w:name w:val="修订3"/>
    <w:autoRedefine/>
    <w:qFormat/>
    <w:uiPriority w:val="99"/>
    <w:rPr>
      <w:rFonts w:ascii="Times New Roman" w:hAnsi="Times New Roman" w:eastAsia="宋体" w:cs="Times New Roman"/>
      <w:kern w:val="2"/>
      <w:sz w:val="21"/>
      <w:szCs w:val="21"/>
      <w:lang w:val="en-US" w:eastAsia="zh-CN" w:bidi="ar-SA"/>
    </w:rPr>
  </w:style>
  <w:style w:type="paragraph" w:customStyle="1" w:styleId="257">
    <w:name w:val="样式3"/>
    <w:basedOn w:val="1"/>
    <w:autoRedefine/>
    <w:qFormat/>
    <w:uiPriority w:val="99"/>
    <w:pPr>
      <w:spacing w:line="240" w:lineRule="auto"/>
      <w:ind w:firstLine="473" w:firstLineChars="225"/>
    </w:pPr>
    <w:rPr>
      <w:rFonts w:eastAsia="楷体_GB2312"/>
    </w:rPr>
  </w:style>
  <w:style w:type="paragraph" w:customStyle="1" w:styleId="258">
    <w:name w:val="Char1 Char Char Char1"/>
    <w:basedOn w:val="1"/>
    <w:next w:val="32"/>
    <w:autoRedefine/>
    <w:qFormat/>
    <w:uiPriority w:val="99"/>
    <w:pPr>
      <w:spacing w:line="360" w:lineRule="auto"/>
      <w:ind w:firstLine="480"/>
    </w:pPr>
    <w:rPr>
      <w:szCs w:val="21"/>
    </w:rPr>
  </w:style>
  <w:style w:type="paragraph" w:customStyle="1" w:styleId="259">
    <w:name w:val="附录五级无"/>
    <w:basedOn w:val="127"/>
    <w:autoRedefine/>
    <w:qFormat/>
    <w:uiPriority w:val="0"/>
    <w:pPr>
      <w:spacing w:beforeLines="0" w:afterLines="0"/>
    </w:pPr>
    <w:rPr>
      <w:rFonts w:ascii="宋体" w:eastAsia="宋体" w:cs="宋体"/>
    </w:rPr>
  </w:style>
  <w:style w:type="paragraph" w:customStyle="1" w:styleId="260">
    <w:name w:val="列表段落2"/>
    <w:basedOn w:val="1"/>
    <w:autoRedefine/>
    <w:qFormat/>
    <w:uiPriority w:val="99"/>
    <w:pPr>
      <w:spacing w:line="240" w:lineRule="auto"/>
      <w:ind w:firstLine="420"/>
    </w:pPr>
    <w:rPr>
      <w:rFonts w:ascii="Calibri" w:hAnsi="Calibri" w:eastAsia="宋体"/>
      <w:sz w:val="21"/>
      <w:szCs w:val="22"/>
    </w:rPr>
  </w:style>
  <w:style w:type="paragraph" w:customStyle="1" w:styleId="261">
    <w:name w:val="四级无"/>
    <w:basedOn w:val="106"/>
    <w:autoRedefine/>
    <w:qFormat/>
    <w:uiPriority w:val="0"/>
    <w:rPr>
      <w:rFonts w:ascii="宋体" w:eastAsia="宋体" w:cs="宋体"/>
    </w:rPr>
  </w:style>
  <w:style w:type="paragraph" w:customStyle="1" w:styleId="262">
    <w:name w:val="xl39"/>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kern w:val="0"/>
      <w:sz w:val="24"/>
    </w:rPr>
  </w:style>
  <w:style w:type="paragraph" w:customStyle="1" w:styleId="263">
    <w:name w:val="表1"/>
    <w:basedOn w:val="1"/>
    <w:autoRedefine/>
    <w:qFormat/>
    <w:uiPriority w:val="99"/>
    <w:pPr>
      <w:widowControl/>
      <w:spacing w:line="240" w:lineRule="atLeast"/>
      <w:jc w:val="center"/>
    </w:pPr>
    <w:rPr>
      <w:kern w:val="0"/>
      <w:sz w:val="24"/>
      <w:lang w:eastAsia="en-US"/>
    </w:rPr>
  </w:style>
  <w:style w:type="paragraph" w:customStyle="1" w:styleId="264">
    <w:name w:val="示例后文字"/>
    <w:basedOn w:val="79"/>
    <w:next w:val="79"/>
    <w:autoRedefine/>
    <w:qFormat/>
    <w:uiPriority w:val="99"/>
    <w:pPr>
      <w:tabs>
        <w:tab w:val="center" w:pos="4201"/>
        <w:tab w:val="right" w:leader="dot" w:pos="9298"/>
      </w:tabs>
      <w:ind w:firstLine="360"/>
    </w:pPr>
    <w:rPr>
      <w:rFonts w:cs="宋体"/>
      <w:sz w:val="18"/>
      <w:szCs w:val="18"/>
    </w:rPr>
  </w:style>
  <w:style w:type="paragraph" w:customStyle="1" w:styleId="265">
    <w:name w:val="UserStyle_26"/>
    <w:autoRedefine/>
    <w:qFormat/>
    <w:uiPriority w:val="99"/>
    <w:pPr>
      <w:textAlignment w:val="baseline"/>
    </w:pPr>
    <w:rPr>
      <w:rFonts w:ascii="Times New Roman" w:hAnsi="Times New Roman" w:eastAsia="宋体" w:cs="Times New Roman"/>
      <w:kern w:val="2"/>
      <w:sz w:val="21"/>
      <w:lang w:val="en-US" w:eastAsia="zh-CN" w:bidi="ar-SA"/>
    </w:rPr>
  </w:style>
  <w:style w:type="paragraph" w:customStyle="1" w:styleId="266">
    <w:name w:val="页眉1"/>
    <w:basedOn w:val="1"/>
    <w:link w:val="545"/>
    <w:autoRedefine/>
    <w:qFormat/>
    <w:uiPriority w:val="0"/>
    <w:pPr>
      <w:widowControl/>
      <w:pBdr>
        <w:bottom w:val="single" w:color="000000" w:sz="6" w:space="0"/>
      </w:pBdr>
      <w:snapToGrid w:val="0"/>
      <w:spacing w:line="240" w:lineRule="auto"/>
      <w:ind w:firstLine="0" w:firstLineChars="0"/>
      <w:jc w:val="center"/>
      <w:textAlignment w:val="baseline"/>
    </w:pPr>
    <w:rPr>
      <w:rFonts w:eastAsia="宋体"/>
      <w:kern w:val="0"/>
      <w:sz w:val="18"/>
      <w:szCs w:val="20"/>
    </w:rPr>
  </w:style>
  <w:style w:type="paragraph" w:customStyle="1" w:styleId="267">
    <w:name w:val="其他标准称谓"/>
    <w:next w:val="1"/>
    <w:autoRedefine/>
    <w:qFormat/>
    <w:uiPriority w:val="99"/>
    <w:pPr>
      <w:spacing w:line="240" w:lineRule="atLeast"/>
      <w:jc w:val="distribute"/>
    </w:pPr>
    <w:rPr>
      <w:rFonts w:ascii="黑体" w:hAnsi="宋体" w:eastAsia="黑体" w:cs="黑体"/>
      <w:spacing w:val="-40"/>
      <w:sz w:val="48"/>
      <w:szCs w:val="48"/>
      <w:lang w:val="en-US" w:eastAsia="zh-CN" w:bidi="ar-SA"/>
    </w:rPr>
  </w:style>
  <w:style w:type="paragraph" w:customStyle="1" w:styleId="268">
    <w:name w:val="xl9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20"/>
      <w:szCs w:val="20"/>
    </w:rPr>
  </w:style>
  <w:style w:type="paragraph" w:customStyle="1" w:styleId="269">
    <w:name w:val="修订2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70">
    <w:name w:val="数字编号列项（二级）"/>
    <w:autoRedefine/>
    <w:qFormat/>
    <w:uiPriority w:val="99"/>
    <w:pPr>
      <w:tabs>
        <w:tab w:val="left" w:pos="1260"/>
      </w:tabs>
      <w:ind w:left="1259" w:hanging="419"/>
      <w:jc w:val="both"/>
    </w:pPr>
    <w:rPr>
      <w:rFonts w:ascii="宋体" w:hAnsi="Times New Roman" w:eastAsia="宋体" w:cs="宋体"/>
      <w:sz w:val="21"/>
      <w:szCs w:val="21"/>
      <w:lang w:val="en-US" w:eastAsia="zh-CN" w:bidi="ar-SA"/>
    </w:rPr>
  </w:style>
  <w:style w:type="paragraph" w:customStyle="1" w:styleId="271">
    <w:name w:val="xl32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ind w:firstLine="0" w:firstLineChars="0"/>
      <w:jc w:val="center"/>
    </w:pPr>
    <w:rPr>
      <w:rFonts w:eastAsia="Times New Roman"/>
      <w:b/>
      <w:bCs/>
      <w:kern w:val="0"/>
      <w:sz w:val="24"/>
    </w:rPr>
  </w:style>
  <w:style w:type="paragraph" w:customStyle="1" w:styleId="272">
    <w:name w:val="引用1"/>
    <w:basedOn w:val="1"/>
    <w:next w:val="1"/>
    <w:autoRedefine/>
    <w:qFormat/>
    <w:uiPriority w:val="99"/>
    <w:pPr>
      <w:widowControl/>
      <w:jc w:val="left"/>
    </w:pPr>
    <w:rPr>
      <w:i/>
      <w:iCs/>
      <w:kern w:val="0"/>
      <w:sz w:val="24"/>
    </w:rPr>
  </w:style>
  <w:style w:type="paragraph" w:customStyle="1" w:styleId="273">
    <w:name w:val="表格文字自调"/>
    <w:basedOn w:val="28"/>
    <w:autoRedefine/>
    <w:qFormat/>
    <w:uiPriority w:val="99"/>
    <w:pPr>
      <w:spacing w:beforeLines="30" w:afterLines="30" w:line="360" w:lineRule="auto"/>
      <w:ind w:firstLine="640"/>
    </w:pPr>
    <w:rPr>
      <w:rFonts w:ascii="仿宋_GB2312" w:hAnsi="Times New Roman" w:eastAsia="仿宋_GB2312"/>
      <w:kern w:val="2"/>
      <w:sz w:val="32"/>
      <w:szCs w:val="32"/>
    </w:rPr>
  </w:style>
  <w:style w:type="paragraph" w:customStyle="1" w:styleId="274">
    <w:name w:val="xl8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275">
    <w:name w:val="附录标题"/>
    <w:basedOn w:val="79"/>
    <w:next w:val="79"/>
    <w:autoRedefine/>
    <w:qFormat/>
    <w:uiPriority w:val="99"/>
    <w:pPr>
      <w:tabs>
        <w:tab w:val="center" w:pos="4201"/>
        <w:tab w:val="right" w:leader="dot" w:pos="9298"/>
      </w:tabs>
      <w:ind w:firstLine="0" w:firstLineChars="0"/>
      <w:jc w:val="center"/>
    </w:pPr>
    <w:rPr>
      <w:rFonts w:ascii="黑体" w:eastAsia="黑体" w:cs="黑体"/>
      <w:sz w:val="22"/>
      <w:szCs w:val="22"/>
    </w:rPr>
  </w:style>
  <w:style w:type="paragraph" w:customStyle="1" w:styleId="276">
    <w:name w:val="Char Char Char Char Char Char1 Char Char Char Char"/>
    <w:basedOn w:val="1"/>
    <w:autoRedefine/>
    <w:qFormat/>
    <w:uiPriority w:val="99"/>
    <w:pPr>
      <w:spacing w:line="360" w:lineRule="auto"/>
    </w:pPr>
    <w:rPr>
      <w:rFonts w:ascii="宋体" w:hAnsi="宋体" w:eastAsia="宋体" w:cs="宋体"/>
      <w:sz w:val="24"/>
    </w:rPr>
  </w:style>
  <w:style w:type="paragraph" w:customStyle="1" w:styleId="277">
    <w:name w:val="xl73"/>
    <w:basedOn w:val="1"/>
    <w:autoRedefine/>
    <w:qFormat/>
    <w:uiPriority w:val="99"/>
    <w:pPr>
      <w:widowControl/>
      <w:spacing w:before="100" w:beforeAutospacing="1" w:after="100" w:afterAutospacing="1"/>
      <w:jc w:val="center"/>
    </w:pPr>
    <w:rPr>
      <w:rFonts w:ascii="宋体" w:hAnsi="宋体" w:cs="宋体"/>
      <w:kern w:val="0"/>
      <w:sz w:val="18"/>
      <w:szCs w:val="18"/>
    </w:rPr>
  </w:style>
  <w:style w:type="paragraph" w:customStyle="1" w:styleId="278">
    <w:name w:val="样式 样式 宋体 小四 段前: 6 磅 行距: 1.5 倍行距 + 首行缩进:  2.24 字符"/>
    <w:basedOn w:val="1"/>
    <w:autoRedefine/>
    <w:qFormat/>
    <w:uiPriority w:val="99"/>
    <w:pPr>
      <w:numPr>
        <w:ilvl w:val="0"/>
        <w:numId w:val="3"/>
      </w:numPr>
      <w:spacing w:line="360" w:lineRule="auto"/>
      <w:ind w:firstLine="0" w:firstLineChars="0"/>
    </w:pPr>
    <w:rPr>
      <w:rFonts w:ascii="宋体" w:hAnsi="宋体" w:eastAsia="宋体"/>
      <w:sz w:val="28"/>
    </w:rPr>
  </w:style>
  <w:style w:type="paragraph" w:customStyle="1" w:styleId="279">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0">
    <w:name w:val="_Style 4"/>
    <w:basedOn w:val="1"/>
    <w:autoRedefine/>
    <w:qFormat/>
    <w:uiPriority w:val="99"/>
    <w:pPr>
      <w:spacing w:line="240" w:lineRule="auto"/>
      <w:ind w:firstLine="0" w:firstLineChars="0"/>
    </w:pPr>
    <w:rPr>
      <w:rFonts w:eastAsia="宋体"/>
      <w:sz w:val="21"/>
    </w:rPr>
  </w:style>
  <w:style w:type="paragraph" w:customStyle="1" w:styleId="281">
    <w:name w:val="xl46"/>
    <w:basedOn w:val="1"/>
    <w:autoRedefine/>
    <w:qFormat/>
    <w:uiPriority w:val="99"/>
    <w:pPr>
      <w:widowControl/>
      <w:pBdr>
        <w:bottom w:val="single" w:color="auto" w:sz="4" w:space="0"/>
      </w:pBdr>
      <w:spacing w:before="100" w:beforeAutospacing="1" w:after="100" w:afterAutospacing="1" w:line="240" w:lineRule="auto"/>
      <w:ind w:firstLine="0" w:firstLineChars="0"/>
      <w:jc w:val="right"/>
    </w:pPr>
    <w:rPr>
      <w:rFonts w:ascii="宋体" w:hAnsi="宋体" w:eastAsia="宋体"/>
      <w:color w:val="000000"/>
      <w:kern w:val="0"/>
      <w:sz w:val="24"/>
    </w:rPr>
  </w:style>
  <w:style w:type="paragraph" w:customStyle="1" w:styleId="282">
    <w:name w:val="TOC2"/>
    <w:basedOn w:val="1"/>
    <w:next w:val="1"/>
    <w:autoRedefine/>
    <w:qFormat/>
    <w:uiPriority w:val="99"/>
    <w:pPr>
      <w:widowControl/>
      <w:spacing w:line="240" w:lineRule="auto"/>
      <w:ind w:left="-135" w:leftChars="-135" w:hanging="283" w:hangingChars="135"/>
      <w:textAlignment w:val="baseline"/>
    </w:pPr>
    <w:rPr>
      <w:rFonts w:eastAsia="宋体"/>
      <w:sz w:val="21"/>
      <w:szCs w:val="20"/>
    </w:rPr>
  </w:style>
  <w:style w:type="paragraph" w:customStyle="1" w:styleId="283">
    <w:name w:val="Heading5"/>
    <w:basedOn w:val="1"/>
    <w:next w:val="1"/>
    <w:link w:val="458"/>
    <w:autoRedefine/>
    <w:qFormat/>
    <w:uiPriority w:val="0"/>
    <w:pPr>
      <w:keepNext/>
      <w:keepLines/>
      <w:widowControl/>
      <w:spacing w:before="280" w:after="290" w:line="372" w:lineRule="auto"/>
      <w:ind w:firstLine="0" w:firstLineChars="0"/>
      <w:textAlignment w:val="baseline"/>
    </w:pPr>
    <w:rPr>
      <w:rFonts w:eastAsia="宋体"/>
      <w:b/>
      <w:kern w:val="44"/>
      <w:sz w:val="36"/>
      <w:szCs w:val="20"/>
    </w:rPr>
  </w:style>
  <w:style w:type="paragraph" w:customStyle="1" w:styleId="284">
    <w:name w:val="xl29"/>
    <w:basedOn w:val="1"/>
    <w:autoRedefine/>
    <w:qFormat/>
    <w:uiPriority w:val="99"/>
    <w:pPr>
      <w:widowControl/>
      <w:pBdr>
        <w:right w:val="single" w:color="auto" w:sz="4" w:space="0"/>
      </w:pBdr>
      <w:spacing w:before="100" w:beforeAutospacing="1" w:after="100" w:afterAutospacing="1" w:line="240" w:lineRule="auto"/>
      <w:ind w:firstLine="0" w:firstLineChars="0"/>
    </w:pPr>
    <w:rPr>
      <w:rFonts w:ascii="宋体" w:hAnsi="宋体" w:eastAsia="宋体"/>
      <w:color w:val="000000"/>
      <w:kern w:val="0"/>
      <w:sz w:val="24"/>
    </w:rPr>
  </w:style>
  <w:style w:type="paragraph" w:customStyle="1" w:styleId="285">
    <w:name w:val="正文表标题"/>
    <w:next w:val="79"/>
    <w:link w:val="741"/>
    <w:autoRedefine/>
    <w:qFormat/>
    <w:uiPriority w:val="0"/>
    <w:pPr>
      <w:numPr>
        <w:ilvl w:val="0"/>
        <w:numId w:val="4"/>
      </w:numPr>
      <w:spacing w:after="200" w:line="276" w:lineRule="auto"/>
      <w:jc w:val="center"/>
    </w:pPr>
    <w:rPr>
      <w:rFonts w:ascii="黑体" w:hAnsi="Times New Roman" w:eastAsia="黑体" w:cs="Times New Roman"/>
      <w:sz w:val="21"/>
      <w:szCs w:val="21"/>
      <w:lang w:val="en-US" w:eastAsia="zh-CN" w:bidi="ar-SA"/>
    </w:rPr>
  </w:style>
  <w:style w:type="paragraph" w:customStyle="1" w:styleId="286">
    <w:name w:val="font5"/>
    <w:basedOn w:val="1"/>
    <w:autoRedefine/>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287">
    <w:name w:val="图表脚注说明"/>
    <w:basedOn w:val="1"/>
    <w:autoRedefine/>
    <w:qFormat/>
    <w:uiPriority w:val="99"/>
    <w:pPr>
      <w:ind w:left="544" w:hanging="181"/>
    </w:pPr>
    <w:rPr>
      <w:rFonts w:ascii="宋体" w:cs="宋体"/>
      <w:sz w:val="18"/>
      <w:szCs w:val="18"/>
    </w:rPr>
  </w:style>
  <w:style w:type="paragraph" w:customStyle="1" w:styleId="288">
    <w:name w:val="列项说明数字编号"/>
    <w:autoRedefine/>
    <w:qFormat/>
    <w:uiPriority w:val="99"/>
    <w:pPr>
      <w:ind w:left="600" w:leftChars="400" w:hanging="200" w:hangingChars="200"/>
    </w:pPr>
    <w:rPr>
      <w:rFonts w:ascii="宋体" w:hAnsi="Times New Roman" w:eastAsia="宋体" w:cs="宋体"/>
      <w:sz w:val="21"/>
      <w:szCs w:val="21"/>
      <w:lang w:val="en-US" w:eastAsia="zh-CN" w:bidi="ar-SA"/>
    </w:rPr>
  </w:style>
  <w:style w:type="paragraph" w:customStyle="1" w:styleId="289">
    <w:name w:val="xl41"/>
    <w:basedOn w:val="1"/>
    <w:autoRedefine/>
    <w:qFormat/>
    <w:uiPriority w:val="99"/>
    <w:pPr>
      <w:widowControl/>
      <w:spacing w:before="100" w:beforeAutospacing="1" w:after="100" w:afterAutospacing="1" w:line="240" w:lineRule="auto"/>
      <w:ind w:firstLine="0" w:firstLineChars="0"/>
      <w:jc w:val="right"/>
    </w:pPr>
    <w:rPr>
      <w:rFonts w:eastAsia="宋体"/>
      <w:kern w:val="0"/>
      <w:sz w:val="21"/>
      <w:szCs w:val="21"/>
    </w:rPr>
  </w:style>
  <w:style w:type="paragraph" w:customStyle="1" w:styleId="290">
    <w:name w:val="正文文本缩进 21"/>
    <w:basedOn w:val="1"/>
    <w:autoRedefine/>
    <w:qFormat/>
    <w:uiPriority w:val="99"/>
    <w:pPr>
      <w:widowControl/>
      <w:tabs>
        <w:tab w:val="left" w:pos="360"/>
      </w:tabs>
      <w:spacing w:line="440" w:lineRule="exact"/>
      <w:ind w:firstLine="480"/>
      <w:jc w:val="left"/>
    </w:pPr>
    <w:rPr>
      <w:sz w:val="24"/>
    </w:rPr>
  </w:style>
  <w:style w:type="paragraph" w:customStyle="1" w:styleId="291">
    <w:name w:val="xl9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24"/>
    </w:rPr>
  </w:style>
  <w:style w:type="paragraph" w:customStyle="1" w:styleId="292">
    <w:name w:val="列出段落211"/>
    <w:basedOn w:val="1"/>
    <w:autoRedefine/>
    <w:qFormat/>
    <w:uiPriority w:val="99"/>
    <w:pPr>
      <w:ind w:firstLine="420"/>
    </w:pPr>
    <w:rPr>
      <w:szCs w:val="21"/>
    </w:rPr>
  </w:style>
  <w:style w:type="paragraph" w:customStyle="1" w:styleId="293">
    <w:name w:val="xl35"/>
    <w:basedOn w:val="1"/>
    <w:autoRedefine/>
    <w:qFormat/>
    <w:uiPriority w:val="99"/>
    <w:pPr>
      <w:widowControl/>
      <w:pBdr>
        <w:left w:val="single" w:color="auto" w:sz="4" w:space="0"/>
        <w:right w:val="single" w:color="auto" w:sz="4" w:space="0"/>
      </w:pBdr>
      <w:spacing w:before="100" w:beforeAutospacing="1" w:after="100" w:afterAutospacing="1" w:line="240" w:lineRule="auto"/>
      <w:ind w:firstLine="0" w:firstLineChars="0"/>
    </w:pPr>
    <w:rPr>
      <w:rFonts w:ascii="宋体" w:hAnsi="宋体" w:eastAsia="宋体"/>
      <w:color w:val="000000"/>
      <w:kern w:val="0"/>
      <w:sz w:val="24"/>
    </w:rPr>
  </w:style>
  <w:style w:type="paragraph" w:customStyle="1" w:styleId="294">
    <w:name w:val="表正文"/>
    <w:basedOn w:val="1"/>
    <w:autoRedefine/>
    <w:qFormat/>
    <w:uiPriority w:val="99"/>
    <w:pPr>
      <w:spacing w:line="320" w:lineRule="exact"/>
      <w:ind w:firstLine="0" w:firstLineChars="0"/>
      <w:jc w:val="center"/>
    </w:pPr>
    <w:rPr>
      <w:rFonts w:ascii="宋体" w:hAnsi="宋体" w:eastAsia="宋体"/>
      <w:sz w:val="18"/>
      <w:szCs w:val="20"/>
    </w:rPr>
  </w:style>
  <w:style w:type="paragraph" w:customStyle="1" w:styleId="295">
    <w:name w:val="参考文献、索引标题"/>
    <w:basedOn w:val="1"/>
    <w:next w:val="79"/>
    <w:autoRedefine/>
    <w:qFormat/>
    <w:uiPriority w:val="99"/>
    <w:pPr>
      <w:keepNext/>
      <w:pageBreakBefore/>
      <w:widowControl/>
      <w:shd w:val="clear" w:color="FFFFFF" w:fill="FFFFFF"/>
      <w:spacing w:before="640" w:after="200"/>
      <w:jc w:val="center"/>
      <w:outlineLvl w:val="0"/>
    </w:pPr>
    <w:rPr>
      <w:rFonts w:ascii="黑体" w:eastAsia="黑体" w:cs="黑体"/>
      <w:kern w:val="0"/>
      <w:szCs w:val="21"/>
    </w:rPr>
  </w:style>
  <w:style w:type="paragraph" w:customStyle="1" w:styleId="296">
    <w:name w:val="Char Char Char1 Char Char Char Char Char Char Char Char Char Char"/>
    <w:basedOn w:val="1"/>
    <w:autoRedefine/>
    <w:qFormat/>
    <w:uiPriority w:val="99"/>
    <w:pPr>
      <w:spacing w:line="240" w:lineRule="auto"/>
      <w:ind w:firstLine="0" w:firstLineChars="0"/>
    </w:pPr>
    <w:rPr>
      <w:rFonts w:eastAsia="宋体"/>
      <w:sz w:val="21"/>
    </w:rPr>
  </w:style>
  <w:style w:type="paragraph" w:customStyle="1" w:styleId="297">
    <w:name w:val="xl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8">
    <w:name w:val="列出段落1"/>
    <w:basedOn w:val="1"/>
    <w:autoRedefine/>
    <w:qFormat/>
    <w:uiPriority w:val="34"/>
    <w:pPr>
      <w:ind w:firstLine="420"/>
    </w:pPr>
    <w:rPr>
      <w:szCs w:val="21"/>
    </w:rPr>
  </w:style>
  <w:style w:type="paragraph" w:customStyle="1" w:styleId="299">
    <w:name w:val="题目"/>
    <w:basedOn w:val="1"/>
    <w:autoRedefine/>
    <w:qFormat/>
    <w:uiPriority w:val="99"/>
    <w:pPr>
      <w:snapToGrid w:val="0"/>
      <w:spacing w:line="480" w:lineRule="auto"/>
      <w:ind w:firstLine="0" w:firstLineChars="0"/>
    </w:pPr>
    <w:rPr>
      <w:rFonts w:eastAsia="黑体"/>
      <w:sz w:val="44"/>
      <w:szCs w:val="20"/>
    </w:rPr>
  </w:style>
  <w:style w:type="paragraph" w:customStyle="1" w:styleId="300">
    <w:name w:val="xl3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eastAsia="宋体"/>
      <w:kern w:val="0"/>
      <w:sz w:val="21"/>
      <w:szCs w:val="21"/>
    </w:rPr>
  </w:style>
  <w:style w:type="paragraph" w:customStyle="1" w:styleId="301">
    <w:name w:val="msonormal"/>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302">
    <w:name w:val="块项目"/>
    <w:next w:val="55"/>
    <w:autoRedefine/>
    <w:qFormat/>
    <w:uiPriority w:val="99"/>
    <w:pPr>
      <w:tabs>
        <w:tab w:val="left" w:pos="425"/>
      </w:tabs>
      <w:spacing w:before="120" w:after="40"/>
      <w:ind w:left="425" w:hanging="425"/>
    </w:pPr>
    <w:rPr>
      <w:rFonts w:ascii="Times New Roman" w:hAnsi="Times New Roman" w:eastAsia="宋体" w:cs="Times New Roman"/>
      <w:b/>
      <w:bCs/>
      <w:spacing w:val="20"/>
      <w:sz w:val="24"/>
      <w:szCs w:val="24"/>
      <w:lang w:val="en-US" w:eastAsia="zh-CN" w:bidi="ar-SA"/>
    </w:rPr>
  </w:style>
  <w:style w:type="paragraph" w:customStyle="1" w:styleId="303">
    <w:name w:val="Char4"/>
    <w:basedOn w:val="1"/>
    <w:autoRedefine/>
    <w:qFormat/>
    <w:uiPriority w:val="99"/>
    <w:pPr>
      <w:spacing w:line="360" w:lineRule="auto"/>
    </w:pPr>
    <w:rPr>
      <w:rFonts w:ascii="Tahoma" w:hAnsi="Tahoma" w:cs="Tahoma"/>
      <w:sz w:val="24"/>
    </w:rPr>
  </w:style>
  <w:style w:type="paragraph" w:customStyle="1" w:styleId="304">
    <w:name w:val="UserStyle_21"/>
    <w:basedOn w:val="1"/>
    <w:autoRedefine/>
    <w:qFormat/>
    <w:uiPriority w:val="99"/>
    <w:pPr>
      <w:widowControl/>
      <w:spacing w:line="240" w:lineRule="auto"/>
      <w:ind w:firstLine="420"/>
      <w:textAlignment w:val="baseline"/>
    </w:pPr>
    <w:rPr>
      <w:rFonts w:eastAsia="宋体"/>
      <w:sz w:val="21"/>
      <w:szCs w:val="20"/>
    </w:rPr>
  </w:style>
  <w:style w:type="paragraph" w:customStyle="1" w:styleId="305">
    <w:name w:val="明显引用1"/>
    <w:basedOn w:val="1"/>
    <w:next w:val="1"/>
    <w:autoRedefine/>
    <w:qFormat/>
    <w:uiPriority w:val="99"/>
    <w:pPr>
      <w:widowControl/>
      <w:ind w:left="720" w:right="720"/>
      <w:jc w:val="left"/>
    </w:pPr>
    <w:rPr>
      <w:b/>
      <w:bCs/>
      <w:i/>
      <w:iCs/>
      <w:kern w:val="0"/>
      <w:sz w:val="24"/>
    </w:rPr>
  </w:style>
  <w:style w:type="paragraph" w:customStyle="1" w:styleId="306">
    <w:name w:val="附件内容"/>
    <w:basedOn w:val="1"/>
    <w:link w:val="679"/>
    <w:autoRedefine/>
    <w:qFormat/>
    <w:uiPriority w:val="0"/>
    <w:pPr>
      <w:widowControl/>
      <w:snapToGrid w:val="0"/>
      <w:spacing w:line="276" w:lineRule="auto"/>
      <w:ind w:firstLine="0" w:firstLineChars="0"/>
      <w:jc w:val="center"/>
      <w:textAlignment w:val="center"/>
    </w:pPr>
    <w:rPr>
      <w:rFonts w:ascii="宋体" w:hAnsi="宋体" w:eastAsia="宋体"/>
      <w:sz w:val="21"/>
      <w:szCs w:val="21"/>
    </w:rPr>
  </w:style>
  <w:style w:type="paragraph" w:customStyle="1" w:styleId="307">
    <w:name w:val="标题1"/>
    <w:basedOn w:val="1"/>
    <w:next w:val="1"/>
    <w:autoRedefine/>
    <w:qFormat/>
    <w:uiPriority w:val="99"/>
    <w:pPr>
      <w:tabs>
        <w:tab w:val="left" w:pos="9193"/>
        <w:tab w:val="left" w:pos="9827"/>
      </w:tabs>
      <w:autoSpaceDE w:val="0"/>
      <w:autoSpaceDN w:val="0"/>
      <w:snapToGrid w:val="0"/>
      <w:spacing w:line="700" w:lineRule="atLeast"/>
      <w:ind w:firstLine="0" w:firstLineChars="0"/>
      <w:jc w:val="center"/>
    </w:pPr>
    <w:rPr>
      <w:rFonts w:eastAsia="方正小标宋_GBK"/>
      <w:snapToGrid w:val="0"/>
      <w:kern w:val="0"/>
      <w:sz w:val="44"/>
      <w:szCs w:val="20"/>
    </w:rPr>
  </w:style>
  <w:style w:type="paragraph" w:customStyle="1" w:styleId="308">
    <w:name w:val="xl3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lang w:eastAsia="en-US"/>
    </w:rPr>
  </w:style>
  <w:style w:type="paragraph" w:customStyle="1" w:styleId="309">
    <w:name w:val="报告"/>
    <w:basedOn w:val="1"/>
    <w:autoRedefine/>
    <w:qFormat/>
    <w:uiPriority w:val="99"/>
    <w:pPr>
      <w:adjustRightInd w:val="0"/>
      <w:spacing w:line="360" w:lineRule="auto"/>
      <w:ind w:firstLine="505" w:firstLineChars="0"/>
    </w:pPr>
    <w:rPr>
      <w:rFonts w:eastAsia="宋体"/>
      <w:kern w:val="0"/>
      <w:sz w:val="24"/>
      <w:szCs w:val="20"/>
    </w:rPr>
  </w:style>
  <w:style w:type="paragraph" w:customStyle="1" w:styleId="310">
    <w:name w:val="三级无标题条"/>
    <w:basedOn w:val="1"/>
    <w:autoRedefine/>
    <w:qFormat/>
    <w:uiPriority w:val="99"/>
    <w:pPr>
      <w:tabs>
        <w:tab w:val="left" w:pos="2383"/>
      </w:tabs>
      <w:ind w:left="2196" w:hanging="528"/>
    </w:pPr>
    <w:rPr>
      <w:szCs w:val="21"/>
    </w:rPr>
  </w:style>
  <w:style w:type="paragraph" w:customStyle="1" w:styleId="311">
    <w:name w:val="xl58"/>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olor w:val="000000"/>
      <w:kern w:val="0"/>
      <w:sz w:val="24"/>
    </w:rPr>
  </w:style>
  <w:style w:type="paragraph" w:customStyle="1" w:styleId="312">
    <w:name w:val="附录数字编号列项（二级）"/>
    <w:autoRedefine/>
    <w:qFormat/>
    <w:uiPriority w:val="99"/>
    <w:pPr>
      <w:tabs>
        <w:tab w:val="left" w:pos="840"/>
      </w:tabs>
      <w:ind w:left="839" w:hanging="419"/>
    </w:pPr>
    <w:rPr>
      <w:rFonts w:ascii="宋体" w:hAnsi="Times New Roman" w:eastAsia="宋体" w:cs="宋体"/>
      <w:sz w:val="21"/>
      <w:szCs w:val="21"/>
      <w:lang w:val="en-US" w:eastAsia="zh-CN" w:bidi="ar-SA"/>
    </w:rPr>
  </w:style>
  <w:style w:type="paragraph" w:customStyle="1" w:styleId="313">
    <w:name w:val="附录标识"/>
    <w:basedOn w:val="1"/>
    <w:next w:val="79"/>
    <w:autoRedefine/>
    <w:qFormat/>
    <w:uiPriority w:val="99"/>
    <w:pPr>
      <w:keepNext/>
      <w:widowControl/>
      <w:shd w:val="clear" w:color="FFFFFF" w:fill="FFFFFF"/>
      <w:tabs>
        <w:tab w:val="left" w:pos="6405"/>
      </w:tabs>
      <w:spacing w:before="640" w:after="280"/>
      <w:ind w:left="4620"/>
      <w:jc w:val="center"/>
      <w:outlineLvl w:val="0"/>
    </w:pPr>
    <w:rPr>
      <w:rFonts w:ascii="黑体" w:eastAsia="黑体" w:cs="黑体"/>
      <w:kern w:val="0"/>
      <w:szCs w:val="21"/>
    </w:rPr>
  </w:style>
  <w:style w:type="paragraph" w:customStyle="1" w:styleId="314">
    <w:name w:val="1"/>
    <w:basedOn w:val="1"/>
    <w:next w:val="23"/>
    <w:autoRedefine/>
    <w:qFormat/>
    <w:uiPriority w:val="99"/>
    <w:pPr>
      <w:spacing w:line="600" w:lineRule="atLeast"/>
      <w:ind w:firstLine="640"/>
    </w:pPr>
    <w:rPr>
      <w:rFonts w:ascii="仿宋_GB2312"/>
      <w:szCs w:val="32"/>
    </w:rPr>
  </w:style>
  <w:style w:type="paragraph" w:customStyle="1" w:styleId="315">
    <w:name w:val="基准页脚样式"/>
    <w:basedOn w:val="22"/>
    <w:autoRedefine/>
    <w:qFormat/>
    <w:uiPriority w:val="99"/>
    <w:pPr>
      <w:keepLines/>
      <w:widowControl/>
      <w:spacing w:after="240" w:line="200" w:lineRule="atLeast"/>
      <w:ind w:left="0" w:firstLine="0" w:firstLineChars="0"/>
      <w:jc w:val="both"/>
    </w:pPr>
    <w:rPr>
      <w:rFonts w:ascii="Original Garamond Std Italic" w:hAnsi="Original Garamond Std Italic" w:eastAsia="等线"/>
      <w:kern w:val="2"/>
      <w:sz w:val="18"/>
      <w:szCs w:val="20"/>
      <w:lang w:eastAsia="zh-CN"/>
    </w:rPr>
  </w:style>
  <w:style w:type="paragraph" w:customStyle="1" w:styleId="316">
    <w:name w:val="Char Char Char Char Char"/>
    <w:basedOn w:val="1"/>
    <w:autoRedefine/>
    <w:qFormat/>
    <w:uiPriority w:val="99"/>
    <w:pPr>
      <w:spacing w:line="240" w:lineRule="auto"/>
      <w:ind w:firstLine="0" w:firstLineChars="0"/>
    </w:pPr>
    <w:rPr>
      <w:rFonts w:eastAsia="宋体"/>
      <w:sz w:val="21"/>
    </w:rPr>
  </w:style>
  <w:style w:type="paragraph" w:customStyle="1" w:styleId="317">
    <w:name w:val="Char1 Char Char Char Char Char Char"/>
    <w:basedOn w:val="1"/>
    <w:autoRedefine/>
    <w:qFormat/>
    <w:uiPriority w:val="99"/>
    <w:pPr>
      <w:spacing w:line="240" w:lineRule="auto"/>
      <w:ind w:firstLine="0" w:firstLineChars="0"/>
    </w:pPr>
    <w:rPr>
      <w:rFonts w:eastAsia="宋体"/>
      <w:sz w:val="21"/>
    </w:rPr>
  </w:style>
  <w:style w:type="paragraph" w:customStyle="1" w:styleId="318">
    <w:name w:val="封面标准英文名称2"/>
    <w:basedOn w:val="248"/>
    <w:autoRedefine/>
    <w:qFormat/>
    <w:uiPriority w:val="0"/>
  </w:style>
  <w:style w:type="paragraph" w:customStyle="1" w:styleId="319">
    <w:name w:val="UserStyle_17"/>
    <w:basedOn w:val="1"/>
    <w:link w:val="455"/>
    <w:autoRedefine/>
    <w:qFormat/>
    <w:uiPriority w:val="0"/>
    <w:pPr>
      <w:widowControl/>
      <w:spacing w:line="240" w:lineRule="auto"/>
      <w:ind w:firstLine="0" w:firstLineChars="0"/>
      <w:textAlignment w:val="baseline"/>
    </w:pPr>
    <w:rPr>
      <w:rFonts w:ascii="宋体" w:eastAsia="宋体"/>
      <w:kern w:val="0"/>
      <w:sz w:val="18"/>
      <w:szCs w:val="20"/>
    </w:rPr>
  </w:style>
  <w:style w:type="paragraph" w:customStyle="1" w:styleId="320">
    <w:name w:val="附录二级无"/>
    <w:basedOn w:val="130"/>
    <w:autoRedefine/>
    <w:qFormat/>
    <w:uiPriority w:val="99"/>
    <w:pPr>
      <w:tabs>
        <w:tab w:val="clear" w:pos="360"/>
      </w:tabs>
      <w:spacing w:beforeLines="0" w:afterLines="0"/>
    </w:pPr>
    <w:rPr>
      <w:rFonts w:ascii="宋体" w:eastAsia="宋体" w:cs="宋体"/>
    </w:rPr>
  </w:style>
  <w:style w:type="paragraph" w:customStyle="1" w:styleId="321">
    <w:name w:val="xl51"/>
    <w:basedOn w:val="1"/>
    <w:autoRedefine/>
    <w:qFormat/>
    <w:uiPriority w:val="99"/>
    <w:pPr>
      <w:widowControl/>
      <w:pBdr>
        <w:left w:val="single" w:color="auto" w:sz="4" w:space="0"/>
        <w:bottom w:val="single" w:color="auto" w:sz="4" w:space="0"/>
      </w:pBdr>
      <w:spacing w:before="100" w:beforeAutospacing="1" w:after="100" w:afterAutospacing="1" w:line="240" w:lineRule="auto"/>
      <w:ind w:firstLine="0" w:firstLineChars="0"/>
    </w:pPr>
    <w:rPr>
      <w:rFonts w:eastAsia="宋体"/>
      <w:color w:val="000000"/>
      <w:kern w:val="0"/>
      <w:sz w:val="24"/>
    </w:rPr>
  </w:style>
  <w:style w:type="paragraph" w:customStyle="1" w:styleId="322">
    <w:name w:val="xl77"/>
    <w:basedOn w:val="1"/>
    <w:autoRedefine/>
    <w:qFormat/>
    <w:uiPriority w:val="99"/>
    <w:pPr>
      <w:widowControl/>
      <w:spacing w:before="100" w:beforeAutospacing="1" w:after="100" w:afterAutospacing="1"/>
      <w:jc w:val="center"/>
    </w:pPr>
    <w:rPr>
      <w:rFonts w:ascii="宋体" w:hAnsi="宋体" w:cs="宋体"/>
      <w:kern w:val="0"/>
      <w:sz w:val="18"/>
      <w:szCs w:val="18"/>
    </w:rPr>
  </w:style>
  <w:style w:type="paragraph" w:customStyle="1" w:styleId="323">
    <w:name w:val="Char1 Char Char Char"/>
    <w:basedOn w:val="1"/>
    <w:autoRedefine/>
    <w:qFormat/>
    <w:uiPriority w:val="99"/>
    <w:pPr>
      <w:spacing w:line="240" w:lineRule="auto"/>
      <w:ind w:firstLine="0" w:firstLineChars="0"/>
    </w:pPr>
    <w:rPr>
      <w:rFonts w:eastAsia="宋体"/>
      <w:sz w:val="21"/>
    </w:rPr>
  </w:style>
  <w:style w:type="paragraph" w:customStyle="1" w:styleId="324">
    <w:name w:val="正文中表格"/>
    <w:basedOn w:val="1"/>
    <w:next w:val="1"/>
    <w:autoRedefine/>
    <w:qFormat/>
    <w:uiPriority w:val="99"/>
    <w:pPr>
      <w:topLinePunct/>
      <w:jc w:val="center"/>
    </w:pPr>
    <w:rPr>
      <w:rFonts w:ascii="黑体" w:eastAsia="黑体" w:cs="黑体"/>
      <w:szCs w:val="21"/>
    </w:rPr>
  </w:style>
  <w:style w:type="paragraph" w:customStyle="1" w:styleId="325">
    <w:name w:val="Other|1"/>
    <w:basedOn w:val="1"/>
    <w:autoRedefine/>
    <w:qFormat/>
    <w:uiPriority w:val="0"/>
    <w:rPr>
      <w:sz w:val="20"/>
      <w:szCs w:val="20"/>
    </w:rPr>
  </w:style>
  <w:style w:type="paragraph" w:customStyle="1" w:styleId="326">
    <w:name w:val="列出段落4"/>
    <w:basedOn w:val="1"/>
    <w:autoRedefine/>
    <w:qFormat/>
    <w:uiPriority w:val="99"/>
    <w:pPr>
      <w:ind w:firstLine="420"/>
    </w:pPr>
    <w:rPr>
      <w:szCs w:val="21"/>
    </w:rPr>
  </w:style>
  <w:style w:type="paragraph" w:customStyle="1" w:styleId="327">
    <w:name w:val="表文字"/>
    <w:basedOn w:val="1"/>
    <w:autoRedefine/>
    <w:qFormat/>
    <w:uiPriority w:val="99"/>
    <w:pPr>
      <w:topLinePunct/>
      <w:adjustRightInd w:val="0"/>
      <w:jc w:val="center"/>
    </w:pPr>
    <w:rPr>
      <w:sz w:val="18"/>
      <w:szCs w:val="20"/>
    </w:rPr>
  </w:style>
  <w:style w:type="paragraph" w:customStyle="1" w:styleId="328">
    <w:name w:val="xl8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29">
    <w:name w:val="标题 11"/>
    <w:basedOn w:val="1"/>
    <w:autoRedefine/>
    <w:qFormat/>
    <w:uiPriority w:val="1"/>
    <w:pPr>
      <w:ind w:left="120"/>
      <w:jc w:val="left"/>
      <w:outlineLvl w:val="1"/>
    </w:pPr>
    <w:rPr>
      <w:rFonts w:ascii="宋体" w:hAnsi="宋体"/>
      <w:kern w:val="0"/>
      <w:sz w:val="36"/>
      <w:szCs w:val="36"/>
      <w:lang w:eastAsia="en-US"/>
    </w:rPr>
  </w:style>
  <w:style w:type="paragraph" w:customStyle="1" w:styleId="330">
    <w:name w:val="无间隔2"/>
    <w:autoRedefine/>
    <w:qFormat/>
    <w:uiPriority w:val="99"/>
    <w:pPr>
      <w:widowControl w:val="0"/>
      <w:jc w:val="both"/>
    </w:pPr>
    <w:rPr>
      <w:rFonts w:ascii="Times New Roman" w:hAnsi="Times New Roman" w:eastAsia="宋体" w:cs="Times New Roman"/>
      <w:sz w:val="24"/>
      <w:szCs w:val="24"/>
      <w:lang w:val="en-US" w:eastAsia="en-US" w:bidi="ar-SA"/>
    </w:rPr>
  </w:style>
  <w:style w:type="paragraph" w:customStyle="1" w:styleId="331">
    <w:name w:val="首示例"/>
    <w:next w:val="79"/>
    <w:link w:val="708"/>
    <w:autoRedefine/>
    <w:qFormat/>
    <w:uiPriority w:val="99"/>
    <w:pPr>
      <w:tabs>
        <w:tab w:val="left" w:pos="360"/>
      </w:tabs>
    </w:pPr>
    <w:rPr>
      <w:rFonts w:ascii="宋体" w:hAnsi="Times New Roman" w:eastAsia="宋体" w:cs="宋体"/>
      <w:sz w:val="18"/>
      <w:szCs w:val="18"/>
      <w:lang w:val="en-US" w:eastAsia="zh-CN" w:bidi="ar-SA"/>
    </w:rPr>
  </w:style>
  <w:style w:type="paragraph" w:customStyle="1" w:styleId="332">
    <w:name w:val="日期1"/>
    <w:basedOn w:val="1"/>
    <w:next w:val="1"/>
    <w:autoRedefine/>
    <w:qFormat/>
    <w:uiPriority w:val="99"/>
    <w:pPr>
      <w:ind w:left="100" w:leftChars="2500"/>
    </w:pPr>
    <w:rPr>
      <w:szCs w:val="21"/>
    </w:rPr>
  </w:style>
  <w:style w:type="paragraph" w:customStyle="1" w:styleId="333">
    <w:name w:val="一级无"/>
    <w:basedOn w:val="109"/>
    <w:autoRedefine/>
    <w:qFormat/>
    <w:uiPriority w:val="0"/>
    <w:pPr>
      <w:spacing w:line="240" w:lineRule="auto"/>
      <w:ind w:left="283" w:firstLine="400"/>
      <w:jc w:val="left"/>
    </w:pPr>
    <w:rPr>
      <w:rFonts w:ascii="宋体" w:eastAsia="宋体" w:cs="宋体"/>
    </w:rPr>
  </w:style>
  <w:style w:type="paragraph" w:customStyle="1" w:styleId="334">
    <w:name w:val="列项·"/>
    <w:autoRedefine/>
    <w:qFormat/>
    <w:uiPriority w:val="99"/>
    <w:pPr>
      <w:tabs>
        <w:tab w:val="left" w:pos="360"/>
        <w:tab w:val="left" w:pos="840"/>
      </w:tabs>
      <w:jc w:val="both"/>
    </w:pPr>
    <w:rPr>
      <w:rFonts w:ascii="宋体" w:hAnsi="Times New Roman" w:eastAsia="宋体" w:cs="宋体"/>
      <w:sz w:val="21"/>
      <w:szCs w:val="21"/>
      <w:lang w:val="en-US" w:eastAsia="zh-CN" w:bidi="ar-SA"/>
    </w:rPr>
  </w:style>
  <w:style w:type="paragraph" w:customStyle="1" w:styleId="335">
    <w:name w:val="xl64"/>
    <w:basedOn w:val="1"/>
    <w:autoRedefine/>
    <w:qFormat/>
    <w:uiPriority w:val="99"/>
    <w:pPr>
      <w:widowControl/>
      <w:spacing w:before="100" w:beforeAutospacing="1" w:after="100" w:afterAutospacing="1"/>
      <w:jc w:val="center"/>
    </w:pPr>
    <w:rPr>
      <w:rFonts w:ascii="宋体" w:hAnsi="宋体" w:cs="宋体"/>
      <w:color w:val="000000"/>
      <w:kern w:val="0"/>
      <w:sz w:val="22"/>
      <w:szCs w:val="22"/>
    </w:rPr>
  </w:style>
  <w:style w:type="paragraph" w:customStyle="1" w:styleId="336">
    <w:name w:val="文献分类号"/>
    <w:autoRedefine/>
    <w:qFormat/>
    <w:uiPriority w:val="99"/>
    <w:pPr>
      <w:widowControl w:val="0"/>
      <w:textAlignment w:val="center"/>
    </w:pPr>
    <w:rPr>
      <w:rFonts w:ascii="黑体" w:hAnsi="Times New Roman" w:eastAsia="黑体" w:cs="黑体"/>
      <w:sz w:val="21"/>
      <w:szCs w:val="21"/>
      <w:lang w:val="en-US" w:eastAsia="zh-CN" w:bidi="ar-SA"/>
    </w:rPr>
  </w:style>
  <w:style w:type="paragraph" w:customStyle="1" w:styleId="337">
    <w:name w:val="封面标准名称2"/>
    <w:basedOn w:val="249"/>
    <w:autoRedefine/>
    <w:qFormat/>
    <w:uiPriority w:val="99"/>
    <w:pPr>
      <w:spacing w:beforeLines="630"/>
    </w:pPr>
  </w:style>
  <w:style w:type="paragraph" w:customStyle="1" w:styleId="338">
    <w:name w:val="UserStyle_29"/>
    <w:autoRedefine/>
    <w:qFormat/>
    <w:uiPriority w:val="99"/>
    <w:pPr>
      <w:textAlignment w:val="baseline"/>
    </w:pPr>
    <w:rPr>
      <w:rFonts w:ascii="楷体" w:hAnsi="Times New Roman" w:eastAsia="楷体" w:cs="Times New Roman"/>
      <w:color w:val="000000"/>
      <w:sz w:val="24"/>
      <w:lang w:val="en-US" w:eastAsia="zh-CN" w:bidi="ar-SA"/>
    </w:rPr>
  </w:style>
  <w:style w:type="paragraph" w:customStyle="1" w:styleId="339">
    <w:name w:val="Char Char Char1 Char Char Char Char Char Char1 Char"/>
    <w:basedOn w:val="1"/>
    <w:autoRedefine/>
    <w:qFormat/>
    <w:uiPriority w:val="99"/>
    <w:pPr>
      <w:spacing w:line="360" w:lineRule="auto"/>
    </w:pPr>
    <w:rPr>
      <w:rFonts w:ascii="宋体" w:hAnsi="宋体" w:eastAsia="宋体" w:cs="宋体"/>
      <w:sz w:val="24"/>
    </w:rPr>
  </w:style>
  <w:style w:type="paragraph" w:customStyle="1" w:styleId="340">
    <w:name w:val="注×：（正文）"/>
    <w:autoRedefine/>
    <w:qFormat/>
    <w:uiPriority w:val="99"/>
    <w:pPr>
      <w:ind w:left="811" w:hanging="448"/>
      <w:jc w:val="both"/>
    </w:pPr>
    <w:rPr>
      <w:rFonts w:ascii="宋体" w:hAnsi="Times New Roman" w:eastAsia="宋体" w:cs="宋体"/>
      <w:sz w:val="18"/>
      <w:szCs w:val="18"/>
      <w:lang w:val="en-US" w:eastAsia="zh-CN" w:bidi="ar-SA"/>
    </w:rPr>
  </w:style>
  <w:style w:type="paragraph" w:customStyle="1" w:styleId="341">
    <w:name w:val="无标题条"/>
    <w:next w:val="79"/>
    <w:autoRedefine/>
    <w:qFormat/>
    <w:uiPriority w:val="99"/>
    <w:pPr>
      <w:jc w:val="both"/>
    </w:pPr>
    <w:rPr>
      <w:rFonts w:ascii="Times New Roman" w:hAnsi="Times New Roman" w:eastAsia="宋体" w:cs="Times New Roman"/>
      <w:sz w:val="21"/>
      <w:szCs w:val="21"/>
      <w:lang w:val="en-US" w:eastAsia="zh-CN" w:bidi="ar-SA"/>
    </w:rPr>
  </w:style>
  <w:style w:type="paragraph" w:customStyle="1" w:styleId="342">
    <w:name w:val="Table Paragraph"/>
    <w:basedOn w:val="1"/>
    <w:autoRedefine/>
    <w:qFormat/>
    <w:uiPriority w:val="1"/>
    <w:pPr>
      <w:jc w:val="left"/>
    </w:pPr>
    <w:rPr>
      <w:kern w:val="0"/>
      <w:sz w:val="22"/>
      <w:szCs w:val="22"/>
      <w:lang w:eastAsia="en-US"/>
    </w:rPr>
  </w:style>
  <w:style w:type="paragraph" w:customStyle="1" w:styleId="343">
    <w:name w:val="xl300"/>
    <w:basedOn w:val="1"/>
    <w:autoRedefine/>
    <w:qFormat/>
    <w:uiPriority w:val="99"/>
    <w:pPr>
      <w:widowControl/>
      <w:spacing w:before="100" w:beforeAutospacing="1" w:after="100" w:afterAutospacing="1" w:line="360" w:lineRule="auto"/>
      <w:ind w:firstLine="600"/>
      <w:jc w:val="center"/>
    </w:pPr>
    <w:rPr>
      <w:rFonts w:ascii="宋体" w:hAnsi="宋体" w:eastAsia="宋体" w:cs="宋体"/>
      <w:kern w:val="0"/>
      <w:sz w:val="24"/>
    </w:rPr>
  </w:style>
  <w:style w:type="paragraph" w:customStyle="1" w:styleId="344">
    <w:name w:val="xl8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FF0000"/>
      <w:kern w:val="0"/>
      <w:sz w:val="18"/>
      <w:szCs w:val="18"/>
    </w:rPr>
  </w:style>
  <w:style w:type="paragraph" w:customStyle="1" w:styleId="345">
    <w:name w:val="xl7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46">
    <w:name w:val="xl52"/>
    <w:basedOn w:val="1"/>
    <w:autoRedefine/>
    <w:qFormat/>
    <w:uiPriority w:val="99"/>
    <w:pPr>
      <w:widowControl/>
      <w:spacing w:before="100" w:beforeAutospacing="1" w:after="100" w:afterAutospacing="1" w:line="240" w:lineRule="auto"/>
      <w:ind w:firstLine="0" w:firstLineChars="0"/>
    </w:pPr>
    <w:rPr>
      <w:rFonts w:eastAsia="宋体"/>
      <w:color w:val="000000"/>
      <w:kern w:val="0"/>
      <w:sz w:val="24"/>
    </w:rPr>
  </w:style>
  <w:style w:type="paragraph" w:customStyle="1" w:styleId="347">
    <w:name w:val="其他实施日期"/>
    <w:basedOn w:val="348"/>
    <w:autoRedefine/>
    <w:qFormat/>
    <w:uiPriority w:val="0"/>
  </w:style>
  <w:style w:type="paragraph" w:customStyle="1" w:styleId="348">
    <w:name w:val="实施日期"/>
    <w:basedOn w:val="183"/>
    <w:autoRedefine/>
    <w:qFormat/>
    <w:uiPriority w:val="0"/>
    <w:pPr>
      <w:jc w:val="right"/>
    </w:pPr>
  </w:style>
  <w:style w:type="paragraph" w:customStyle="1" w:styleId="349">
    <w:name w:val="表格字体"/>
    <w:basedOn w:val="1"/>
    <w:autoRedefine/>
    <w:qFormat/>
    <w:uiPriority w:val="99"/>
    <w:pPr>
      <w:spacing w:line="240" w:lineRule="auto"/>
      <w:ind w:firstLine="0" w:firstLineChars="0"/>
    </w:pPr>
    <w:rPr>
      <w:sz w:val="21"/>
      <w:szCs w:val="20"/>
    </w:rPr>
  </w:style>
  <w:style w:type="paragraph" w:customStyle="1" w:styleId="350">
    <w:name w:val="2"/>
    <w:autoRedefine/>
    <w:qFormat/>
    <w:uiPriority w:val="99"/>
    <w:pPr>
      <w:widowControl w:val="0"/>
      <w:spacing w:line="58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customStyle="1" w:styleId="351">
    <w:name w:val="xl40"/>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kern w:val="0"/>
      <w:sz w:val="24"/>
    </w:rPr>
  </w:style>
  <w:style w:type="paragraph" w:customStyle="1" w:styleId="352">
    <w:name w:val="Heading2"/>
    <w:basedOn w:val="1"/>
    <w:next w:val="1"/>
    <w:autoRedefine/>
    <w:qFormat/>
    <w:uiPriority w:val="99"/>
    <w:pPr>
      <w:keepNext/>
      <w:keepLines/>
      <w:widowControl/>
      <w:spacing w:before="60" w:after="60" w:line="413" w:lineRule="auto"/>
      <w:textAlignment w:val="baseline"/>
    </w:pPr>
    <w:rPr>
      <w:rFonts w:ascii="Cambria" w:hAnsi="Cambria" w:eastAsia="黑体"/>
      <w:kern w:val="0"/>
      <w:szCs w:val="20"/>
    </w:rPr>
  </w:style>
  <w:style w:type="paragraph" w:customStyle="1" w:styleId="353">
    <w:name w:val="Char Char Char Char"/>
    <w:basedOn w:val="1"/>
    <w:autoRedefine/>
    <w:qFormat/>
    <w:uiPriority w:val="99"/>
    <w:pPr>
      <w:widowControl/>
      <w:jc w:val="left"/>
    </w:pPr>
    <w:rPr>
      <w:kern w:val="0"/>
      <w:sz w:val="24"/>
      <w:lang w:eastAsia="en-US"/>
    </w:rPr>
  </w:style>
  <w:style w:type="paragraph" w:customStyle="1" w:styleId="354">
    <w:name w:val="列项●（二级）"/>
    <w:autoRedefine/>
    <w:qFormat/>
    <w:uiPriority w:val="99"/>
    <w:pPr>
      <w:tabs>
        <w:tab w:val="left" w:pos="760"/>
        <w:tab w:val="left" w:pos="840"/>
      </w:tabs>
      <w:ind w:left="1264" w:hanging="413"/>
      <w:jc w:val="both"/>
    </w:pPr>
    <w:rPr>
      <w:rFonts w:ascii="宋体" w:hAnsi="Times New Roman" w:eastAsia="宋体" w:cs="宋体"/>
      <w:sz w:val="21"/>
      <w:szCs w:val="21"/>
      <w:lang w:val="en-US" w:eastAsia="zh-CN" w:bidi="ar-SA"/>
    </w:rPr>
  </w:style>
  <w:style w:type="paragraph" w:customStyle="1" w:styleId="355">
    <w:name w:val="工程名称"/>
    <w:basedOn w:val="1"/>
    <w:autoRedefine/>
    <w:qFormat/>
    <w:uiPriority w:val="99"/>
    <w:pPr>
      <w:spacing w:line="600" w:lineRule="exact"/>
      <w:ind w:firstLine="0" w:firstLineChars="0"/>
      <w:jc w:val="center"/>
    </w:pPr>
    <w:rPr>
      <w:rFonts w:ascii="华文中宋" w:hAnsi="华文中宋" w:eastAsia="华文中宋"/>
      <w:b/>
      <w:sz w:val="44"/>
      <w:szCs w:val="44"/>
    </w:rPr>
  </w:style>
  <w:style w:type="paragraph" w:customStyle="1" w:styleId="356">
    <w:name w:val="正文文本 (2)"/>
    <w:basedOn w:val="1"/>
    <w:autoRedefine/>
    <w:qFormat/>
    <w:uiPriority w:val="99"/>
    <w:pPr>
      <w:shd w:val="clear" w:color="auto" w:fill="FFFFFF"/>
      <w:spacing w:before="1140" w:after="1380" w:line="0" w:lineRule="atLeast"/>
      <w:ind w:firstLine="0" w:firstLineChars="0"/>
      <w:jc w:val="center"/>
    </w:pPr>
    <w:rPr>
      <w:rFonts w:ascii="MingLiU" w:hAnsi="MingLiU" w:eastAsia="MingLiU" w:cs="MingLiU"/>
      <w:spacing w:val="30"/>
      <w:sz w:val="28"/>
      <w:szCs w:val="28"/>
    </w:rPr>
  </w:style>
  <w:style w:type="paragraph" w:customStyle="1" w:styleId="357">
    <w:name w:val="font9"/>
    <w:basedOn w:val="1"/>
    <w:autoRedefine/>
    <w:qFormat/>
    <w:uiPriority w:val="99"/>
    <w:pPr>
      <w:widowControl/>
      <w:spacing w:before="100" w:beforeAutospacing="1" w:after="100" w:afterAutospacing="1"/>
      <w:jc w:val="left"/>
    </w:pPr>
    <w:rPr>
      <w:b/>
      <w:bCs/>
      <w:kern w:val="0"/>
      <w:sz w:val="240"/>
      <w:szCs w:val="240"/>
    </w:rPr>
  </w:style>
  <w:style w:type="paragraph" w:customStyle="1" w:styleId="358">
    <w:name w:val="列出段落3"/>
    <w:basedOn w:val="1"/>
    <w:autoRedefine/>
    <w:qFormat/>
    <w:uiPriority w:val="99"/>
    <w:pPr>
      <w:ind w:firstLine="420"/>
    </w:pPr>
    <w:rPr>
      <w:szCs w:val="21"/>
    </w:rPr>
  </w:style>
  <w:style w:type="paragraph" w:customStyle="1" w:styleId="359">
    <w:name w:val="列项——（一级）"/>
    <w:autoRedefine/>
    <w:qFormat/>
    <w:uiPriority w:val="99"/>
    <w:pPr>
      <w:widowControl w:val="0"/>
      <w:ind w:left="833" w:hanging="408"/>
      <w:jc w:val="both"/>
    </w:pPr>
    <w:rPr>
      <w:rFonts w:ascii="宋体" w:hAnsi="Times New Roman" w:eastAsia="宋体" w:cs="宋体"/>
      <w:sz w:val="21"/>
      <w:szCs w:val="21"/>
      <w:lang w:val="en-US" w:eastAsia="zh-CN" w:bidi="ar-SA"/>
    </w:rPr>
  </w:style>
  <w:style w:type="paragraph" w:customStyle="1" w:styleId="360">
    <w:name w:val="Default"/>
    <w:autoRedefine/>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61">
    <w:name w:val="方案，报告"/>
    <w:basedOn w:val="1"/>
    <w:autoRedefine/>
    <w:qFormat/>
    <w:uiPriority w:val="99"/>
    <w:pPr>
      <w:spacing w:line="288" w:lineRule="auto"/>
      <w:ind w:firstLine="0" w:firstLineChars="0"/>
    </w:pPr>
    <w:rPr>
      <w:rFonts w:ascii="仿宋_GB2312" w:hAnsi="仿宋_GB2312"/>
      <w:sz w:val="28"/>
      <w:szCs w:val="28"/>
    </w:rPr>
  </w:style>
  <w:style w:type="paragraph" w:customStyle="1" w:styleId="362">
    <w:name w:val="_Style 361"/>
    <w:basedOn w:val="1"/>
    <w:next w:val="1"/>
    <w:link w:val="686"/>
    <w:autoRedefine/>
    <w:qFormat/>
    <w:uiPriority w:val="99"/>
    <w:pPr>
      <w:widowControl/>
      <w:ind w:left="720" w:right="720"/>
      <w:jc w:val="left"/>
    </w:pPr>
    <w:rPr>
      <w:rFonts w:eastAsia="宋体"/>
      <w:b/>
      <w:bCs/>
      <w:i/>
      <w:iCs/>
      <w:kern w:val="0"/>
      <w:sz w:val="24"/>
    </w:rPr>
  </w:style>
  <w:style w:type="paragraph" w:customStyle="1" w:styleId="363">
    <w:name w:val="Char Char Char Char Char Char Char Char Char Char"/>
    <w:basedOn w:val="1"/>
    <w:autoRedefine/>
    <w:qFormat/>
    <w:uiPriority w:val="99"/>
    <w:pPr>
      <w:spacing w:line="300" w:lineRule="auto"/>
      <w:ind w:left="360"/>
    </w:pPr>
    <w:rPr>
      <w:sz w:val="24"/>
    </w:rPr>
  </w:style>
  <w:style w:type="paragraph" w:customStyle="1" w:styleId="364">
    <w:name w:val="xl25"/>
    <w:basedOn w:val="1"/>
    <w:autoRedefine/>
    <w:qFormat/>
    <w:uiPriority w:val="99"/>
    <w:pPr>
      <w:widowControl/>
      <w:pBdr>
        <w:top w:val="single" w:color="auto" w:sz="4" w:space="0"/>
        <w:right w:val="single" w:color="auto" w:sz="4" w:space="0"/>
      </w:pBdr>
      <w:spacing w:before="100" w:beforeAutospacing="1" w:after="100" w:afterAutospacing="1" w:line="240" w:lineRule="auto"/>
      <w:ind w:firstLine="0" w:firstLineChars="0"/>
    </w:pPr>
    <w:rPr>
      <w:rFonts w:ascii="宋体" w:hAnsi="宋体" w:eastAsia="宋体"/>
      <w:color w:val="000000"/>
      <w:kern w:val="0"/>
      <w:sz w:val="24"/>
    </w:rPr>
  </w:style>
  <w:style w:type="paragraph" w:customStyle="1" w:styleId="365">
    <w:name w:val="五级无"/>
    <w:basedOn w:val="105"/>
    <w:autoRedefine/>
    <w:qFormat/>
    <w:uiPriority w:val="0"/>
    <w:rPr>
      <w:rFonts w:ascii="宋体" w:eastAsia="宋体" w:cs="宋体"/>
    </w:rPr>
  </w:style>
  <w:style w:type="paragraph" w:customStyle="1" w:styleId="366">
    <w:name w:val="UserStyle_19"/>
    <w:basedOn w:val="1"/>
    <w:autoRedefine/>
    <w:qFormat/>
    <w:uiPriority w:val="99"/>
    <w:pPr>
      <w:widowControl/>
      <w:spacing w:line="240" w:lineRule="auto"/>
      <w:ind w:left="840" w:hanging="420" w:firstLineChars="0"/>
      <w:textAlignment w:val="baseline"/>
    </w:pPr>
    <w:rPr>
      <w:rFonts w:eastAsia="宋体"/>
      <w:sz w:val="21"/>
      <w:szCs w:val="20"/>
    </w:rPr>
  </w:style>
  <w:style w:type="paragraph" w:customStyle="1" w:styleId="367">
    <w:name w:val="封面标准号2"/>
    <w:autoRedefine/>
    <w:qFormat/>
    <w:uiPriority w:val="99"/>
    <w:pPr>
      <w:spacing w:before="357" w:line="280" w:lineRule="exact"/>
      <w:jc w:val="right"/>
    </w:pPr>
    <w:rPr>
      <w:rFonts w:ascii="黑体" w:hAnsi="Times New Roman" w:eastAsia="黑体" w:cs="黑体"/>
      <w:sz w:val="28"/>
      <w:szCs w:val="28"/>
      <w:lang w:val="en-US" w:eastAsia="zh-CN" w:bidi="ar-SA"/>
    </w:rPr>
  </w:style>
  <w:style w:type="paragraph" w:customStyle="1" w:styleId="368">
    <w:name w:val="UserStyle_15"/>
    <w:basedOn w:val="217"/>
    <w:next w:val="217"/>
    <w:link w:val="732"/>
    <w:autoRedefine/>
    <w:qFormat/>
    <w:uiPriority w:val="0"/>
    <w:rPr>
      <w:b/>
    </w:rPr>
  </w:style>
  <w:style w:type="paragraph" w:customStyle="1" w:styleId="369">
    <w:name w:val="图标脚注说明"/>
    <w:basedOn w:val="79"/>
    <w:autoRedefine/>
    <w:qFormat/>
    <w:uiPriority w:val="99"/>
    <w:pPr>
      <w:tabs>
        <w:tab w:val="center" w:pos="4201"/>
        <w:tab w:val="right" w:leader="dot" w:pos="9298"/>
      </w:tabs>
      <w:ind w:left="840" w:hanging="420" w:firstLineChars="0"/>
    </w:pPr>
    <w:rPr>
      <w:rFonts w:cs="宋体"/>
      <w:sz w:val="18"/>
      <w:szCs w:val="18"/>
    </w:rPr>
  </w:style>
  <w:style w:type="paragraph" w:customStyle="1" w:styleId="370">
    <w:name w:val="xl27"/>
    <w:basedOn w:val="1"/>
    <w:autoRedefine/>
    <w:qFormat/>
    <w:uiPriority w:val="99"/>
    <w:pPr>
      <w:widowControl/>
      <w:pBdr>
        <w:top w:val="single" w:color="auto" w:sz="4" w:space="0"/>
        <w:left w:val="single" w:color="auto" w:sz="4" w:space="0"/>
      </w:pBdr>
      <w:spacing w:before="100" w:beforeAutospacing="1" w:after="100" w:afterAutospacing="1" w:line="240" w:lineRule="auto"/>
      <w:ind w:firstLine="0" w:firstLineChars="0"/>
      <w:jc w:val="right"/>
    </w:pPr>
    <w:rPr>
      <w:rFonts w:eastAsia="宋体"/>
      <w:kern w:val="0"/>
      <w:sz w:val="21"/>
      <w:szCs w:val="21"/>
    </w:rPr>
  </w:style>
  <w:style w:type="paragraph" w:customStyle="1" w:styleId="371">
    <w:name w:val="xl61"/>
    <w:basedOn w:val="1"/>
    <w:autoRedefine/>
    <w:qFormat/>
    <w:uiPriority w:val="99"/>
    <w:pPr>
      <w:widowControl/>
      <w:pBdr>
        <w:top w:val="single" w:color="auto" w:sz="4" w:space="0"/>
        <w:right w:val="single" w:color="auto" w:sz="4" w:space="0"/>
      </w:pBdr>
      <w:spacing w:before="100" w:beforeAutospacing="1" w:after="100" w:afterAutospacing="1" w:line="240" w:lineRule="auto"/>
      <w:ind w:firstLine="0" w:firstLineChars="0"/>
      <w:jc w:val="center"/>
    </w:pPr>
    <w:rPr>
      <w:rFonts w:eastAsia="宋体"/>
      <w:kern w:val="0"/>
      <w:sz w:val="21"/>
      <w:szCs w:val="21"/>
    </w:rPr>
  </w:style>
  <w:style w:type="paragraph" w:customStyle="1" w:styleId="372">
    <w:name w:val="正文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UserStyle_31"/>
    <w:basedOn w:val="1"/>
    <w:autoRedefine/>
    <w:qFormat/>
    <w:uiPriority w:val="99"/>
    <w:pPr>
      <w:widowControl/>
      <w:spacing w:line="240" w:lineRule="auto"/>
      <w:ind w:firstLine="0" w:firstLineChars="0"/>
      <w:textAlignment w:val="baseline"/>
    </w:pPr>
    <w:rPr>
      <w:szCs w:val="20"/>
    </w:rPr>
  </w:style>
  <w:style w:type="paragraph" w:customStyle="1" w:styleId="374">
    <w:name w:val="xl8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4"/>
    </w:rPr>
  </w:style>
  <w:style w:type="paragraph" w:customStyle="1" w:styleId="375">
    <w:name w:val="样式 正文（农村规划） + 首行缩进:  2 字符1"/>
    <w:basedOn w:val="1"/>
    <w:autoRedefine/>
    <w:qFormat/>
    <w:uiPriority w:val="99"/>
    <w:pPr>
      <w:spacing w:line="360" w:lineRule="auto"/>
      <w:ind w:firstLine="640"/>
    </w:pPr>
    <w:rPr>
      <w:rFonts w:ascii="仿宋_GB2312" w:hAnsi="宋体"/>
      <w:szCs w:val="32"/>
    </w:rPr>
  </w:style>
  <w:style w:type="paragraph" w:customStyle="1" w:styleId="376">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77">
    <w:name w:val="UserStyle_34"/>
    <w:basedOn w:val="1"/>
    <w:autoRedefine/>
    <w:qFormat/>
    <w:uiPriority w:val="99"/>
    <w:pPr>
      <w:widowControl/>
      <w:spacing w:line="240" w:lineRule="auto"/>
      <w:ind w:firstLine="420"/>
      <w:textAlignment w:val="baseline"/>
    </w:pPr>
    <w:rPr>
      <w:rFonts w:ascii="Calibri" w:hAnsi="Calibri" w:eastAsia="宋体"/>
      <w:sz w:val="21"/>
      <w:szCs w:val="22"/>
    </w:rPr>
  </w:style>
  <w:style w:type="paragraph" w:customStyle="1" w:styleId="378">
    <w:name w:val="_Style 815"/>
    <w:basedOn w:val="1"/>
    <w:next w:val="175"/>
    <w:link w:val="725"/>
    <w:autoRedefine/>
    <w:qFormat/>
    <w:uiPriority w:val="34"/>
    <w:pPr>
      <w:ind w:firstLine="420"/>
    </w:pPr>
  </w:style>
  <w:style w:type="paragraph" w:customStyle="1" w:styleId="379">
    <w:name w:val="目次、标准名称标题"/>
    <w:basedOn w:val="1"/>
    <w:next w:val="79"/>
    <w:autoRedefine/>
    <w:qFormat/>
    <w:uiPriority w:val="99"/>
    <w:pPr>
      <w:keepNext/>
      <w:pageBreakBefore/>
      <w:widowControl/>
      <w:shd w:val="clear" w:color="FFFFFF" w:fill="FFFFFF"/>
      <w:spacing w:before="640" w:after="560" w:line="460" w:lineRule="exact"/>
      <w:jc w:val="center"/>
      <w:outlineLvl w:val="0"/>
    </w:pPr>
    <w:rPr>
      <w:rFonts w:ascii="黑体" w:eastAsia="黑体" w:cs="黑体"/>
      <w:kern w:val="0"/>
      <w:szCs w:val="32"/>
    </w:rPr>
  </w:style>
  <w:style w:type="paragraph" w:customStyle="1" w:styleId="380">
    <w:name w:val="_Style 52"/>
    <w:next w:val="1"/>
    <w:autoRedefine/>
    <w:qFormat/>
    <w:uiPriority w:val="99"/>
    <w:rPr>
      <w:rFonts w:ascii="Times New Roman" w:hAnsi="Times New Roman" w:eastAsia="宋体" w:cs="Times New Roman"/>
      <w:sz w:val="24"/>
      <w:szCs w:val="24"/>
      <w:lang w:val="en-US" w:eastAsia="en-US" w:bidi="ar-SA"/>
    </w:rPr>
  </w:style>
  <w:style w:type="paragraph" w:customStyle="1" w:styleId="381">
    <w:name w:val="xl47"/>
    <w:basedOn w:val="1"/>
    <w:autoRedefine/>
    <w:qFormat/>
    <w:uiPriority w:val="99"/>
    <w:pPr>
      <w:widowControl/>
      <w:pBdr>
        <w:left w:val="single" w:color="auto" w:sz="4" w:space="0"/>
        <w:right w:val="single" w:color="auto" w:sz="4" w:space="0"/>
      </w:pBdr>
      <w:spacing w:before="100" w:beforeAutospacing="1" w:after="100" w:afterAutospacing="1" w:line="240" w:lineRule="auto"/>
      <w:ind w:firstLine="0" w:firstLineChars="0"/>
    </w:pPr>
    <w:rPr>
      <w:rFonts w:eastAsia="宋体"/>
      <w:color w:val="000000"/>
      <w:kern w:val="0"/>
      <w:sz w:val="24"/>
    </w:rPr>
  </w:style>
  <w:style w:type="paragraph" w:customStyle="1" w:styleId="382">
    <w:name w:val="p16"/>
    <w:basedOn w:val="1"/>
    <w:autoRedefine/>
    <w:qFormat/>
    <w:uiPriority w:val="99"/>
    <w:pPr>
      <w:widowControl/>
      <w:spacing w:before="100" w:after="100" w:line="240" w:lineRule="auto"/>
      <w:ind w:firstLine="0" w:firstLineChars="0"/>
      <w:jc w:val="left"/>
    </w:pPr>
    <w:rPr>
      <w:rFonts w:ascii="宋体" w:hAnsi="宋体" w:eastAsia="宋体" w:cs="宋体"/>
      <w:kern w:val="0"/>
      <w:sz w:val="24"/>
    </w:rPr>
  </w:style>
  <w:style w:type="paragraph" w:customStyle="1" w:styleId="383">
    <w:name w:val="表格1"/>
    <w:basedOn w:val="1"/>
    <w:link w:val="779"/>
    <w:autoRedefine/>
    <w:qFormat/>
    <w:uiPriority w:val="0"/>
    <w:pPr>
      <w:jc w:val="center"/>
    </w:pPr>
    <w:rPr>
      <w:rFonts w:eastAsia="宋体"/>
      <w:sz w:val="21"/>
      <w:szCs w:val="21"/>
    </w:rPr>
  </w:style>
  <w:style w:type="paragraph" w:customStyle="1" w:styleId="384">
    <w:name w:val="UserStyle_22"/>
    <w:basedOn w:val="1"/>
    <w:autoRedefine/>
    <w:qFormat/>
    <w:uiPriority w:val="99"/>
    <w:pPr>
      <w:widowControl/>
      <w:snapToGrid w:val="0"/>
      <w:spacing w:line="360" w:lineRule="auto"/>
      <w:ind w:firstLine="600"/>
      <w:textAlignment w:val="baseline"/>
    </w:pPr>
    <w:rPr>
      <w:rFonts w:ascii="仿宋_GB2312" w:hAnsi="黑体"/>
      <w:sz w:val="30"/>
      <w:szCs w:val="20"/>
    </w:rPr>
  </w:style>
  <w:style w:type="paragraph" w:customStyle="1" w:styleId="385">
    <w:name w:val="xl8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386">
    <w:name w:val="其他发布日期"/>
    <w:basedOn w:val="183"/>
    <w:autoRedefine/>
    <w:qFormat/>
    <w:uiPriority w:val="99"/>
  </w:style>
  <w:style w:type="paragraph" w:customStyle="1" w:styleId="387">
    <w:name w:val="陈光的正文"/>
    <w:basedOn w:val="1"/>
    <w:autoRedefine/>
    <w:qFormat/>
    <w:uiPriority w:val="99"/>
    <w:pPr>
      <w:adjustRightInd w:val="0"/>
      <w:snapToGrid w:val="0"/>
      <w:spacing w:beforeLines="10" w:afterLines="10" w:line="360" w:lineRule="auto"/>
      <w:ind w:firstLine="560"/>
    </w:pPr>
    <w:rPr>
      <w:rFonts w:eastAsia="宋体"/>
      <w:sz w:val="28"/>
      <w:szCs w:val="20"/>
    </w:rPr>
  </w:style>
  <w:style w:type="paragraph" w:customStyle="1" w:styleId="388">
    <w:name w:val="样式2"/>
    <w:basedOn w:val="1"/>
    <w:next w:val="1"/>
    <w:autoRedefine/>
    <w:qFormat/>
    <w:uiPriority w:val="99"/>
    <w:pPr>
      <w:autoSpaceDE w:val="0"/>
      <w:autoSpaceDN w:val="0"/>
      <w:adjustRightInd w:val="0"/>
      <w:jc w:val="left"/>
    </w:pPr>
    <w:rPr>
      <w:rFonts w:ascii="Sim Sun+ 2" w:eastAsia="Sim Sun+ 2"/>
      <w:kern w:val="0"/>
      <w:sz w:val="24"/>
    </w:rPr>
  </w:style>
  <w:style w:type="paragraph" w:customStyle="1" w:styleId="389">
    <w:name w:val="TOC 标题2"/>
    <w:basedOn w:val="2"/>
    <w:next w:val="1"/>
    <w:autoRedefine/>
    <w:unhideWhenUsed/>
    <w:qFormat/>
    <w:uiPriority w:val="39"/>
    <w:pPr>
      <w:widowControl/>
      <w:spacing w:before="480" w:line="276" w:lineRule="auto"/>
      <w:ind w:firstLine="600"/>
      <w:jc w:val="left"/>
      <w:outlineLvl w:val="9"/>
    </w:pPr>
    <w:rPr>
      <w:rFonts w:ascii="Cambria" w:hAnsi="Cambria" w:eastAsia="宋体"/>
      <w:b/>
      <w:color w:val="365F91"/>
      <w:kern w:val="0"/>
      <w:sz w:val="28"/>
      <w:szCs w:val="28"/>
    </w:rPr>
  </w:style>
  <w:style w:type="paragraph" w:customStyle="1" w:styleId="390">
    <w:name w:val="终结线"/>
    <w:basedOn w:val="1"/>
    <w:autoRedefine/>
    <w:qFormat/>
    <w:uiPriority w:val="99"/>
    <w:rPr>
      <w:szCs w:val="21"/>
    </w:rPr>
  </w:style>
  <w:style w:type="paragraph" w:customStyle="1" w:styleId="391">
    <w:name w:val="xl37"/>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kern w:val="0"/>
      <w:sz w:val="24"/>
    </w:rPr>
  </w:style>
  <w:style w:type="paragraph" w:customStyle="1" w:styleId="392">
    <w:name w:val="p15"/>
    <w:basedOn w:val="1"/>
    <w:autoRedefine/>
    <w:qFormat/>
    <w:uiPriority w:val="99"/>
    <w:pPr>
      <w:widowControl/>
      <w:ind w:left="420" w:hanging="420"/>
    </w:pPr>
    <w:rPr>
      <w:rFonts w:ascii="宋体" w:hAnsi="宋体" w:cs="宋体"/>
      <w:kern w:val="0"/>
      <w:szCs w:val="21"/>
    </w:rPr>
  </w:style>
  <w:style w:type="paragraph" w:customStyle="1" w:styleId="393">
    <w:name w:val="xl74"/>
    <w:basedOn w:val="1"/>
    <w:autoRedefine/>
    <w:qFormat/>
    <w:uiPriority w:val="99"/>
    <w:pPr>
      <w:widowControl/>
      <w:spacing w:before="100" w:beforeAutospacing="1" w:after="100" w:afterAutospacing="1"/>
      <w:jc w:val="center"/>
    </w:pPr>
    <w:rPr>
      <w:rFonts w:ascii="宋体" w:hAnsi="宋体" w:cs="宋体"/>
      <w:kern w:val="0"/>
      <w:sz w:val="18"/>
      <w:szCs w:val="18"/>
    </w:rPr>
  </w:style>
  <w:style w:type="paragraph" w:customStyle="1" w:styleId="394">
    <w:name w:val="AnnotationSubject"/>
    <w:basedOn w:val="217"/>
    <w:next w:val="217"/>
    <w:link w:val="773"/>
    <w:autoRedefine/>
    <w:qFormat/>
    <w:uiPriority w:val="0"/>
    <w:rPr>
      <w:b/>
      <w:bCs/>
    </w:rPr>
  </w:style>
  <w:style w:type="paragraph" w:customStyle="1" w:styleId="395">
    <w:name w:val="图格式"/>
    <w:basedOn w:val="1"/>
    <w:link w:val="745"/>
    <w:autoRedefine/>
    <w:qFormat/>
    <w:uiPriority w:val="0"/>
    <w:pPr>
      <w:spacing w:line="360" w:lineRule="auto"/>
      <w:ind w:firstLine="0" w:firstLineChars="0"/>
      <w:jc w:val="center"/>
    </w:pPr>
    <w:rPr>
      <w:rFonts w:ascii="仿宋_GB2312"/>
      <w:kern w:val="0"/>
      <w:sz w:val="24"/>
    </w:rPr>
  </w:style>
  <w:style w:type="paragraph" w:customStyle="1" w:styleId="396">
    <w:name w:val="xl75"/>
    <w:basedOn w:val="1"/>
    <w:autoRedefine/>
    <w:qFormat/>
    <w:uiPriority w:val="99"/>
    <w:pPr>
      <w:widowControl/>
      <w:spacing w:before="100" w:beforeAutospacing="1" w:after="100" w:afterAutospacing="1"/>
      <w:jc w:val="center"/>
    </w:pPr>
    <w:rPr>
      <w:rFonts w:ascii="宋体" w:hAnsi="宋体" w:cs="宋体"/>
      <w:kern w:val="0"/>
      <w:sz w:val="18"/>
      <w:szCs w:val="18"/>
    </w:rPr>
  </w:style>
  <w:style w:type="paragraph" w:customStyle="1" w:styleId="397">
    <w:name w:val="正文－大吉　仿宋_GB2312 四号 黑色 行距: 固定值 25 磅 首行缩进:  2 字符 + 首行缩进:  2 字符 ..."/>
    <w:basedOn w:val="1"/>
    <w:autoRedefine/>
    <w:qFormat/>
    <w:uiPriority w:val="99"/>
    <w:pPr>
      <w:spacing w:beforeLines="20" w:line="440" w:lineRule="atLeast"/>
    </w:pPr>
    <w:rPr>
      <w:sz w:val="24"/>
    </w:rPr>
  </w:style>
  <w:style w:type="paragraph" w:customStyle="1" w:styleId="398">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399">
    <w:name w:val="封面一致性程度标识2"/>
    <w:basedOn w:val="400"/>
    <w:autoRedefine/>
    <w:qFormat/>
    <w:uiPriority w:val="0"/>
  </w:style>
  <w:style w:type="paragraph" w:customStyle="1" w:styleId="400">
    <w:name w:val="封面一致性程度标识"/>
    <w:basedOn w:val="248"/>
    <w:autoRedefine/>
    <w:qFormat/>
    <w:uiPriority w:val="0"/>
    <w:pPr>
      <w:spacing w:before="440"/>
    </w:pPr>
    <w:rPr>
      <w:rFonts w:ascii="宋体" w:eastAsia="宋体" w:cs="宋体"/>
    </w:rPr>
  </w:style>
  <w:style w:type="paragraph" w:customStyle="1" w:styleId="401">
    <w:name w:val="Char2"/>
    <w:basedOn w:val="1"/>
    <w:autoRedefine/>
    <w:qFormat/>
    <w:uiPriority w:val="99"/>
    <w:pPr>
      <w:spacing w:line="360" w:lineRule="auto"/>
    </w:pPr>
    <w:rPr>
      <w:rFonts w:ascii="宋体" w:hAnsi="宋体" w:eastAsia="宋体" w:cs="宋体"/>
      <w:sz w:val="24"/>
    </w:rPr>
  </w:style>
  <w:style w:type="paragraph" w:customStyle="1" w:styleId="402">
    <w:name w:val="xl6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403">
    <w:name w:val="xl99"/>
    <w:basedOn w:val="1"/>
    <w:autoRedefine/>
    <w:qFormat/>
    <w:uiPriority w:val="99"/>
    <w:pPr>
      <w:widowControl/>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404">
    <w:name w:val="List Paragraph1"/>
    <w:basedOn w:val="1"/>
    <w:autoRedefine/>
    <w:qFormat/>
    <w:uiPriority w:val="99"/>
    <w:pPr>
      <w:ind w:firstLine="420"/>
    </w:pPr>
    <w:rPr>
      <w:szCs w:val="21"/>
    </w:rPr>
  </w:style>
  <w:style w:type="paragraph" w:customStyle="1" w:styleId="405">
    <w:name w:val="xl5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olor w:val="000000"/>
      <w:kern w:val="0"/>
      <w:sz w:val="24"/>
    </w:rPr>
  </w:style>
  <w:style w:type="paragraph" w:customStyle="1" w:styleId="406">
    <w:name w:val="四级无标题条"/>
    <w:basedOn w:val="1"/>
    <w:autoRedefine/>
    <w:qFormat/>
    <w:uiPriority w:val="99"/>
    <w:pPr>
      <w:tabs>
        <w:tab w:val="left" w:pos="180"/>
      </w:tabs>
      <w:ind w:left="1172" w:hanging="629"/>
    </w:pPr>
    <w:rPr>
      <w:szCs w:val="21"/>
    </w:rPr>
  </w:style>
  <w:style w:type="paragraph" w:customStyle="1" w:styleId="407">
    <w:name w:val="样式 仿宋_GB2312 四号 首行缩进:  0.85 厘米 行距: 1.5 倍行距"/>
    <w:basedOn w:val="1"/>
    <w:link w:val="606"/>
    <w:autoRedefine/>
    <w:qFormat/>
    <w:uiPriority w:val="0"/>
    <w:pPr>
      <w:spacing w:line="360" w:lineRule="auto"/>
    </w:pPr>
    <w:rPr>
      <w:rFonts w:ascii="仿宋_GB2312"/>
      <w:kern w:val="0"/>
      <w:sz w:val="28"/>
      <w:szCs w:val="20"/>
    </w:rPr>
  </w:style>
  <w:style w:type="paragraph" w:customStyle="1" w:styleId="408">
    <w:name w:val="样式 首行缩进:  2 字符"/>
    <w:basedOn w:val="1"/>
    <w:link w:val="543"/>
    <w:autoRedefine/>
    <w:qFormat/>
    <w:uiPriority w:val="0"/>
    <w:pPr>
      <w:spacing w:line="480" w:lineRule="exact"/>
      <w:ind w:firstLine="560"/>
    </w:pPr>
    <w:rPr>
      <w:rFonts w:ascii="仿宋_GB2312"/>
      <w:kern w:val="0"/>
      <w:sz w:val="28"/>
      <w:szCs w:val="28"/>
    </w:rPr>
  </w:style>
  <w:style w:type="paragraph" w:customStyle="1" w:styleId="409">
    <w:name w:val="默认段落字体 Para Char"/>
    <w:basedOn w:val="1"/>
    <w:next w:val="1"/>
    <w:autoRedefine/>
    <w:qFormat/>
    <w:uiPriority w:val="99"/>
    <w:pPr>
      <w:spacing w:line="360" w:lineRule="auto"/>
    </w:pPr>
    <w:rPr>
      <w:rFonts w:ascii="宋体" w:hAnsi="宋体" w:eastAsia="宋体" w:cs="宋体"/>
      <w:sz w:val="24"/>
    </w:rPr>
  </w:style>
  <w:style w:type="paragraph" w:customStyle="1" w:styleId="410">
    <w:name w:val="三级无"/>
    <w:basedOn w:val="107"/>
    <w:autoRedefine/>
    <w:qFormat/>
    <w:uiPriority w:val="0"/>
    <w:rPr>
      <w:rFonts w:ascii="宋体" w:eastAsia="宋体" w:cs="宋体"/>
    </w:rPr>
  </w:style>
  <w:style w:type="paragraph" w:customStyle="1" w:styleId="411">
    <w:name w:val="UserStyle_25"/>
    <w:basedOn w:val="1"/>
    <w:autoRedefine/>
    <w:qFormat/>
    <w:uiPriority w:val="99"/>
    <w:pPr>
      <w:widowControl/>
      <w:spacing w:line="240" w:lineRule="auto"/>
      <w:ind w:firstLine="420"/>
      <w:textAlignment w:val="baseline"/>
    </w:pPr>
    <w:rPr>
      <w:rFonts w:eastAsia="宋体"/>
      <w:sz w:val="21"/>
      <w:szCs w:val="20"/>
    </w:rPr>
  </w:style>
  <w:style w:type="paragraph" w:customStyle="1" w:styleId="412">
    <w:name w:val="Char1"/>
    <w:basedOn w:val="1"/>
    <w:autoRedefine/>
    <w:qFormat/>
    <w:uiPriority w:val="99"/>
    <w:pPr>
      <w:spacing w:line="360" w:lineRule="auto"/>
    </w:pPr>
    <w:rPr>
      <w:rFonts w:ascii="宋体" w:hAnsi="宋体" w:eastAsia="宋体" w:cs="宋体"/>
      <w:sz w:val="24"/>
    </w:rPr>
  </w:style>
  <w:style w:type="paragraph" w:customStyle="1" w:styleId="413">
    <w:name w:val="二级无"/>
    <w:basedOn w:val="108"/>
    <w:autoRedefine/>
    <w:qFormat/>
    <w:uiPriority w:val="0"/>
    <w:rPr>
      <w:rFonts w:ascii="宋体" w:eastAsia="宋体" w:cs="宋体"/>
    </w:rPr>
  </w:style>
  <w:style w:type="paragraph" w:customStyle="1" w:styleId="414">
    <w:name w:val="179"/>
    <w:basedOn w:val="1"/>
    <w:autoRedefine/>
    <w:qFormat/>
    <w:uiPriority w:val="99"/>
    <w:pPr>
      <w:widowControl/>
      <w:spacing w:line="240" w:lineRule="auto"/>
      <w:ind w:firstLine="420"/>
      <w:textAlignment w:val="baseline"/>
    </w:pPr>
    <w:rPr>
      <w:rFonts w:ascii="Calibri" w:hAnsi="Calibri" w:eastAsia="宋体"/>
      <w:sz w:val="21"/>
      <w:szCs w:val="22"/>
    </w:rPr>
  </w:style>
  <w:style w:type="paragraph" w:customStyle="1" w:styleId="415">
    <w:name w:val="小四号正文"/>
    <w:basedOn w:val="1"/>
    <w:autoRedefine/>
    <w:qFormat/>
    <w:uiPriority w:val="99"/>
    <w:pPr>
      <w:widowControl/>
      <w:spacing w:line="360" w:lineRule="auto"/>
      <w:ind w:firstLine="567"/>
    </w:pPr>
    <w:rPr>
      <w:kern w:val="24"/>
      <w:sz w:val="24"/>
      <w:szCs w:val="20"/>
    </w:rPr>
  </w:style>
  <w:style w:type="paragraph" w:customStyle="1" w:styleId="416">
    <w:name w:val="Char4 Char Char Char Char Char Char"/>
    <w:basedOn w:val="1"/>
    <w:autoRedefine/>
    <w:qFormat/>
    <w:uiPriority w:val="99"/>
    <w:pPr>
      <w:spacing w:line="360" w:lineRule="auto"/>
    </w:pPr>
    <w:rPr>
      <w:rFonts w:ascii="宋体" w:hAnsi="宋体" w:eastAsia="宋体" w:cs="宋体"/>
      <w:sz w:val="24"/>
    </w:rPr>
  </w:style>
  <w:style w:type="paragraph" w:customStyle="1" w:styleId="417">
    <w:name w:val="xl9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418">
    <w:name w:val="附录图标号"/>
    <w:basedOn w:val="1"/>
    <w:autoRedefine/>
    <w:qFormat/>
    <w:uiPriority w:val="99"/>
    <w:pPr>
      <w:keepNext/>
      <w:pageBreakBefore/>
      <w:widowControl/>
      <w:spacing w:line="14" w:lineRule="exact"/>
      <w:ind w:firstLine="363"/>
      <w:jc w:val="center"/>
      <w:outlineLvl w:val="0"/>
    </w:pPr>
    <w:rPr>
      <w:color w:val="FFFFFF"/>
      <w:szCs w:val="21"/>
    </w:rPr>
  </w:style>
  <w:style w:type="paragraph" w:customStyle="1" w:styleId="419">
    <w:name w:val="TOC3"/>
    <w:basedOn w:val="1"/>
    <w:next w:val="1"/>
    <w:autoRedefine/>
    <w:qFormat/>
    <w:uiPriority w:val="99"/>
    <w:pPr>
      <w:widowControl/>
      <w:spacing w:line="276" w:lineRule="auto"/>
      <w:ind w:left="566" w:hanging="566" w:hangingChars="202"/>
      <w:textAlignment w:val="baseline"/>
    </w:pPr>
    <w:rPr>
      <w:rFonts w:eastAsia="宋体"/>
      <w:sz w:val="21"/>
      <w:szCs w:val="20"/>
    </w:rPr>
  </w:style>
  <w:style w:type="paragraph" w:customStyle="1" w:styleId="420">
    <w:name w:val="附录一级无"/>
    <w:basedOn w:val="137"/>
    <w:autoRedefine/>
    <w:qFormat/>
    <w:uiPriority w:val="0"/>
    <w:pPr>
      <w:spacing w:beforeLines="0" w:afterLines="0"/>
    </w:pPr>
    <w:rPr>
      <w:rFonts w:ascii="宋体" w:eastAsia="宋体" w:cs="宋体"/>
    </w:rPr>
  </w:style>
  <w:style w:type="paragraph" w:customStyle="1" w:styleId="421">
    <w:name w:val="文档结构图1"/>
    <w:basedOn w:val="1"/>
    <w:autoRedefine/>
    <w:qFormat/>
    <w:uiPriority w:val="99"/>
    <w:pPr>
      <w:shd w:val="clear" w:color="auto" w:fill="000080"/>
    </w:pPr>
    <w:rPr>
      <w:szCs w:val="21"/>
      <w:shd w:val="clear" w:color="auto" w:fill="000080"/>
    </w:rPr>
  </w:style>
  <w:style w:type="paragraph" w:customStyle="1" w:styleId="422">
    <w:name w:val="图表脚注"/>
    <w:next w:val="79"/>
    <w:autoRedefine/>
    <w:qFormat/>
    <w:uiPriority w:val="99"/>
    <w:pPr>
      <w:ind w:left="300" w:leftChars="200" w:hanging="100" w:hangingChars="100"/>
      <w:jc w:val="both"/>
    </w:pPr>
    <w:rPr>
      <w:rFonts w:ascii="宋体" w:hAnsi="Times New Roman" w:eastAsia="宋体" w:cs="宋体"/>
      <w:sz w:val="18"/>
      <w:szCs w:val="18"/>
      <w:lang w:val="en-US" w:eastAsia="zh-CN" w:bidi="ar-SA"/>
    </w:rPr>
  </w:style>
  <w:style w:type="paragraph" w:customStyle="1" w:styleId="423">
    <w:name w:val="1正文段落"/>
    <w:basedOn w:val="1"/>
    <w:autoRedefine/>
    <w:qFormat/>
    <w:uiPriority w:val="99"/>
    <w:pPr>
      <w:snapToGrid w:val="0"/>
      <w:spacing w:line="360" w:lineRule="auto"/>
      <w:ind w:firstLine="480"/>
    </w:pPr>
    <w:rPr>
      <w:rFonts w:eastAsia="宋体"/>
      <w:kern w:val="0"/>
      <w:sz w:val="24"/>
    </w:rPr>
  </w:style>
  <w:style w:type="paragraph" w:customStyle="1" w:styleId="424">
    <w:name w:val="MTDisplayEquation"/>
    <w:basedOn w:val="1"/>
    <w:next w:val="1"/>
    <w:autoRedefine/>
    <w:qFormat/>
    <w:uiPriority w:val="99"/>
    <w:pPr>
      <w:tabs>
        <w:tab w:val="center" w:pos="5720"/>
        <w:tab w:val="right" w:pos="9020"/>
      </w:tabs>
      <w:snapToGrid w:val="0"/>
      <w:spacing w:line="360" w:lineRule="auto"/>
      <w:ind w:left="2399" w:leftChars="228" w:hanging="1920" w:hangingChars="800"/>
    </w:pPr>
    <w:rPr>
      <w:rFonts w:ascii="仿宋_GB2312"/>
      <w:sz w:val="24"/>
    </w:rPr>
  </w:style>
  <w:style w:type="paragraph" w:customStyle="1" w:styleId="425">
    <w:name w:val="xl98"/>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426">
    <w:name w:val="我的正文"/>
    <w:basedOn w:val="1"/>
    <w:link w:val="524"/>
    <w:autoRedefine/>
    <w:qFormat/>
    <w:uiPriority w:val="0"/>
    <w:pPr>
      <w:spacing w:afterLines="100" w:line="360" w:lineRule="auto"/>
      <w:ind w:firstLine="480"/>
    </w:pPr>
    <w:rPr>
      <w:rFonts w:ascii="仿宋_GB2312"/>
      <w:kern w:val="0"/>
      <w:sz w:val="24"/>
      <w:szCs w:val="20"/>
    </w:rPr>
  </w:style>
  <w:style w:type="paragraph" w:customStyle="1" w:styleId="427">
    <w:name w:val="条文脚注"/>
    <w:basedOn w:val="42"/>
    <w:autoRedefine/>
    <w:qFormat/>
    <w:uiPriority w:val="99"/>
    <w:pPr>
      <w:widowControl w:val="0"/>
      <w:tabs>
        <w:tab w:val="left" w:pos="0"/>
      </w:tabs>
      <w:jc w:val="both"/>
    </w:pPr>
    <w:rPr>
      <w:rFonts w:ascii="宋体" w:cs="宋体"/>
      <w:kern w:val="2"/>
      <w:lang w:eastAsia="zh-CN"/>
    </w:rPr>
  </w:style>
  <w:style w:type="paragraph" w:customStyle="1" w:styleId="428">
    <w:name w:val="UserStyle_28"/>
    <w:basedOn w:val="1"/>
    <w:autoRedefine/>
    <w:qFormat/>
    <w:uiPriority w:val="99"/>
    <w:pPr>
      <w:widowControl/>
      <w:spacing w:line="360" w:lineRule="auto"/>
      <w:textAlignment w:val="baseline"/>
    </w:pPr>
    <w:rPr>
      <w:rFonts w:eastAsia="宋体"/>
      <w:sz w:val="21"/>
      <w:szCs w:val="20"/>
    </w:rPr>
  </w:style>
  <w:style w:type="paragraph" w:customStyle="1" w:styleId="429">
    <w:name w:val="内文小标题1"/>
    <w:autoRedefine/>
    <w:qFormat/>
    <w:uiPriority w:val="99"/>
    <w:pPr>
      <w:widowControl w:val="0"/>
      <w:autoSpaceDE w:val="0"/>
      <w:autoSpaceDN w:val="0"/>
      <w:adjustRightInd w:val="0"/>
      <w:spacing w:before="57" w:after="28" w:line="440" w:lineRule="atLeast"/>
      <w:jc w:val="both"/>
    </w:pPr>
    <w:rPr>
      <w:rFonts w:ascii="复合字体：汉仪楷体简-Times" w:hAnsi="Times New Roman" w:eastAsia="复合字体：汉仪楷体简-Times" w:cs="Times New Roman"/>
      <w:sz w:val="25"/>
      <w:szCs w:val="25"/>
      <w:lang w:val="en-US" w:eastAsia="zh-CN" w:bidi="ar-SA"/>
    </w:rPr>
  </w:style>
  <w:style w:type="paragraph" w:customStyle="1" w:styleId="430">
    <w:name w:val="xl42"/>
    <w:basedOn w:val="1"/>
    <w:autoRedefine/>
    <w:qFormat/>
    <w:uiPriority w:val="99"/>
    <w:pPr>
      <w:widowControl/>
      <w:pBdr>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kern w:val="0"/>
      <w:sz w:val="24"/>
    </w:rPr>
  </w:style>
  <w:style w:type="paragraph" w:customStyle="1" w:styleId="431">
    <w:name w:val="TOC 标题1"/>
    <w:basedOn w:val="2"/>
    <w:next w:val="1"/>
    <w:autoRedefine/>
    <w:qFormat/>
    <w:uiPriority w:val="99"/>
    <w:pPr>
      <w:widowControl/>
      <w:spacing w:before="480" w:line="276" w:lineRule="auto"/>
      <w:jc w:val="left"/>
      <w:outlineLvl w:val="9"/>
    </w:pPr>
    <w:rPr>
      <w:rFonts w:ascii="Cambria" w:hAnsi="Cambria"/>
      <w:color w:val="365F91"/>
      <w:kern w:val="0"/>
      <w:sz w:val="28"/>
      <w:szCs w:val="28"/>
    </w:rPr>
  </w:style>
  <w:style w:type="paragraph" w:customStyle="1" w:styleId="432">
    <w:name w:val="xl50"/>
    <w:basedOn w:val="1"/>
    <w:autoRedefine/>
    <w:qFormat/>
    <w:uiPriority w:val="99"/>
    <w:pPr>
      <w:widowControl/>
      <w:pBdr>
        <w:left w:val="single" w:color="auto" w:sz="4" w:space="0"/>
      </w:pBdr>
      <w:spacing w:before="100" w:beforeAutospacing="1" w:after="100" w:afterAutospacing="1" w:line="240" w:lineRule="auto"/>
      <w:ind w:firstLine="0" w:firstLineChars="0"/>
    </w:pPr>
    <w:rPr>
      <w:rFonts w:eastAsia="宋体"/>
      <w:color w:val="000000"/>
      <w:kern w:val="0"/>
      <w:sz w:val="24"/>
    </w:rPr>
  </w:style>
  <w:style w:type="paragraph" w:customStyle="1" w:styleId="433">
    <w:name w:val="文字"/>
    <w:basedOn w:val="1"/>
    <w:link w:val="595"/>
    <w:autoRedefine/>
    <w:qFormat/>
    <w:uiPriority w:val="0"/>
    <w:pPr>
      <w:adjustRightInd w:val="0"/>
      <w:spacing w:line="440" w:lineRule="atLeast"/>
      <w:ind w:firstLine="460" w:firstLineChars="0"/>
    </w:pPr>
    <w:rPr>
      <w:rFonts w:eastAsia="宋体"/>
      <w:kern w:val="0"/>
      <w:sz w:val="24"/>
      <w:szCs w:val="20"/>
    </w:rPr>
  </w:style>
  <w:style w:type="paragraph" w:customStyle="1" w:styleId="434">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35">
    <w:name w:val="xl69"/>
    <w:basedOn w:val="1"/>
    <w:autoRedefine/>
    <w:qFormat/>
    <w:uiPriority w:val="99"/>
    <w:pPr>
      <w:widowControl/>
      <w:spacing w:before="100" w:beforeAutospacing="1" w:after="100" w:afterAutospacing="1"/>
      <w:jc w:val="center"/>
    </w:pPr>
    <w:rPr>
      <w:rFonts w:ascii="宋体" w:hAnsi="宋体" w:cs="宋体"/>
      <w:kern w:val="0"/>
      <w:sz w:val="18"/>
      <w:szCs w:val="18"/>
    </w:rPr>
  </w:style>
  <w:style w:type="paragraph" w:customStyle="1" w:styleId="436">
    <w:name w:val="修订11"/>
    <w:autoRedefine/>
    <w:qFormat/>
    <w:uiPriority w:val="99"/>
    <w:rPr>
      <w:rFonts w:ascii="Times New Roman" w:hAnsi="Times New Roman" w:eastAsia="宋体" w:cs="Times New Roman"/>
      <w:kern w:val="2"/>
      <w:sz w:val="32"/>
      <w:szCs w:val="32"/>
      <w:lang w:val="en-US" w:eastAsia="zh-CN" w:bidi="ar-SA"/>
    </w:rPr>
  </w:style>
  <w:style w:type="paragraph" w:customStyle="1" w:styleId="437">
    <w:name w:val="标准书眉一"/>
    <w:autoRedefine/>
    <w:qFormat/>
    <w:uiPriority w:val="99"/>
    <w:pPr>
      <w:jc w:val="both"/>
    </w:pPr>
    <w:rPr>
      <w:rFonts w:ascii="Times New Roman" w:hAnsi="Times New Roman" w:eastAsia="宋体" w:cs="Times New Roman"/>
      <w:lang w:val="en-US" w:eastAsia="zh-CN" w:bidi="ar-SA"/>
    </w:rPr>
  </w:style>
  <w:style w:type="character" w:customStyle="1" w:styleId="438">
    <w:name w:val="正文文本缩进 3 字符"/>
    <w:autoRedefine/>
    <w:qFormat/>
    <w:uiPriority w:val="0"/>
    <w:rPr>
      <w:rFonts w:ascii="Times New Roman" w:hAnsi="Times New Roman" w:eastAsia="宋体" w:cs="Times New Roman"/>
      <w:sz w:val="16"/>
      <w:szCs w:val="16"/>
    </w:rPr>
  </w:style>
  <w:style w:type="character" w:customStyle="1" w:styleId="439">
    <w:name w:val="Date Char1"/>
    <w:autoRedefine/>
    <w:semiHidden/>
    <w:qFormat/>
    <w:locked/>
    <w:uiPriority w:val="99"/>
    <w:rPr>
      <w:sz w:val="21"/>
      <w:szCs w:val="21"/>
    </w:rPr>
  </w:style>
  <w:style w:type="character" w:customStyle="1" w:styleId="440">
    <w:name w:val="标题 8 字符"/>
    <w:autoRedefine/>
    <w:qFormat/>
    <w:uiPriority w:val="99"/>
    <w:rPr>
      <w:rFonts w:ascii="等线 Light" w:hAnsi="等线 Light" w:eastAsia="等线 Light" w:cs="Times New Roman"/>
      <w:sz w:val="24"/>
      <w:szCs w:val="24"/>
    </w:rPr>
  </w:style>
  <w:style w:type="character" w:customStyle="1" w:styleId="441">
    <w:name w:val="标题 5 Char1"/>
    <w:autoRedefine/>
    <w:semiHidden/>
    <w:qFormat/>
    <w:locked/>
    <w:uiPriority w:val="0"/>
    <w:rPr>
      <w:b/>
      <w:bCs/>
      <w:i/>
      <w:iCs/>
      <w:sz w:val="26"/>
      <w:szCs w:val="26"/>
    </w:rPr>
  </w:style>
  <w:style w:type="character" w:customStyle="1" w:styleId="442">
    <w:name w:val="NormalCharacter"/>
    <w:autoRedefine/>
    <w:semiHidden/>
    <w:qFormat/>
    <w:uiPriority w:val="0"/>
  </w:style>
  <w:style w:type="character" w:customStyle="1" w:styleId="443">
    <w:name w:val="标题 8 Char3"/>
    <w:link w:val="9"/>
    <w:autoRedefine/>
    <w:qFormat/>
    <w:uiPriority w:val="99"/>
    <w:rPr>
      <w:rFonts w:ascii="Times New Roman" w:hAnsi="Times New Roman"/>
      <w:i/>
      <w:iCs/>
      <w:sz w:val="24"/>
      <w:szCs w:val="24"/>
    </w:rPr>
  </w:style>
  <w:style w:type="character" w:customStyle="1" w:styleId="444">
    <w:name w:val="尾注文本 Char1"/>
    <w:autoRedefine/>
    <w:qFormat/>
    <w:uiPriority w:val="99"/>
    <w:rPr>
      <w:kern w:val="2"/>
      <w:sz w:val="21"/>
      <w:szCs w:val="24"/>
    </w:rPr>
  </w:style>
  <w:style w:type="character" w:customStyle="1" w:styleId="445">
    <w:name w:val="标题 6 Char3"/>
    <w:link w:val="7"/>
    <w:autoRedefine/>
    <w:qFormat/>
    <w:uiPriority w:val="0"/>
    <w:rPr>
      <w:rFonts w:ascii="Times New Roman" w:hAnsi="Times New Roman"/>
      <w:b/>
      <w:bCs/>
    </w:rPr>
  </w:style>
  <w:style w:type="character" w:customStyle="1" w:styleId="446">
    <w:name w:val="标题 4 Char2"/>
    <w:autoRedefine/>
    <w:qFormat/>
    <w:uiPriority w:val="99"/>
    <w:rPr>
      <w:rFonts w:ascii="Times New Roman" w:hAnsi="Times New Roman" w:eastAsia="仿宋_GB2312"/>
      <w:b/>
      <w:kern w:val="2"/>
      <w:sz w:val="32"/>
      <w:szCs w:val="30"/>
    </w:rPr>
  </w:style>
  <w:style w:type="character" w:customStyle="1" w:styleId="447">
    <w:name w:val="普通文字 Char Char Char1"/>
    <w:autoRedefine/>
    <w:qFormat/>
    <w:locked/>
    <w:uiPriority w:val="0"/>
    <w:rPr>
      <w:rFonts w:hint="eastAsia" w:ascii="宋体" w:hAnsi="Courier New" w:eastAsia="宋体"/>
      <w:kern w:val="2"/>
      <w:sz w:val="21"/>
      <w:szCs w:val="24"/>
      <w:lang w:val="en-US" w:eastAsia="zh-CN" w:bidi="ar-SA"/>
    </w:rPr>
  </w:style>
  <w:style w:type="character" w:customStyle="1" w:styleId="448">
    <w:name w:val="正文首行缩进 Char3"/>
    <w:autoRedefine/>
    <w:semiHidden/>
    <w:qFormat/>
    <w:locked/>
    <w:uiPriority w:val="99"/>
    <w:rPr>
      <w:rFonts w:eastAsia="仿宋_GB2312"/>
      <w:kern w:val="2"/>
      <w:sz w:val="24"/>
      <w:szCs w:val="24"/>
      <w:lang w:eastAsia="en-US"/>
    </w:rPr>
  </w:style>
  <w:style w:type="character" w:customStyle="1" w:styleId="449">
    <w:name w:val="批注文字 字符"/>
    <w:autoRedefine/>
    <w:qFormat/>
    <w:uiPriority w:val="99"/>
    <w:rPr>
      <w:rFonts w:ascii="Times New Roman" w:hAnsi="Times New Roman" w:eastAsia="宋体" w:cs="Times New Roman"/>
      <w:szCs w:val="24"/>
    </w:rPr>
  </w:style>
  <w:style w:type="character" w:customStyle="1" w:styleId="450">
    <w:name w:val="正文文本 字符"/>
    <w:autoRedefine/>
    <w:qFormat/>
    <w:uiPriority w:val="1"/>
    <w:rPr>
      <w:rFonts w:ascii="Times New Roman" w:hAnsi="Times New Roman" w:eastAsia="宋体" w:cs="Times New Roman"/>
      <w:szCs w:val="24"/>
    </w:rPr>
  </w:style>
  <w:style w:type="character" w:customStyle="1" w:styleId="451">
    <w:name w:val="正文文本缩进 2 字符"/>
    <w:autoRedefine/>
    <w:qFormat/>
    <w:uiPriority w:val="0"/>
    <w:rPr>
      <w:rFonts w:ascii="Times New Roman" w:hAnsi="Times New Roman" w:eastAsia="宋体" w:cs="Times New Roman"/>
      <w:szCs w:val="24"/>
    </w:rPr>
  </w:style>
  <w:style w:type="character" w:customStyle="1" w:styleId="452">
    <w:name w:val="日期 字符"/>
    <w:autoRedefine/>
    <w:qFormat/>
    <w:uiPriority w:val="0"/>
    <w:rPr>
      <w:rFonts w:ascii="Times New Roman" w:hAnsi="Times New Roman" w:eastAsia="宋体" w:cs="Times New Roman"/>
      <w:szCs w:val="24"/>
    </w:rPr>
  </w:style>
  <w:style w:type="character" w:customStyle="1" w:styleId="453">
    <w:name w:val="明显引用 字符"/>
    <w:autoRedefine/>
    <w:qFormat/>
    <w:uiPriority w:val="99"/>
    <w:rPr>
      <w:rFonts w:ascii="Times New Roman" w:hAnsi="Times New Roman" w:eastAsia="宋体" w:cs="Times New Roman"/>
      <w:i/>
      <w:iCs/>
      <w:color w:val="4472C4"/>
      <w:szCs w:val="24"/>
    </w:rPr>
  </w:style>
  <w:style w:type="character" w:customStyle="1" w:styleId="454">
    <w:name w:val="HTML 地址 Char1"/>
    <w:autoRedefine/>
    <w:qFormat/>
    <w:uiPriority w:val="99"/>
    <w:rPr>
      <w:i/>
      <w:iCs/>
      <w:kern w:val="2"/>
      <w:sz w:val="21"/>
      <w:szCs w:val="24"/>
    </w:rPr>
  </w:style>
  <w:style w:type="character" w:customStyle="1" w:styleId="455">
    <w:name w:val="UserStyle_16"/>
    <w:link w:val="319"/>
    <w:autoRedefine/>
    <w:qFormat/>
    <w:uiPriority w:val="0"/>
    <w:rPr>
      <w:rFonts w:ascii="宋体" w:hAnsi="Times New Roman"/>
      <w:sz w:val="18"/>
    </w:rPr>
  </w:style>
  <w:style w:type="character" w:customStyle="1" w:styleId="456">
    <w:name w:val="Intense Quote Char1"/>
    <w:autoRedefine/>
    <w:qFormat/>
    <w:locked/>
    <w:uiPriority w:val="99"/>
    <w:rPr>
      <w:b/>
      <w:bCs/>
      <w:i/>
      <w:iCs/>
      <w:color w:val="auto"/>
      <w:sz w:val="21"/>
      <w:szCs w:val="21"/>
    </w:rPr>
  </w:style>
  <w:style w:type="character" w:customStyle="1" w:styleId="457">
    <w:name w:val="正文缩进 Char"/>
    <w:autoRedefine/>
    <w:qFormat/>
    <w:locked/>
    <w:uiPriority w:val="0"/>
    <w:rPr>
      <w:rFonts w:ascii="Times New Roman" w:hAnsi="Times New Roman" w:eastAsia="仿宋_GB2312"/>
      <w:kern w:val="2"/>
      <w:sz w:val="32"/>
      <w:szCs w:val="24"/>
    </w:rPr>
  </w:style>
  <w:style w:type="character" w:customStyle="1" w:styleId="458">
    <w:name w:val="UserStyle_0"/>
    <w:link w:val="283"/>
    <w:autoRedefine/>
    <w:qFormat/>
    <w:uiPriority w:val="0"/>
    <w:rPr>
      <w:rFonts w:ascii="Times New Roman" w:hAnsi="Times New Roman"/>
      <w:b/>
      <w:kern w:val="44"/>
      <w:sz w:val="36"/>
    </w:rPr>
  </w:style>
  <w:style w:type="character" w:customStyle="1" w:styleId="459">
    <w:name w:val="apple-converted-space"/>
    <w:autoRedefine/>
    <w:qFormat/>
    <w:uiPriority w:val="99"/>
  </w:style>
  <w:style w:type="character" w:customStyle="1" w:styleId="460">
    <w:name w:val="标题 3 Char"/>
    <w:autoRedefine/>
    <w:qFormat/>
    <w:uiPriority w:val="9"/>
    <w:rPr>
      <w:rFonts w:eastAsia="仿宋_GB2312"/>
      <w:b/>
      <w:kern w:val="2"/>
      <w:sz w:val="30"/>
      <w:szCs w:val="30"/>
    </w:rPr>
  </w:style>
  <w:style w:type="character" w:customStyle="1" w:styleId="461">
    <w:name w:val="正文文本缩进 Char"/>
    <w:autoRedefine/>
    <w:qFormat/>
    <w:uiPriority w:val="0"/>
    <w:rPr>
      <w:sz w:val="28"/>
      <w:szCs w:val="24"/>
    </w:rPr>
  </w:style>
  <w:style w:type="character" w:customStyle="1" w:styleId="462">
    <w:name w:val="称呼 字符"/>
    <w:autoRedefine/>
    <w:semiHidden/>
    <w:qFormat/>
    <w:uiPriority w:val="99"/>
    <w:rPr>
      <w:rFonts w:ascii="Times New Roman" w:hAnsi="Times New Roman" w:eastAsia="宋体" w:cs="Times New Roman"/>
      <w:szCs w:val="24"/>
    </w:rPr>
  </w:style>
  <w:style w:type="character" w:customStyle="1" w:styleId="463">
    <w:name w:val="无间隔 Char1"/>
    <w:autoRedefine/>
    <w:qFormat/>
    <w:locked/>
    <w:uiPriority w:val="99"/>
    <w:rPr>
      <w:sz w:val="22"/>
      <w:szCs w:val="22"/>
    </w:rPr>
  </w:style>
  <w:style w:type="character" w:customStyle="1" w:styleId="464">
    <w:name w:val="PageNumber"/>
    <w:autoRedefine/>
    <w:qFormat/>
    <w:uiPriority w:val="0"/>
    <w:rPr>
      <w:rFonts w:ascii="Times New Roman" w:hAnsi="Times New Roman" w:eastAsia="宋体"/>
    </w:rPr>
  </w:style>
  <w:style w:type="character" w:customStyle="1" w:styleId="465">
    <w:name w:val="css"/>
    <w:autoRedefine/>
    <w:qFormat/>
    <w:uiPriority w:val="0"/>
  </w:style>
  <w:style w:type="character" w:customStyle="1" w:styleId="466">
    <w:name w:val="Plain Text Char1"/>
    <w:autoRedefine/>
    <w:semiHidden/>
    <w:qFormat/>
    <w:locked/>
    <w:uiPriority w:val="99"/>
    <w:rPr>
      <w:rFonts w:ascii="宋体" w:hAnsi="Courier New" w:cs="宋体"/>
      <w:sz w:val="21"/>
      <w:szCs w:val="21"/>
    </w:rPr>
  </w:style>
  <w:style w:type="character" w:customStyle="1" w:styleId="467">
    <w:name w:val="fontstyle21"/>
    <w:autoRedefine/>
    <w:qFormat/>
    <w:uiPriority w:val="0"/>
    <w:rPr>
      <w:rFonts w:hint="default" w:ascii="TimesNewRomanPSMT" w:hAnsi="TimesNewRomanPSMT"/>
      <w:color w:val="000000"/>
      <w:sz w:val="30"/>
      <w:szCs w:val="30"/>
    </w:rPr>
  </w:style>
  <w:style w:type="character" w:customStyle="1" w:styleId="468">
    <w:name w:val="正文文本 3 Char"/>
    <w:autoRedefine/>
    <w:qFormat/>
    <w:uiPriority w:val="99"/>
    <w:rPr>
      <w:rFonts w:ascii="Times New Roman" w:hAnsi="Times New Roman"/>
      <w:kern w:val="2"/>
      <w:sz w:val="28"/>
      <w:szCs w:val="24"/>
    </w:rPr>
  </w:style>
  <w:style w:type="character" w:customStyle="1" w:styleId="469">
    <w:name w:val="正文文本 3 字符"/>
    <w:autoRedefine/>
    <w:semiHidden/>
    <w:qFormat/>
    <w:uiPriority w:val="99"/>
    <w:rPr>
      <w:rFonts w:ascii="Times New Roman" w:hAnsi="Times New Roman" w:eastAsia="宋体" w:cs="Times New Roman"/>
      <w:sz w:val="16"/>
      <w:szCs w:val="16"/>
    </w:rPr>
  </w:style>
  <w:style w:type="character" w:customStyle="1" w:styleId="470">
    <w:name w:val="批注文字 Char1"/>
    <w:autoRedefine/>
    <w:qFormat/>
    <w:uiPriority w:val="99"/>
    <w:rPr>
      <w:kern w:val="2"/>
      <w:sz w:val="21"/>
      <w:szCs w:val="24"/>
    </w:rPr>
  </w:style>
  <w:style w:type="character" w:customStyle="1" w:styleId="471">
    <w:name w:val="标题 8 Char2"/>
    <w:autoRedefine/>
    <w:qFormat/>
    <w:uiPriority w:val="99"/>
    <w:rPr>
      <w:rFonts w:ascii="Times New Roman" w:hAnsi="Times New Roman"/>
      <w:i/>
      <w:iCs/>
      <w:sz w:val="24"/>
      <w:szCs w:val="24"/>
    </w:rPr>
  </w:style>
  <w:style w:type="character" w:customStyle="1" w:styleId="472">
    <w:name w:val="UserStyle_35"/>
    <w:autoRedefine/>
    <w:qFormat/>
    <w:uiPriority w:val="0"/>
  </w:style>
  <w:style w:type="character" w:customStyle="1" w:styleId="473">
    <w:name w:val="正文文本缩进 Char3"/>
    <w:autoRedefine/>
    <w:qFormat/>
    <w:uiPriority w:val="99"/>
    <w:rPr>
      <w:sz w:val="28"/>
      <w:szCs w:val="24"/>
    </w:rPr>
  </w:style>
  <w:style w:type="character" w:customStyle="1" w:styleId="474">
    <w:name w:val="HTML 地址 字符2"/>
    <w:autoRedefine/>
    <w:semiHidden/>
    <w:qFormat/>
    <w:uiPriority w:val="99"/>
    <w:rPr>
      <w:rFonts w:ascii="Times New Roman" w:hAnsi="Times New Roman" w:eastAsia="仿宋_GB2312" w:cs="Times New Roman"/>
      <w:i/>
      <w:iCs/>
      <w:sz w:val="32"/>
      <w:szCs w:val="24"/>
    </w:rPr>
  </w:style>
  <w:style w:type="character" w:customStyle="1" w:styleId="475">
    <w:name w:val="font51"/>
    <w:autoRedefine/>
    <w:qFormat/>
    <w:uiPriority w:val="0"/>
    <w:rPr>
      <w:rFonts w:hint="eastAsia" w:ascii="仿宋" w:hAnsi="仿宋" w:eastAsia="仿宋" w:cs="仿宋"/>
      <w:color w:val="000000"/>
      <w:sz w:val="22"/>
      <w:szCs w:val="22"/>
      <w:u w:val="none"/>
    </w:rPr>
  </w:style>
  <w:style w:type="character" w:customStyle="1" w:styleId="476">
    <w:name w:val="正文首行缩进 Char1"/>
    <w:autoRedefine/>
    <w:qFormat/>
    <w:uiPriority w:val="99"/>
    <w:rPr>
      <w:rFonts w:eastAsia="Calibri"/>
      <w:kern w:val="2"/>
      <w:sz w:val="21"/>
      <w:szCs w:val="24"/>
      <w:lang w:eastAsia="en-US"/>
    </w:rPr>
  </w:style>
  <w:style w:type="character" w:customStyle="1" w:styleId="477">
    <w:name w:val="标题 9 Char3"/>
    <w:link w:val="10"/>
    <w:autoRedefine/>
    <w:qFormat/>
    <w:uiPriority w:val="99"/>
    <w:rPr>
      <w:rFonts w:ascii="Cambria" w:hAnsi="Cambria" w:cs="Cambria"/>
    </w:rPr>
  </w:style>
  <w:style w:type="character" w:customStyle="1" w:styleId="478">
    <w:name w:val="UserStyle_2"/>
    <w:autoRedefine/>
    <w:qFormat/>
    <w:uiPriority w:val="0"/>
    <w:rPr>
      <w:rFonts w:ascii="Times New Roman" w:hAnsi="Times New Roman" w:eastAsia="仿宋"/>
      <w:b/>
      <w:sz w:val="32"/>
      <w:szCs w:val="20"/>
    </w:rPr>
  </w:style>
  <w:style w:type="character" w:customStyle="1" w:styleId="479">
    <w:name w:val="标题 6 Char1"/>
    <w:autoRedefine/>
    <w:semiHidden/>
    <w:qFormat/>
    <w:locked/>
    <w:uiPriority w:val="0"/>
    <w:rPr>
      <w:b/>
      <w:bCs/>
    </w:rPr>
  </w:style>
  <w:style w:type="character" w:customStyle="1" w:styleId="480">
    <w:name w:val="书籍标题1"/>
    <w:autoRedefine/>
    <w:qFormat/>
    <w:uiPriority w:val="99"/>
    <w:rPr>
      <w:rFonts w:ascii="Cambria" w:hAnsi="Cambria" w:eastAsia="宋体" w:cs="Cambria"/>
      <w:b/>
      <w:bCs/>
      <w:i/>
      <w:iCs/>
      <w:sz w:val="24"/>
      <w:szCs w:val="24"/>
    </w:rPr>
  </w:style>
  <w:style w:type="character" w:customStyle="1" w:styleId="481">
    <w:name w:val="正文文本 3 字符2"/>
    <w:autoRedefine/>
    <w:semiHidden/>
    <w:qFormat/>
    <w:uiPriority w:val="99"/>
    <w:rPr>
      <w:rFonts w:ascii="Times New Roman" w:hAnsi="Times New Roman" w:eastAsia="仿宋_GB2312" w:cs="Times New Roman"/>
      <w:sz w:val="16"/>
      <w:szCs w:val="16"/>
    </w:rPr>
  </w:style>
  <w:style w:type="character" w:customStyle="1" w:styleId="482">
    <w:name w:val="称呼 Char2"/>
    <w:link w:val="19"/>
    <w:autoRedefine/>
    <w:qFormat/>
    <w:uiPriority w:val="99"/>
    <w:rPr>
      <w:rFonts w:ascii="宋体" w:hAnsi="宋体" w:cs="宋体"/>
      <w:color w:val="333333"/>
      <w:sz w:val="24"/>
      <w:szCs w:val="24"/>
    </w:rPr>
  </w:style>
  <w:style w:type="character" w:customStyle="1" w:styleId="483">
    <w:name w:val="标题 3 Char1"/>
    <w:autoRedefine/>
    <w:semiHidden/>
    <w:qFormat/>
    <w:locked/>
    <w:uiPriority w:val="9"/>
    <w:rPr>
      <w:rFonts w:eastAsia="仿宋_GB2312"/>
      <w:b/>
      <w:kern w:val="2"/>
      <w:sz w:val="30"/>
      <w:szCs w:val="30"/>
    </w:rPr>
  </w:style>
  <w:style w:type="character" w:customStyle="1" w:styleId="484">
    <w:name w:val="正文缩进 Char3"/>
    <w:link w:val="13"/>
    <w:autoRedefine/>
    <w:qFormat/>
    <w:locked/>
    <w:uiPriority w:val="0"/>
    <w:rPr>
      <w:rFonts w:ascii="Times New Roman" w:hAnsi="Times New Roman" w:eastAsia="仿宋_GB2312"/>
      <w:kern w:val="2"/>
      <w:sz w:val="32"/>
      <w:szCs w:val="24"/>
    </w:rPr>
  </w:style>
  <w:style w:type="character" w:customStyle="1" w:styleId="485">
    <w:name w:val="批注框文本 字符1"/>
    <w:autoRedefine/>
    <w:semiHidden/>
    <w:qFormat/>
    <w:uiPriority w:val="99"/>
    <w:rPr>
      <w:rFonts w:hint="eastAsia" w:ascii="Microsoft YaHei UI" w:hAnsi="Calibri" w:eastAsia="Microsoft YaHei UI" w:cs="Times New Roman"/>
      <w:sz w:val="18"/>
      <w:szCs w:val="18"/>
    </w:rPr>
  </w:style>
  <w:style w:type="character" w:customStyle="1" w:styleId="486">
    <w:name w:val="正文文本首行缩进 字符"/>
    <w:autoRedefine/>
    <w:qFormat/>
    <w:uiPriority w:val="99"/>
    <w:rPr>
      <w:rFonts w:ascii="Times New Roman" w:hAnsi="Times New Roman" w:eastAsia="宋体" w:cs="Times New Roman"/>
      <w:sz w:val="22"/>
      <w:szCs w:val="24"/>
      <w:lang w:eastAsia="en-US"/>
    </w:rPr>
  </w:style>
  <w:style w:type="character" w:customStyle="1" w:styleId="487">
    <w:name w:val="标题 6 Char2"/>
    <w:autoRedefine/>
    <w:qFormat/>
    <w:uiPriority w:val="0"/>
    <w:rPr>
      <w:rFonts w:ascii="Times New Roman" w:hAnsi="Times New Roman"/>
      <w:b/>
      <w:bCs/>
    </w:rPr>
  </w:style>
  <w:style w:type="character" w:customStyle="1" w:styleId="488">
    <w:name w:val="正文文本 字符2"/>
    <w:autoRedefine/>
    <w:semiHidden/>
    <w:qFormat/>
    <w:uiPriority w:val="99"/>
    <w:rPr>
      <w:rFonts w:ascii="Times New Roman" w:hAnsi="Times New Roman" w:eastAsia="仿宋_GB2312" w:cs="Times New Roman"/>
      <w:sz w:val="32"/>
      <w:szCs w:val="24"/>
    </w:rPr>
  </w:style>
  <w:style w:type="character" w:customStyle="1" w:styleId="489">
    <w:name w:val="页脚 Char2"/>
    <w:autoRedefine/>
    <w:qFormat/>
    <w:uiPriority w:val="99"/>
    <w:rPr>
      <w:sz w:val="18"/>
      <w:szCs w:val="18"/>
    </w:rPr>
  </w:style>
  <w:style w:type="character" w:customStyle="1" w:styleId="490">
    <w:name w:val="批注框文本 字符"/>
    <w:autoRedefine/>
    <w:qFormat/>
    <w:uiPriority w:val="99"/>
    <w:rPr>
      <w:rFonts w:ascii="Times New Roman" w:hAnsi="Times New Roman" w:eastAsia="宋体" w:cs="Times New Roman"/>
      <w:sz w:val="18"/>
      <w:szCs w:val="18"/>
    </w:rPr>
  </w:style>
  <w:style w:type="character" w:customStyle="1" w:styleId="491">
    <w:name w:val="日期 字符3"/>
    <w:autoRedefine/>
    <w:semiHidden/>
    <w:qFormat/>
    <w:uiPriority w:val="99"/>
    <w:rPr>
      <w:rFonts w:ascii="Times New Roman" w:hAnsi="Times New Roman" w:eastAsia="仿宋_GB2312" w:cs="Times New Roman"/>
      <w:sz w:val="32"/>
      <w:szCs w:val="24"/>
    </w:rPr>
  </w:style>
  <w:style w:type="character" w:customStyle="1" w:styleId="492">
    <w:name w:val="个人撰写风格"/>
    <w:autoRedefine/>
    <w:qFormat/>
    <w:uiPriority w:val="0"/>
    <w:rPr>
      <w:rFonts w:ascii="Arial" w:hAnsi="Arial" w:eastAsia="宋体" w:cs="Arial"/>
      <w:color w:val="auto"/>
      <w:sz w:val="20"/>
      <w:szCs w:val="20"/>
    </w:rPr>
  </w:style>
  <w:style w:type="character" w:customStyle="1" w:styleId="493">
    <w:name w:val="不明显参考1"/>
    <w:autoRedefine/>
    <w:qFormat/>
    <w:uiPriority w:val="99"/>
    <w:rPr>
      <w:sz w:val="24"/>
      <w:szCs w:val="24"/>
      <w:u w:val="single"/>
    </w:rPr>
  </w:style>
  <w:style w:type="character" w:customStyle="1" w:styleId="494">
    <w:name w:val="批注主题 Char3"/>
    <w:autoRedefine/>
    <w:qFormat/>
    <w:uiPriority w:val="99"/>
    <w:rPr>
      <w:b/>
      <w:bCs/>
      <w:szCs w:val="24"/>
    </w:rPr>
  </w:style>
  <w:style w:type="character" w:customStyle="1" w:styleId="495">
    <w:name w:val="正文文本缩进 字符1"/>
    <w:autoRedefine/>
    <w:semiHidden/>
    <w:qFormat/>
    <w:uiPriority w:val="99"/>
    <w:rPr>
      <w:rFonts w:hint="default" w:ascii="Tahoma" w:hAnsi="Tahoma" w:eastAsia="微软雅黑" w:cs="Tahoma"/>
      <w:kern w:val="0"/>
      <w:sz w:val="22"/>
    </w:rPr>
  </w:style>
  <w:style w:type="character" w:customStyle="1" w:styleId="496">
    <w:name w:val="Body Text 2 Char1"/>
    <w:autoRedefine/>
    <w:semiHidden/>
    <w:qFormat/>
    <w:locked/>
    <w:uiPriority w:val="99"/>
    <w:rPr>
      <w:sz w:val="21"/>
      <w:szCs w:val="21"/>
    </w:rPr>
  </w:style>
  <w:style w:type="character" w:customStyle="1" w:styleId="497">
    <w:name w:val="标题 9 Char"/>
    <w:autoRedefine/>
    <w:qFormat/>
    <w:uiPriority w:val="0"/>
    <w:rPr>
      <w:rFonts w:ascii="Cambria" w:hAnsi="Cambria" w:cs="Cambria"/>
    </w:rPr>
  </w:style>
  <w:style w:type="character" w:customStyle="1" w:styleId="498">
    <w:name w:val="正文文本 Char"/>
    <w:autoRedefine/>
    <w:qFormat/>
    <w:uiPriority w:val="0"/>
    <w:rPr>
      <w:rFonts w:eastAsia="Calibri"/>
      <w:sz w:val="22"/>
      <w:szCs w:val="22"/>
      <w:lang w:eastAsia="en-US"/>
    </w:rPr>
  </w:style>
  <w:style w:type="character" w:customStyle="1" w:styleId="499">
    <w:name w:val="content1"/>
    <w:autoRedefine/>
    <w:qFormat/>
    <w:uiPriority w:val="0"/>
    <w:rPr>
      <w:sz w:val="21"/>
      <w:szCs w:val="21"/>
    </w:rPr>
  </w:style>
  <w:style w:type="character" w:customStyle="1" w:styleId="500">
    <w:name w:val="font31"/>
    <w:basedOn w:val="60"/>
    <w:autoRedefine/>
    <w:qFormat/>
    <w:uiPriority w:val="0"/>
    <w:rPr>
      <w:rFonts w:hint="eastAsia" w:ascii="宋体" w:hAnsi="宋体" w:eastAsia="宋体"/>
      <w:color w:val="000000"/>
      <w:sz w:val="21"/>
      <w:szCs w:val="21"/>
      <w:u w:val="none"/>
    </w:rPr>
  </w:style>
  <w:style w:type="character" w:customStyle="1" w:styleId="501">
    <w:name w:val="纯文本 Char"/>
    <w:autoRedefine/>
    <w:qFormat/>
    <w:uiPriority w:val="99"/>
    <w:rPr>
      <w:rFonts w:ascii="宋体" w:hAnsi="Courier New"/>
    </w:rPr>
  </w:style>
  <w:style w:type="character" w:customStyle="1" w:styleId="502">
    <w:name w:val="正文文本 Char1"/>
    <w:autoRedefine/>
    <w:qFormat/>
    <w:uiPriority w:val="99"/>
    <w:rPr>
      <w:kern w:val="2"/>
      <w:sz w:val="21"/>
      <w:szCs w:val="24"/>
    </w:rPr>
  </w:style>
  <w:style w:type="character" w:customStyle="1" w:styleId="503">
    <w:name w:val="页眉 字符1"/>
    <w:autoRedefine/>
    <w:semiHidden/>
    <w:qFormat/>
    <w:locked/>
    <w:uiPriority w:val="99"/>
    <w:rPr>
      <w:rFonts w:ascii="Calibri" w:hAnsi="Calibri" w:eastAsia="宋体" w:cs="Times New Roman"/>
      <w:sz w:val="18"/>
      <w:szCs w:val="18"/>
    </w:rPr>
  </w:style>
  <w:style w:type="character" w:customStyle="1" w:styleId="504">
    <w:name w:val="批注主题 Char"/>
    <w:autoRedefine/>
    <w:qFormat/>
    <w:uiPriority w:val="99"/>
    <w:rPr>
      <w:b/>
      <w:bCs/>
      <w:szCs w:val="24"/>
    </w:rPr>
  </w:style>
  <w:style w:type="character" w:customStyle="1" w:styleId="505">
    <w:name w:val="批注文字 Char2"/>
    <w:autoRedefine/>
    <w:qFormat/>
    <w:uiPriority w:val="99"/>
    <w:rPr>
      <w:szCs w:val="24"/>
    </w:rPr>
  </w:style>
  <w:style w:type="character" w:customStyle="1" w:styleId="506">
    <w:name w:val="正文文本 2 Char2"/>
    <w:autoRedefine/>
    <w:qFormat/>
    <w:locked/>
    <w:uiPriority w:val="99"/>
    <w:rPr>
      <w:rFonts w:ascii="宋体" w:hAnsi="Times New Roman" w:cs="宋体"/>
      <w:spacing w:val="26"/>
      <w:kern w:val="2"/>
      <w:sz w:val="32"/>
      <w:szCs w:val="32"/>
    </w:rPr>
  </w:style>
  <w:style w:type="character" w:customStyle="1" w:styleId="507">
    <w:name w:val="纯文本 Char1"/>
    <w:autoRedefine/>
    <w:qFormat/>
    <w:uiPriority w:val="99"/>
    <w:rPr>
      <w:rFonts w:ascii="宋体" w:hAnsi="Courier New" w:cs="Courier New"/>
      <w:kern w:val="2"/>
      <w:sz w:val="21"/>
      <w:szCs w:val="21"/>
    </w:rPr>
  </w:style>
  <w:style w:type="character" w:customStyle="1" w:styleId="508">
    <w:name w:val="标题 7 Char2"/>
    <w:autoRedefine/>
    <w:qFormat/>
    <w:uiPriority w:val="99"/>
    <w:rPr>
      <w:rFonts w:ascii="Times New Roman" w:hAnsi="Times New Roman"/>
      <w:sz w:val="24"/>
      <w:szCs w:val="24"/>
    </w:rPr>
  </w:style>
  <w:style w:type="character" w:customStyle="1" w:styleId="509">
    <w:name w:val="结束语 Char2"/>
    <w:link w:val="21"/>
    <w:autoRedefine/>
    <w:qFormat/>
    <w:uiPriority w:val="99"/>
    <w:rPr>
      <w:rFonts w:ascii="Times New Roman" w:hAnsi="Times New Roman" w:eastAsia="仿宋_GB2312"/>
      <w:spacing w:val="10"/>
      <w:kern w:val="2"/>
      <w:sz w:val="28"/>
    </w:rPr>
  </w:style>
  <w:style w:type="character" w:customStyle="1" w:styleId="510">
    <w:name w:val="页脚 字符1"/>
    <w:autoRedefine/>
    <w:semiHidden/>
    <w:qFormat/>
    <w:locked/>
    <w:uiPriority w:val="99"/>
    <w:rPr>
      <w:rFonts w:ascii="Calibri" w:hAnsi="Calibri" w:eastAsia="宋体" w:cs="Times New Roman"/>
      <w:sz w:val="18"/>
      <w:szCs w:val="20"/>
    </w:rPr>
  </w:style>
  <w:style w:type="character" w:customStyle="1" w:styleId="511">
    <w:name w:val="引用 Char"/>
    <w:autoRedefine/>
    <w:qFormat/>
    <w:locked/>
    <w:uiPriority w:val="99"/>
    <w:rPr>
      <w:i/>
      <w:iCs/>
      <w:sz w:val="24"/>
      <w:szCs w:val="24"/>
    </w:rPr>
  </w:style>
  <w:style w:type="character" w:customStyle="1" w:styleId="512">
    <w:name w:val="文档结构图 Char1"/>
    <w:autoRedefine/>
    <w:qFormat/>
    <w:uiPriority w:val="0"/>
    <w:rPr>
      <w:rFonts w:ascii="宋体" w:hAnsi="Tahoma" w:eastAsia="宋体"/>
      <w:kern w:val="0"/>
      <w:sz w:val="18"/>
      <w:szCs w:val="18"/>
    </w:rPr>
  </w:style>
  <w:style w:type="character" w:customStyle="1" w:styleId="513">
    <w:name w:val="Body Text First Indent Char1"/>
    <w:autoRedefine/>
    <w:semiHidden/>
    <w:qFormat/>
    <w:locked/>
    <w:uiPriority w:val="99"/>
    <w:rPr>
      <w:rFonts w:eastAsia="Calibri"/>
      <w:kern w:val="2"/>
      <w:sz w:val="21"/>
      <w:szCs w:val="21"/>
      <w:lang w:eastAsia="en-US"/>
    </w:rPr>
  </w:style>
  <w:style w:type="character" w:customStyle="1" w:styleId="514">
    <w:name w:val="Char Char2"/>
    <w:autoRedefine/>
    <w:qFormat/>
    <w:uiPriority w:val="0"/>
    <w:rPr>
      <w:rFonts w:hint="default" w:ascii="Arial" w:hAnsi="Arial" w:eastAsia="黑体" w:cs="Arial"/>
      <w:b/>
      <w:bCs/>
      <w:kern w:val="2"/>
      <w:sz w:val="32"/>
      <w:szCs w:val="32"/>
      <w:lang w:val="en-US" w:eastAsia="zh-CN" w:bidi="ar-SA"/>
    </w:rPr>
  </w:style>
  <w:style w:type="character" w:customStyle="1" w:styleId="515">
    <w:name w:val="标题 4 Char1"/>
    <w:autoRedefine/>
    <w:semiHidden/>
    <w:qFormat/>
    <w:locked/>
    <w:uiPriority w:val="99"/>
    <w:rPr>
      <w:rFonts w:eastAsia="仿宋_GB2312"/>
      <w:b/>
      <w:kern w:val="2"/>
      <w:sz w:val="32"/>
      <w:szCs w:val="30"/>
    </w:rPr>
  </w:style>
  <w:style w:type="character" w:customStyle="1" w:styleId="516">
    <w:name w:val="标题 字符"/>
    <w:autoRedefine/>
    <w:qFormat/>
    <w:uiPriority w:val="99"/>
    <w:rPr>
      <w:rFonts w:ascii="等线 Light" w:hAnsi="等线 Light" w:eastAsia="等线 Light" w:cs="Times New Roman"/>
      <w:b/>
      <w:bCs/>
      <w:sz w:val="32"/>
      <w:szCs w:val="32"/>
    </w:rPr>
  </w:style>
  <w:style w:type="character" w:customStyle="1" w:styleId="517">
    <w:name w:val="页眉 Char4"/>
    <w:link w:val="36"/>
    <w:autoRedefine/>
    <w:qFormat/>
    <w:uiPriority w:val="99"/>
    <w:rPr>
      <w:kern w:val="2"/>
      <w:sz w:val="18"/>
      <w:szCs w:val="18"/>
    </w:rPr>
  </w:style>
  <w:style w:type="character" w:customStyle="1" w:styleId="518">
    <w:name w:val="明显参考1"/>
    <w:autoRedefine/>
    <w:qFormat/>
    <w:uiPriority w:val="99"/>
    <w:rPr>
      <w:b/>
      <w:bCs/>
      <w:sz w:val="24"/>
      <w:szCs w:val="24"/>
      <w:u w:val="single"/>
    </w:rPr>
  </w:style>
  <w:style w:type="character" w:customStyle="1" w:styleId="519">
    <w:name w:val="日期 字符1"/>
    <w:autoRedefine/>
    <w:semiHidden/>
    <w:qFormat/>
    <w:uiPriority w:val="99"/>
    <w:rPr>
      <w:rFonts w:hint="default" w:ascii="Tahoma" w:hAnsi="Tahoma" w:eastAsia="微软雅黑" w:cs="Tahoma"/>
      <w:kern w:val="0"/>
      <w:sz w:val="22"/>
    </w:rPr>
  </w:style>
  <w:style w:type="character" w:customStyle="1" w:styleId="520">
    <w:name w:val="正文文本缩进 3 Char1"/>
    <w:autoRedefine/>
    <w:qFormat/>
    <w:uiPriority w:val="99"/>
    <w:rPr>
      <w:kern w:val="2"/>
      <w:sz w:val="16"/>
      <w:szCs w:val="16"/>
    </w:rPr>
  </w:style>
  <w:style w:type="character" w:customStyle="1" w:styleId="521">
    <w:name w:val="日期 Char2"/>
    <w:autoRedefine/>
    <w:qFormat/>
    <w:uiPriority w:val="99"/>
    <w:rPr>
      <w:rFonts w:ascii="Calibri" w:hAnsi="Calibri" w:eastAsia="宋体" w:cs="Times New Roman"/>
      <w:kern w:val="2"/>
      <w:sz w:val="21"/>
      <w:szCs w:val="22"/>
    </w:rPr>
  </w:style>
  <w:style w:type="character" w:customStyle="1" w:styleId="522">
    <w:name w:val="标题 字符2"/>
    <w:autoRedefine/>
    <w:qFormat/>
    <w:uiPriority w:val="10"/>
    <w:rPr>
      <w:rFonts w:ascii="等线 Light" w:hAnsi="等线 Light" w:eastAsia="等线 Light" w:cs="Times New Roman"/>
      <w:b/>
      <w:bCs/>
      <w:sz w:val="32"/>
      <w:szCs w:val="32"/>
    </w:rPr>
  </w:style>
  <w:style w:type="character" w:customStyle="1" w:styleId="523">
    <w:name w:val="标题 Char"/>
    <w:autoRedefine/>
    <w:qFormat/>
    <w:locked/>
    <w:uiPriority w:val="0"/>
    <w:rPr>
      <w:rFonts w:ascii="Cambria" w:hAnsi="Cambria" w:cs="Cambria"/>
      <w:b/>
      <w:bCs/>
      <w:kern w:val="28"/>
      <w:sz w:val="32"/>
      <w:szCs w:val="32"/>
    </w:rPr>
  </w:style>
  <w:style w:type="character" w:customStyle="1" w:styleId="524">
    <w:name w:val="我的正文 Char"/>
    <w:link w:val="426"/>
    <w:autoRedefine/>
    <w:qFormat/>
    <w:locked/>
    <w:uiPriority w:val="0"/>
    <w:rPr>
      <w:rFonts w:ascii="仿宋_GB2312" w:eastAsia="仿宋_GB2312"/>
      <w:sz w:val="24"/>
    </w:rPr>
  </w:style>
  <w:style w:type="character" w:customStyle="1" w:styleId="525">
    <w:name w:val="批注框文本 Char2"/>
    <w:autoRedefine/>
    <w:qFormat/>
    <w:uiPriority w:val="99"/>
    <w:rPr>
      <w:kern w:val="2"/>
      <w:sz w:val="18"/>
      <w:szCs w:val="18"/>
    </w:rPr>
  </w:style>
  <w:style w:type="character" w:customStyle="1" w:styleId="526">
    <w:name w:val="尾注文本 字符2"/>
    <w:autoRedefine/>
    <w:semiHidden/>
    <w:qFormat/>
    <w:uiPriority w:val="99"/>
    <w:rPr>
      <w:rFonts w:ascii="Times New Roman" w:hAnsi="Times New Roman" w:eastAsia="仿宋_GB2312" w:cs="Times New Roman"/>
      <w:sz w:val="32"/>
      <w:szCs w:val="24"/>
    </w:rPr>
  </w:style>
  <w:style w:type="character" w:customStyle="1" w:styleId="527">
    <w:name w:val="fs"/>
    <w:autoRedefine/>
    <w:qFormat/>
    <w:uiPriority w:val="0"/>
  </w:style>
  <w:style w:type="character" w:customStyle="1" w:styleId="528">
    <w:name w:val="标题 4 Char3"/>
    <w:link w:val="5"/>
    <w:autoRedefine/>
    <w:qFormat/>
    <w:uiPriority w:val="99"/>
    <w:rPr>
      <w:rFonts w:ascii="Times New Roman" w:hAnsi="Times New Roman" w:eastAsia="仿宋_GB2312"/>
      <w:b/>
      <w:kern w:val="2"/>
      <w:sz w:val="32"/>
      <w:szCs w:val="30"/>
    </w:rPr>
  </w:style>
  <w:style w:type="character" w:customStyle="1" w:styleId="529">
    <w:name w:val="标题 Char4"/>
    <w:link w:val="53"/>
    <w:autoRedefine/>
    <w:qFormat/>
    <w:locked/>
    <w:uiPriority w:val="99"/>
    <w:rPr>
      <w:rFonts w:ascii="Cambria" w:hAnsi="Cambria" w:cs="Cambria"/>
      <w:b/>
      <w:bCs/>
      <w:kern w:val="28"/>
      <w:sz w:val="32"/>
      <w:szCs w:val="32"/>
    </w:rPr>
  </w:style>
  <w:style w:type="character" w:customStyle="1" w:styleId="530">
    <w:name w:val="脚注文本 字符3"/>
    <w:autoRedefine/>
    <w:semiHidden/>
    <w:qFormat/>
    <w:uiPriority w:val="99"/>
    <w:rPr>
      <w:rFonts w:ascii="Times New Roman" w:hAnsi="Times New Roman" w:eastAsia="仿宋_GB2312" w:cs="Times New Roman"/>
      <w:sz w:val="18"/>
      <w:szCs w:val="18"/>
    </w:rPr>
  </w:style>
  <w:style w:type="character" w:customStyle="1" w:styleId="531">
    <w:name w:val="标题 2 Char"/>
    <w:autoRedefine/>
    <w:qFormat/>
    <w:uiPriority w:val="99"/>
    <w:rPr>
      <w:rFonts w:ascii="Times New Roman" w:hAnsi="Times New Roman" w:eastAsia="楷体"/>
      <w:b/>
      <w:bCs/>
      <w:kern w:val="2"/>
      <w:sz w:val="32"/>
      <w:szCs w:val="30"/>
    </w:rPr>
  </w:style>
  <w:style w:type="character" w:customStyle="1" w:styleId="532">
    <w:name w:val="正文文本缩进 字符3"/>
    <w:autoRedefine/>
    <w:semiHidden/>
    <w:qFormat/>
    <w:uiPriority w:val="99"/>
    <w:rPr>
      <w:rFonts w:ascii="Times New Roman" w:hAnsi="Times New Roman" w:eastAsia="仿宋_GB2312" w:cs="Times New Roman"/>
      <w:sz w:val="32"/>
      <w:szCs w:val="24"/>
    </w:rPr>
  </w:style>
  <w:style w:type="character" w:customStyle="1" w:styleId="533">
    <w:name w:val="fontstyle01"/>
    <w:autoRedefine/>
    <w:qFormat/>
    <w:uiPriority w:val="0"/>
    <w:rPr>
      <w:rFonts w:hint="default" w:ascii="仿宋" w:hAnsi="仿宋"/>
      <w:color w:val="000000"/>
      <w:sz w:val="30"/>
      <w:szCs w:val="30"/>
    </w:rPr>
  </w:style>
  <w:style w:type="character" w:customStyle="1" w:styleId="534">
    <w:name w:val="页眉 Char3"/>
    <w:autoRedefine/>
    <w:qFormat/>
    <w:uiPriority w:val="99"/>
    <w:rPr>
      <w:kern w:val="2"/>
      <w:sz w:val="18"/>
      <w:szCs w:val="18"/>
    </w:rPr>
  </w:style>
  <w:style w:type="character" w:customStyle="1" w:styleId="535">
    <w:name w:val="ca-61"/>
    <w:autoRedefine/>
    <w:qFormat/>
    <w:uiPriority w:val="0"/>
    <w:rPr>
      <w:rFonts w:hint="eastAsia" w:ascii="仿宋_GB2312" w:eastAsia="仿宋_GB2312"/>
      <w:color w:val="000000"/>
      <w:sz w:val="30"/>
      <w:szCs w:val="30"/>
    </w:rPr>
  </w:style>
  <w:style w:type="character" w:customStyle="1" w:styleId="536">
    <w:name w:val="正文缩进 Char1"/>
    <w:autoRedefine/>
    <w:semiHidden/>
    <w:qFormat/>
    <w:locked/>
    <w:uiPriority w:val="0"/>
    <w:rPr>
      <w:rFonts w:ascii="仿宋_GB2312" w:eastAsia="仿宋_GB2312"/>
      <w:kern w:val="2"/>
      <w:sz w:val="32"/>
      <w:szCs w:val="24"/>
    </w:rPr>
  </w:style>
  <w:style w:type="character" w:customStyle="1" w:styleId="537">
    <w:name w:val="页脚 Char1"/>
    <w:autoRedefine/>
    <w:qFormat/>
    <w:uiPriority w:val="99"/>
    <w:rPr>
      <w:kern w:val="2"/>
      <w:sz w:val="18"/>
      <w:szCs w:val="18"/>
    </w:rPr>
  </w:style>
  <w:style w:type="character" w:customStyle="1" w:styleId="538">
    <w:name w:val="Title Char1"/>
    <w:autoRedefine/>
    <w:qFormat/>
    <w:locked/>
    <w:uiPriority w:val="99"/>
    <w:rPr>
      <w:rFonts w:ascii="Cambria" w:hAnsi="Cambria" w:cs="Cambria"/>
      <w:b/>
      <w:bCs/>
      <w:sz w:val="32"/>
      <w:szCs w:val="32"/>
    </w:rPr>
  </w:style>
  <w:style w:type="character" w:customStyle="1" w:styleId="539">
    <w:name w:val="EmailStyle249"/>
    <w:autoRedefine/>
    <w:qFormat/>
    <w:uiPriority w:val="99"/>
    <w:rPr>
      <w:rFonts w:ascii="Arial" w:hAnsi="Arial" w:eastAsia="宋体" w:cs="Arial"/>
      <w:color w:val="auto"/>
      <w:sz w:val="20"/>
      <w:szCs w:val="20"/>
    </w:rPr>
  </w:style>
  <w:style w:type="character" w:customStyle="1" w:styleId="540">
    <w:name w:val="标题 4 字符1"/>
    <w:autoRedefine/>
    <w:qFormat/>
    <w:uiPriority w:val="99"/>
    <w:rPr>
      <w:rFonts w:ascii="Times New Roman" w:hAnsi="Times New Roman" w:eastAsia="仿宋_GB2312" w:cs="Times New Roman"/>
      <w:b/>
      <w:sz w:val="32"/>
      <w:szCs w:val="30"/>
    </w:rPr>
  </w:style>
  <w:style w:type="character" w:customStyle="1" w:styleId="541">
    <w:name w:val="正文文本 2 字符"/>
    <w:autoRedefine/>
    <w:semiHidden/>
    <w:qFormat/>
    <w:uiPriority w:val="99"/>
    <w:rPr>
      <w:rFonts w:ascii="Times New Roman" w:hAnsi="Times New Roman" w:eastAsia="宋体" w:cs="Times New Roman"/>
      <w:szCs w:val="24"/>
    </w:rPr>
  </w:style>
  <w:style w:type="character" w:customStyle="1" w:styleId="542">
    <w:name w:val="正文文本缩进 3 Char"/>
    <w:autoRedefine/>
    <w:qFormat/>
    <w:locked/>
    <w:uiPriority w:val="0"/>
    <w:rPr>
      <w:rFonts w:ascii="仿宋_GB2312" w:hAnsi="宋体" w:eastAsia="仿宋_GB2312" w:cs="仿宋_GB2312"/>
      <w:sz w:val="24"/>
      <w:szCs w:val="24"/>
      <w:lang w:eastAsia="en-US"/>
    </w:rPr>
  </w:style>
  <w:style w:type="character" w:customStyle="1" w:styleId="543">
    <w:name w:val="样式 首行缩进:  2 字符 Char"/>
    <w:link w:val="408"/>
    <w:autoRedefine/>
    <w:qFormat/>
    <w:locked/>
    <w:uiPriority w:val="0"/>
    <w:rPr>
      <w:rFonts w:ascii="仿宋_GB2312" w:eastAsia="仿宋_GB2312"/>
      <w:sz w:val="28"/>
      <w:szCs w:val="28"/>
    </w:rPr>
  </w:style>
  <w:style w:type="character" w:customStyle="1" w:styleId="544">
    <w:name w:val="正文文本 2 Char1"/>
    <w:autoRedefine/>
    <w:qFormat/>
    <w:uiPriority w:val="99"/>
    <w:rPr>
      <w:kern w:val="2"/>
      <w:sz w:val="21"/>
      <w:szCs w:val="24"/>
    </w:rPr>
  </w:style>
  <w:style w:type="character" w:customStyle="1" w:styleId="545">
    <w:name w:val="UserStyle_7"/>
    <w:link w:val="266"/>
    <w:autoRedefine/>
    <w:qFormat/>
    <w:uiPriority w:val="0"/>
    <w:rPr>
      <w:rFonts w:ascii="Times New Roman" w:hAnsi="Times New Roman"/>
      <w:sz w:val="18"/>
    </w:rPr>
  </w:style>
  <w:style w:type="character" w:customStyle="1" w:styleId="546">
    <w:name w:val="脚注文本 字符1"/>
    <w:autoRedefine/>
    <w:semiHidden/>
    <w:qFormat/>
    <w:uiPriority w:val="99"/>
    <w:rPr>
      <w:rFonts w:hint="default" w:ascii="Calibri" w:hAnsi="Calibri" w:eastAsia="宋体" w:cs="Times New Roman"/>
      <w:sz w:val="20"/>
      <w:szCs w:val="20"/>
    </w:rPr>
  </w:style>
  <w:style w:type="character" w:customStyle="1" w:styleId="547">
    <w:name w:val="标题 Char2"/>
    <w:autoRedefine/>
    <w:qFormat/>
    <w:uiPriority w:val="10"/>
    <w:rPr>
      <w:rFonts w:ascii="Cambria" w:hAnsi="Cambria" w:cs="Times New Roman"/>
      <w:b/>
      <w:bCs/>
      <w:kern w:val="2"/>
      <w:sz w:val="32"/>
      <w:szCs w:val="32"/>
    </w:rPr>
  </w:style>
  <w:style w:type="character" w:customStyle="1" w:styleId="548">
    <w:name w:val="标题2"/>
    <w:autoRedefine/>
    <w:qFormat/>
    <w:uiPriority w:val="0"/>
  </w:style>
  <w:style w:type="character" w:customStyle="1" w:styleId="549">
    <w:name w:val="发布"/>
    <w:autoRedefine/>
    <w:qFormat/>
    <w:uiPriority w:val="0"/>
    <w:rPr>
      <w:rFonts w:ascii="黑体" w:eastAsia="黑体" w:cs="黑体"/>
      <w:spacing w:val="85"/>
      <w:w w:val="100"/>
      <w:position w:val="3"/>
      <w:sz w:val="28"/>
      <w:szCs w:val="28"/>
    </w:rPr>
  </w:style>
  <w:style w:type="character" w:customStyle="1" w:styleId="550">
    <w:name w:val="标题 5 Char"/>
    <w:autoRedefine/>
    <w:qFormat/>
    <w:uiPriority w:val="0"/>
    <w:rPr>
      <w:rFonts w:ascii="Times New Roman" w:hAnsi="Times New Roman"/>
      <w:b/>
      <w:bCs/>
      <w:i/>
      <w:iCs/>
      <w:sz w:val="26"/>
      <w:szCs w:val="26"/>
    </w:rPr>
  </w:style>
  <w:style w:type="character" w:customStyle="1" w:styleId="551">
    <w:name w:val="尾注文本 字符"/>
    <w:autoRedefine/>
    <w:qFormat/>
    <w:uiPriority w:val="99"/>
    <w:rPr>
      <w:rFonts w:ascii="Times New Roman" w:hAnsi="Times New Roman" w:eastAsia="宋体" w:cs="Times New Roman"/>
      <w:szCs w:val="24"/>
    </w:rPr>
  </w:style>
  <w:style w:type="character" w:customStyle="1" w:styleId="552">
    <w:name w:val="段 Char1"/>
    <w:autoRedefine/>
    <w:qFormat/>
    <w:uiPriority w:val="0"/>
    <w:rPr>
      <w:rFonts w:hint="eastAsia" w:ascii="宋体" w:hAnsi="宋体" w:eastAsia="宋体" w:cs="宋体"/>
      <w:sz w:val="21"/>
      <w:lang w:val="en-US" w:eastAsia="zh-CN"/>
    </w:rPr>
  </w:style>
  <w:style w:type="character" w:customStyle="1" w:styleId="553">
    <w:name w:val="批注引用1"/>
    <w:autoRedefine/>
    <w:qFormat/>
    <w:uiPriority w:val="99"/>
    <w:rPr>
      <w:sz w:val="21"/>
      <w:szCs w:val="21"/>
    </w:rPr>
  </w:style>
  <w:style w:type="character" w:customStyle="1" w:styleId="554">
    <w:name w:val="引用 字符2"/>
    <w:autoRedefine/>
    <w:qFormat/>
    <w:uiPriority w:val="29"/>
    <w:rPr>
      <w:rFonts w:ascii="Times New Roman" w:hAnsi="Times New Roman" w:eastAsia="仿宋_GB2312" w:cs="Times New Roman"/>
      <w:i/>
      <w:iCs/>
      <w:color w:val="404040"/>
      <w:sz w:val="32"/>
      <w:szCs w:val="24"/>
    </w:rPr>
  </w:style>
  <w:style w:type="character" w:customStyle="1" w:styleId="555">
    <w:name w:val="标题 2 Char1"/>
    <w:autoRedefine/>
    <w:semiHidden/>
    <w:qFormat/>
    <w:locked/>
    <w:uiPriority w:val="99"/>
    <w:rPr>
      <w:rFonts w:eastAsia="楷体"/>
      <w:b/>
      <w:bCs/>
      <w:kern w:val="2"/>
      <w:sz w:val="32"/>
      <w:szCs w:val="30"/>
    </w:rPr>
  </w:style>
  <w:style w:type="character" w:customStyle="1" w:styleId="556">
    <w:name w:val="页眉 Char2"/>
    <w:autoRedefine/>
    <w:qFormat/>
    <w:uiPriority w:val="99"/>
    <w:rPr>
      <w:sz w:val="18"/>
      <w:szCs w:val="18"/>
    </w:rPr>
  </w:style>
  <w:style w:type="character" w:customStyle="1" w:styleId="557">
    <w:name w:val="正文首行缩进 Char"/>
    <w:autoRedefine/>
    <w:qFormat/>
    <w:locked/>
    <w:uiPriority w:val="0"/>
    <w:rPr>
      <w:rFonts w:ascii="Times New Roman" w:hAnsi="Times New Roman" w:eastAsia="仿宋_GB2312"/>
      <w:kern w:val="2"/>
      <w:sz w:val="24"/>
      <w:szCs w:val="24"/>
      <w:lang w:eastAsia="en-US"/>
    </w:rPr>
  </w:style>
  <w:style w:type="character" w:customStyle="1" w:styleId="558">
    <w:name w:val="批注主题 Char4"/>
    <w:link w:val="54"/>
    <w:autoRedefine/>
    <w:qFormat/>
    <w:uiPriority w:val="99"/>
    <w:rPr>
      <w:b/>
      <w:bCs/>
      <w:szCs w:val="24"/>
    </w:rPr>
  </w:style>
  <w:style w:type="character" w:customStyle="1" w:styleId="559">
    <w:name w:val="文档结构图 Char"/>
    <w:autoRedefine/>
    <w:qFormat/>
    <w:uiPriority w:val="99"/>
    <w:rPr>
      <w:rFonts w:ascii="宋体"/>
      <w:kern w:val="2"/>
      <w:sz w:val="18"/>
      <w:szCs w:val="18"/>
    </w:rPr>
  </w:style>
  <w:style w:type="character" w:customStyle="1" w:styleId="560">
    <w:name w:val="结束语 Char"/>
    <w:autoRedefine/>
    <w:qFormat/>
    <w:uiPriority w:val="0"/>
    <w:rPr>
      <w:rFonts w:ascii="Times New Roman" w:hAnsi="Times New Roman" w:eastAsia="仿宋_GB2312"/>
      <w:spacing w:val="10"/>
      <w:kern w:val="2"/>
      <w:sz w:val="28"/>
    </w:rPr>
  </w:style>
  <w:style w:type="character" w:customStyle="1" w:styleId="561">
    <w:name w:val="标题 2 Char2"/>
    <w:autoRedefine/>
    <w:qFormat/>
    <w:uiPriority w:val="99"/>
    <w:rPr>
      <w:rFonts w:ascii="Times New Roman" w:hAnsi="Times New Roman" w:eastAsia="楷体"/>
      <w:b/>
      <w:bCs/>
      <w:kern w:val="2"/>
      <w:sz w:val="32"/>
      <w:szCs w:val="30"/>
    </w:rPr>
  </w:style>
  <w:style w:type="character" w:customStyle="1" w:styleId="562">
    <w:name w:val="未处理的提及2"/>
    <w:autoRedefine/>
    <w:unhideWhenUsed/>
    <w:qFormat/>
    <w:uiPriority w:val="99"/>
    <w:rPr>
      <w:color w:val="605E5C"/>
      <w:shd w:val="clear" w:color="auto" w:fill="E1DFDD"/>
    </w:rPr>
  </w:style>
  <w:style w:type="character" w:customStyle="1" w:styleId="563">
    <w:name w:val="脚注文本 Char3"/>
    <w:autoRedefine/>
    <w:qFormat/>
    <w:uiPriority w:val="99"/>
    <w:rPr>
      <w:rFonts w:cs="Calibri"/>
      <w:sz w:val="18"/>
      <w:szCs w:val="18"/>
      <w:lang w:eastAsia="en-US"/>
    </w:rPr>
  </w:style>
  <w:style w:type="character" w:customStyle="1" w:styleId="564">
    <w:name w:val="正文文本缩进 2 字符1"/>
    <w:autoRedefine/>
    <w:semiHidden/>
    <w:qFormat/>
    <w:uiPriority w:val="99"/>
    <w:rPr>
      <w:rFonts w:hint="default" w:ascii="Tahoma" w:hAnsi="Tahoma" w:eastAsia="微软雅黑" w:cs="Tahoma"/>
      <w:kern w:val="0"/>
      <w:sz w:val="22"/>
    </w:rPr>
  </w:style>
  <w:style w:type="character" w:customStyle="1" w:styleId="565">
    <w:name w:val="书籍标题2"/>
    <w:autoRedefine/>
    <w:qFormat/>
    <w:uiPriority w:val="99"/>
    <w:rPr>
      <w:rFonts w:ascii="Cambria" w:hAnsi="Cambria" w:eastAsia="宋体" w:cs="Cambria"/>
      <w:b/>
      <w:bCs/>
      <w:i/>
      <w:iCs/>
      <w:sz w:val="24"/>
      <w:szCs w:val="24"/>
    </w:rPr>
  </w:style>
  <w:style w:type="character" w:customStyle="1" w:styleId="566">
    <w:name w:val="明显引用 Char"/>
    <w:autoRedefine/>
    <w:qFormat/>
    <w:locked/>
    <w:uiPriority w:val="99"/>
    <w:rPr>
      <w:b/>
      <w:bCs/>
      <w:i/>
      <w:iCs/>
      <w:sz w:val="24"/>
      <w:szCs w:val="24"/>
    </w:rPr>
  </w:style>
  <w:style w:type="character" w:customStyle="1" w:styleId="567">
    <w:name w:val="列出段落 Char2"/>
    <w:link w:val="192"/>
    <w:autoRedefine/>
    <w:qFormat/>
    <w:uiPriority w:val="34"/>
    <w:rPr>
      <w:rFonts w:eastAsia="仿宋_GB2312"/>
      <w:kern w:val="2"/>
      <w:sz w:val="32"/>
      <w:szCs w:val="24"/>
    </w:rPr>
  </w:style>
  <w:style w:type="character" w:customStyle="1" w:styleId="568">
    <w:name w:val="HTML 预设格式 字符"/>
    <w:autoRedefine/>
    <w:qFormat/>
    <w:uiPriority w:val="0"/>
    <w:rPr>
      <w:rFonts w:ascii="Courier New" w:hAnsi="Courier New" w:eastAsia="宋体" w:cs="Courier New"/>
      <w:sz w:val="20"/>
      <w:szCs w:val="20"/>
    </w:rPr>
  </w:style>
  <w:style w:type="character" w:customStyle="1" w:styleId="569">
    <w:name w:val="批注文字 Char"/>
    <w:autoRedefine/>
    <w:qFormat/>
    <w:uiPriority w:val="99"/>
    <w:rPr>
      <w:szCs w:val="24"/>
    </w:rPr>
  </w:style>
  <w:style w:type="character" w:customStyle="1" w:styleId="570">
    <w:name w:val="Char Char"/>
    <w:autoRedefine/>
    <w:qFormat/>
    <w:uiPriority w:val="99"/>
    <w:rPr>
      <w:rFonts w:ascii="Times New Roman" w:hAnsi="Times New Roman" w:eastAsia="宋体" w:cs="Times New Roman"/>
      <w:sz w:val="18"/>
      <w:szCs w:val="18"/>
    </w:rPr>
  </w:style>
  <w:style w:type="character" w:customStyle="1" w:styleId="571">
    <w:name w:val="不明显强调1"/>
    <w:autoRedefine/>
    <w:qFormat/>
    <w:uiPriority w:val="99"/>
    <w:rPr>
      <w:i/>
      <w:iCs/>
      <w:color w:val="auto"/>
    </w:rPr>
  </w:style>
  <w:style w:type="character" w:customStyle="1" w:styleId="572">
    <w:name w:val="fontstyle31"/>
    <w:autoRedefine/>
    <w:qFormat/>
    <w:uiPriority w:val="0"/>
    <w:rPr>
      <w:rFonts w:hint="default" w:ascii="DengXian-Regular" w:hAnsi="DengXian-Regular"/>
      <w:color w:val="000000"/>
      <w:sz w:val="18"/>
      <w:szCs w:val="18"/>
    </w:rPr>
  </w:style>
  <w:style w:type="character" w:customStyle="1" w:styleId="573">
    <w:name w:val="引用 Char2"/>
    <w:autoRedefine/>
    <w:qFormat/>
    <w:uiPriority w:val="29"/>
    <w:rPr>
      <w:rFonts w:ascii="Times New Roman" w:hAnsi="Times New Roman" w:eastAsia="仿宋_GB2312" w:cs="Times New Roman"/>
      <w:i/>
      <w:iCs/>
      <w:color w:val="000000"/>
      <w:sz w:val="32"/>
      <w:szCs w:val="24"/>
    </w:rPr>
  </w:style>
  <w:style w:type="character" w:customStyle="1" w:styleId="574">
    <w:name w:val="副标题 Char2"/>
    <w:autoRedefine/>
    <w:qFormat/>
    <w:locked/>
    <w:uiPriority w:val="99"/>
    <w:rPr>
      <w:rFonts w:ascii="Cambria" w:hAnsi="Cambria" w:cs="Cambria"/>
      <w:sz w:val="24"/>
      <w:szCs w:val="24"/>
    </w:rPr>
  </w:style>
  <w:style w:type="character" w:customStyle="1" w:styleId="575">
    <w:name w:val="ca-101"/>
    <w:autoRedefine/>
    <w:qFormat/>
    <w:uiPriority w:val="0"/>
    <w:rPr>
      <w:rFonts w:hint="eastAsia" w:ascii="仿宋_GB2312" w:eastAsia="仿宋_GB2312"/>
      <w:color w:val="FF0000"/>
      <w:sz w:val="32"/>
      <w:szCs w:val="32"/>
    </w:rPr>
  </w:style>
  <w:style w:type="character" w:customStyle="1" w:styleId="576">
    <w:name w:val="不明显强调11"/>
    <w:autoRedefine/>
    <w:qFormat/>
    <w:uiPriority w:val="99"/>
    <w:rPr>
      <w:i/>
      <w:iCs/>
      <w:color w:val="auto"/>
    </w:rPr>
  </w:style>
  <w:style w:type="character" w:customStyle="1" w:styleId="577">
    <w:name w:val="15"/>
    <w:autoRedefine/>
    <w:qFormat/>
    <w:uiPriority w:val="0"/>
    <w:rPr>
      <w:rFonts w:hint="default" w:ascii="Times New Roman" w:hAnsi="Times New Roman" w:cs="Times New Roman"/>
      <w:color w:val="0000FF"/>
      <w:u w:val="single"/>
    </w:rPr>
  </w:style>
  <w:style w:type="character" w:customStyle="1" w:styleId="578">
    <w:name w:val="ca-21"/>
    <w:autoRedefine/>
    <w:qFormat/>
    <w:uiPriority w:val="0"/>
    <w:rPr>
      <w:rFonts w:hint="eastAsia" w:ascii="仿宋_GB2312" w:eastAsia="仿宋_GB2312"/>
      <w:color w:val="000000"/>
      <w:sz w:val="32"/>
      <w:szCs w:val="32"/>
    </w:rPr>
  </w:style>
  <w:style w:type="character" w:customStyle="1" w:styleId="579">
    <w:name w:val="high-light-bg4"/>
    <w:autoRedefine/>
    <w:qFormat/>
    <w:uiPriority w:val="0"/>
    <w:rPr>
      <w:rFonts w:cs="Times New Roman"/>
    </w:rPr>
  </w:style>
  <w:style w:type="character" w:customStyle="1" w:styleId="580">
    <w:name w:val="标题 7 Char1"/>
    <w:autoRedefine/>
    <w:semiHidden/>
    <w:qFormat/>
    <w:locked/>
    <w:uiPriority w:val="99"/>
    <w:rPr>
      <w:sz w:val="24"/>
      <w:szCs w:val="24"/>
    </w:rPr>
  </w:style>
  <w:style w:type="character" w:customStyle="1" w:styleId="581">
    <w:name w:val="明显引用 Char2"/>
    <w:autoRedefine/>
    <w:qFormat/>
    <w:uiPriority w:val="30"/>
    <w:rPr>
      <w:rFonts w:ascii="Times New Roman" w:hAnsi="Times New Roman" w:eastAsia="仿宋_GB2312" w:cs="Times New Roman"/>
      <w:b/>
      <w:bCs/>
      <w:i/>
      <w:iCs/>
      <w:color w:val="4F81BD"/>
      <w:sz w:val="32"/>
      <w:szCs w:val="24"/>
    </w:rPr>
  </w:style>
  <w:style w:type="character" w:customStyle="1" w:styleId="582">
    <w:name w:val="正文文本缩进 Char2"/>
    <w:autoRedefine/>
    <w:semiHidden/>
    <w:qFormat/>
    <w:uiPriority w:val="99"/>
    <w:rPr>
      <w:kern w:val="2"/>
      <w:sz w:val="21"/>
      <w:szCs w:val="22"/>
    </w:rPr>
  </w:style>
  <w:style w:type="character" w:customStyle="1" w:styleId="583">
    <w:name w:val="标题 6 字符"/>
    <w:autoRedefine/>
    <w:qFormat/>
    <w:uiPriority w:val="99"/>
    <w:rPr>
      <w:rFonts w:ascii="等线 Light" w:hAnsi="等线 Light" w:eastAsia="等线 Light" w:cs="Times New Roman"/>
      <w:b/>
      <w:bCs/>
      <w:sz w:val="24"/>
      <w:szCs w:val="24"/>
    </w:rPr>
  </w:style>
  <w:style w:type="character" w:customStyle="1" w:styleId="584">
    <w:name w:val="批注框文本 Char1"/>
    <w:autoRedefine/>
    <w:qFormat/>
    <w:uiPriority w:val="99"/>
    <w:rPr>
      <w:kern w:val="2"/>
      <w:sz w:val="18"/>
      <w:szCs w:val="18"/>
    </w:rPr>
  </w:style>
  <w:style w:type="character" w:customStyle="1" w:styleId="585">
    <w:name w:val="标题 9 字符"/>
    <w:autoRedefine/>
    <w:qFormat/>
    <w:uiPriority w:val="99"/>
    <w:rPr>
      <w:rFonts w:ascii="等线 Light" w:hAnsi="等线 Light" w:eastAsia="等线 Light" w:cs="Times New Roman"/>
      <w:szCs w:val="21"/>
    </w:rPr>
  </w:style>
  <w:style w:type="character" w:customStyle="1" w:styleId="586">
    <w:name w:val="副标题 Char1"/>
    <w:autoRedefine/>
    <w:qFormat/>
    <w:uiPriority w:val="99"/>
    <w:rPr>
      <w:rFonts w:ascii="Cambria" w:hAnsi="Cambria" w:cs="Times New Roman"/>
      <w:b/>
      <w:bCs/>
      <w:kern w:val="28"/>
      <w:sz w:val="32"/>
      <w:szCs w:val="32"/>
    </w:rPr>
  </w:style>
  <w:style w:type="character" w:customStyle="1" w:styleId="587">
    <w:name w:val="批注主题 Char1"/>
    <w:autoRedefine/>
    <w:qFormat/>
    <w:uiPriority w:val="99"/>
    <w:rPr>
      <w:b/>
      <w:bCs/>
      <w:kern w:val="2"/>
      <w:sz w:val="21"/>
      <w:szCs w:val="24"/>
    </w:rPr>
  </w:style>
  <w:style w:type="character" w:customStyle="1" w:styleId="588">
    <w:name w:val="文档结构图 字符1"/>
    <w:autoRedefine/>
    <w:semiHidden/>
    <w:qFormat/>
    <w:uiPriority w:val="99"/>
    <w:rPr>
      <w:rFonts w:hint="eastAsia" w:ascii="Microsoft YaHei UI" w:hAnsi="Tahoma" w:eastAsia="Microsoft YaHei UI"/>
      <w:kern w:val="0"/>
      <w:sz w:val="18"/>
      <w:szCs w:val="18"/>
    </w:rPr>
  </w:style>
  <w:style w:type="character" w:customStyle="1" w:styleId="589">
    <w:name w:val="14p1"/>
    <w:autoRedefine/>
    <w:qFormat/>
    <w:uiPriority w:val="0"/>
    <w:rPr>
      <w:sz w:val="21"/>
      <w:szCs w:val="21"/>
      <w:u w:val="none"/>
    </w:rPr>
  </w:style>
  <w:style w:type="character" w:customStyle="1" w:styleId="590">
    <w:name w:val="正文首行缩进 Char5"/>
    <w:link w:val="55"/>
    <w:autoRedefine/>
    <w:qFormat/>
    <w:locked/>
    <w:uiPriority w:val="99"/>
    <w:rPr>
      <w:rFonts w:ascii="Times New Roman" w:hAnsi="Times New Roman" w:eastAsia="仿宋_GB2312"/>
      <w:kern w:val="2"/>
      <w:sz w:val="24"/>
      <w:szCs w:val="24"/>
      <w:lang w:eastAsia="en-US"/>
    </w:rPr>
  </w:style>
  <w:style w:type="character" w:customStyle="1" w:styleId="591">
    <w:name w:val="题注1 Char"/>
    <w:link w:val="94"/>
    <w:autoRedefine/>
    <w:qFormat/>
    <w:uiPriority w:val="0"/>
    <w:rPr>
      <w:rFonts w:ascii="Times New Roman" w:hAnsi="Times New Roman" w:eastAsia="黑体"/>
      <w:kern w:val="2"/>
      <w:sz w:val="24"/>
      <w:szCs w:val="24"/>
    </w:rPr>
  </w:style>
  <w:style w:type="character" w:customStyle="1" w:styleId="592">
    <w:name w:val="font121"/>
    <w:autoRedefine/>
    <w:qFormat/>
    <w:uiPriority w:val="0"/>
    <w:rPr>
      <w:rFonts w:hint="eastAsia" w:ascii="仿宋" w:hAnsi="仿宋" w:eastAsia="仿宋" w:cs="仿宋"/>
      <w:color w:val="FF0000"/>
      <w:sz w:val="22"/>
      <w:szCs w:val="22"/>
      <w:u w:val="none"/>
    </w:rPr>
  </w:style>
  <w:style w:type="character" w:customStyle="1" w:styleId="593">
    <w:name w:val="正文文本首行缩进 字符2"/>
    <w:autoRedefine/>
    <w:semiHidden/>
    <w:qFormat/>
    <w:uiPriority w:val="99"/>
  </w:style>
  <w:style w:type="character" w:customStyle="1" w:styleId="594">
    <w:name w:val="无间隔 Char"/>
    <w:autoRedefine/>
    <w:qFormat/>
    <w:uiPriority w:val="99"/>
    <w:rPr>
      <w:sz w:val="22"/>
      <w:szCs w:val="22"/>
      <w:lang w:val="en-US" w:eastAsia="zh-CN" w:bidi="ar-SA"/>
    </w:rPr>
  </w:style>
  <w:style w:type="character" w:customStyle="1" w:styleId="595">
    <w:name w:val="文字 Char"/>
    <w:link w:val="433"/>
    <w:autoRedefine/>
    <w:qFormat/>
    <w:locked/>
    <w:uiPriority w:val="0"/>
    <w:rPr>
      <w:rFonts w:cs="Calibri"/>
      <w:sz w:val="24"/>
    </w:rPr>
  </w:style>
  <w:style w:type="character" w:customStyle="1" w:styleId="596">
    <w:name w:val="批注主题 字符1"/>
    <w:autoRedefine/>
    <w:semiHidden/>
    <w:qFormat/>
    <w:uiPriority w:val="99"/>
    <w:rPr>
      <w:rFonts w:hint="default" w:ascii="Tahoma" w:hAnsi="Tahoma" w:eastAsia="微软雅黑" w:cs="Tahoma"/>
      <w:b/>
      <w:bCs/>
      <w:kern w:val="0"/>
      <w:sz w:val="22"/>
    </w:rPr>
  </w:style>
  <w:style w:type="character" w:customStyle="1" w:styleId="597">
    <w:name w:val="style61"/>
    <w:autoRedefine/>
    <w:qFormat/>
    <w:uiPriority w:val="0"/>
    <w:rPr>
      <w:sz w:val="18"/>
      <w:szCs w:val="18"/>
    </w:rPr>
  </w:style>
  <w:style w:type="character" w:customStyle="1" w:styleId="598">
    <w:name w:val="short_text1"/>
    <w:autoRedefine/>
    <w:qFormat/>
    <w:uiPriority w:val="0"/>
    <w:rPr>
      <w:sz w:val="32"/>
      <w:szCs w:val="32"/>
    </w:rPr>
  </w:style>
  <w:style w:type="character" w:customStyle="1" w:styleId="599">
    <w:name w:val="纯文本 Char4"/>
    <w:link w:val="28"/>
    <w:autoRedefine/>
    <w:qFormat/>
    <w:uiPriority w:val="99"/>
    <w:rPr>
      <w:rFonts w:ascii="宋体" w:hAnsi="Courier New"/>
    </w:rPr>
  </w:style>
  <w:style w:type="character" w:customStyle="1" w:styleId="600">
    <w:name w:val="要点 New"/>
    <w:autoRedefine/>
    <w:qFormat/>
    <w:uiPriority w:val="0"/>
    <w:rPr>
      <w:b/>
      <w:bCs/>
    </w:rPr>
  </w:style>
  <w:style w:type="character" w:customStyle="1" w:styleId="601">
    <w:name w:val="明显参考2"/>
    <w:autoRedefine/>
    <w:qFormat/>
    <w:uiPriority w:val="99"/>
    <w:rPr>
      <w:b/>
      <w:bCs/>
      <w:sz w:val="24"/>
      <w:szCs w:val="24"/>
      <w:u w:val="single"/>
    </w:rPr>
  </w:style>
  <w:style w:type="character" w:customStyle="1" w:styleId="602">
    <w:name w:val="标题 3 Char3"/>
    <w:link w:val="4"/>
    <w:autoRedefine/>
    <w:qFormat/>
    <w:uiPriority w:val="9"/>
    <w:rPr>
      <w:rFonts w:eastAsia="仿宋_GB2312"/>
      <w:b/>
      <w:kern w:val="2"/>
      <w:sz w:val="30"/>
      <w:szCs w:val="30"/>
    </w:rPr>
  </w:style>
  <w:style w:type="character" w:customStyle="1" w:styleId="603">
    <w:name w:val="UserStyle_5"/>
    <w:autoRedefine/>
    <w:qFormat/>
    <w:uiPriority w:val="0"/>
    <w:rPr>
      <w:rFonts w:ascii="Times New Roman" w:hAnsi="Times New Roman" w:eastAsia="方正小标宋_GBK"/>
      <w:sz w:val="38"/>
    </w:rPr>
  </w:style>
  <w:style w:type="character" w:customStyle="1" w:styleId="604">
    <w:name w:val="页脚 Char3"/>
    <w:autoRedefine/>
    <w:qFormat/>
    <w:uiPriority w:val="99"/>
    <w:rPr>
      <w:kern w:val="2"/>
      <w:sz w:val="18"/>
    </w:rPr>
  </w:style>
  <w:style w:type="character" w:customStyle="1" w:styleId="605">
    <w:name w:val="称呼 Char"/>
    <w:autoRedefine/>
    <w:qFormat/>
    <w:uiPriority w:val="0"/>
    <w:rPr>
      <w:rFonts w:ascii="宋体" w:hAnsi="宋体" w:cs="宋体"/>
      <w:color w:val="333333"/>
      <w:sz w:val="24"/>
      <w:szCs w:val="24"/>
    </w:rPr>
  </w:style>
  <w:style w:type="character" w:customStyle="1" w:styleId="606">
    <w:name w:val="样式 仿宋_GB2312 四号 首行缩进:  0.85 厘米 行距: 1.5 倍行距 Char"/>
    <w:link w:val="407"/>
    <w:autoRedefine/>
    <w:qFormat/>
    <w:locked/>
    <w:uiPriority w:val="0"/>
    <w:rPr>
      <w:rFonts w:ascii="仿宋_GB2312" w:eastAsia="仿宋_GB2312" w:cs="宋体"/>
      <w:sz w:val="28"/>
    </w:rPr>
  </w:style>
  <w:style w:type="character" w:customStyle="1" w:styleId="607">
    <w:name w:val="页码1"/>
    <w:autoRedefine/>
    <w:qFormat/>
    <w:uiPriority w:val="99"/>
  </w:style>
  <w:style w:type="character" w:customStyle="1" w:styleId="608">
    <w:name w:val="标题 3 Char2"/>
    <w:autoRedefine/>
    <w:qFormat/>
    <w:uiPriority w:val="9"/>
    <w:rPr>
      <w:rFonts w:eastAsia="仿宋_GB2312"/>
      <w:b/>
      <w:kern w:val="2"/>
      <w:sz w:val="30"/>
      <w:szCs w:val="30"/>
    </w:rPr>
  </w:style>
  <w:style w:type="character" w:customStyle="1" w:styleId="609">
    <w:name w:val="UserStyle_11"/>
    <w:autoRedefine/>
    <w:qFormat/>
    <w:uiPriority w:val="0"/>
    <w:rPr>
      <w:rFonts w:ascii="Times New Roman" w:hAnsi="Times New Roman" w:eastAsia="宋体"/>
      <w:b/>
      <w:sz w:val="28"/>
    </w:rPr>
  </w:style>
  <w:style w:type="character" w:customStyle="1" w:styleId="610">
    <w:name w:val="font01"/>
    <w:basedOn w:val="60"/>
    <w:autoRedefine/>
    <w:qFormat/>
    <w:uiPriority w:val="0"/>
    <w:rPr>
      <w:rFonts w:hint="default" w:ascii="Calibri" w:hAnsi="Calibri" w:cs="Calibri"/>
      <w:color w:val="000000"/>
      <w:sz w:val="21"/>
      <w:szCs w:val="21"/>
      <w:u w:val="none"/>
    </w:rPr>
  </w:style>
  <w:style w:type="character" w:customStyle="1" w:styleId="611">
    <w:name w:val="Char Char12"/>
    <w:autoRedefine/>
    <w:qFormat/>
    <w:uiPriority w:val="0"/>
    <w:rPr>
      <w:b/>
      <w:bCs/>
      <w:kern w:val="44"/>
      <w:sz w:val="44"/>
      <w:szCs w:val="44"/>
    </w:rPr>
  </w:style>
  <w:style w:type="character" w:customStyle="1" w:styleId="612">
    <w:name w:val="明显强调1"/>
    <w:autoRedefine/>
    <w:qFormat/>
    <w:uiPriority w:val="99"/>
    <w:rPr>
      <w:b/>
      <w:bCs/>
      <w:i/>
      <w:iCs/>
      <w:sz w:val="24"/>
      <w:szCs w:val="24"/>
      <w:u w:val="single"/>
    </w:rPr>
  </w:style>
  <w:style w:type="character" w:customStyle="1" w:styleId="613">
    <w:name w:val="日期 Char"/>
    <w:autoRedefine/>
    <w:qFormat/>
    <w:uiPriority w:val="0"/>
    <w:rPr>
      <w:rFonts w:ascii="Calibri" w:hAnsi="Calibri" w:eastAsia="宋体" w:cs="Times New Roman"/>
      <w:kern w:val="2"/>
      <w:sz w:val="21"/>
      <w:szCs w:val="22"/>
    </w:rPr>
  </w:style>
  <w:style w:type="character" w:customStyle="1" w:styleId="614">
    <w:name w:val="UserStyle_36"/>
    <w:autoRedefine/>
    <w:qFormat/>
    <w:uiPriority w:val="0"/>
  </w:style>
  <w:style w:type="character" w:customStyle="1" w:styleId="615">
    <w:name w:val="明显引用 Char3"/>
    <w:autoRedefine/>
    <w:qFormat/>
    <w:locked/>
    <w:uiPriority w:val="99"/>
    <w:rPr>
      <w:b/>
      <w:bCs/>
      <w:i/>
      <w:iCs/>
      <w:sz w:val="24"/>
      <w:szCs w:val="24"/>
    </w:rPr>
  </w:style>
  <w:style w:type="character" w:customStyle="1" w:styleId="616">
    <w:name w:val="标题 8 Char"/>
    <w:autoRedefine/>
    <w:qFormat/>
    <w:uiPriority w:val="0"/>
    <w:rPr>
      <w:rFonts w:ascii="Times New Roman" w:hAnsi="Times New Roman"/>
      <w:i/>
      <w:iCs/>
      <w:sz w:val="24"/>
      <w:szCs w:val="24"/>
    </w:rPr>
  </w:style>
  <w:style w:type="character" w:customStyle="1" w:styleId="617">
    <w:name w:val="Subtitle Char1"/>
    <w:autoRedefine/>
    <w:qFormat/>
    <w:locked/>
    <w:uiPriority w:val="99"/>
    <w:rPr>
      <w:rFonts w:ascii="Cambria" w:hAnsi="Cambria" w:cs="Cambria"/>
      <w:b/>
      <w:bCs/>
      <w:kern w:val="28"/>
      <w:sz w:val="32"/>
      <w:szCs w:val="32"/>
    </w:rPr>
  </w:style>
  <w:style w:type="character" w:customStyle="1" w:styleId="618">
    <w:name w:val="副标题 字符2"/>
    <w:autoRedefine/>
    <w:qFormat/>
    <w:uiPriority w:val="11"/>
    <w:rPr>
      <w:b/>
      <w:bCs/>
      <w:kern w:val="28"/>
      <w:sz w:val="32"/>
      <w:szCs w:val="32"/>
    </w:rPr>
  </w:style>
  <w:style w:type="character" w:customStyle="1" w:styleId="619">
    <w:name w:val="HTML 预设格式 Char2"/>
    <w:autoRedefine/>
    <w:qFormat/>
    <w:locked/>
    <w:uiPriority w:val="0"/>
    <w:rPr>
      <w:rFonts w:ascii="Courier New" w:hAnsi="Courier New" w:cs="Courier New"/>
      <w:kern w:val="2"/>
    </w:rPr>
  </w:style>
  <w:style w:type="character" w:customStyle="1" w:styleId="620">
    <w:name w:val="样式 普通文字 + 加宽量  0.4 磅 Char Char Char Char Char Char Char Char Char Char Char Char Char Char Char Char Char Char Char Char"/>
    <w:autoRedefine/>
    <w:qFormat/>
    <w:uiPriority w:val="0"/>
    <w:rPr>
      <w:rFonts w:hint="eastAsia" w:ascii="宋体" w:hAnsi="宋体" w:eastAsia="宋体"/>
      <w:spacing w:val="8"/>
      <w:kern w:val="2"/>
      <w:sz w:val="24"/>
      <w:lang w:val="en-US" w:eastAsia="zh-CN" w:bidi="ar-SA"/>
    </w:rPr>
  </w:style>
  <w:style w:type="character" w:customStyle="1" w:styleId="621">
    <w:name w:val="引用 Char3"/>
    <w:autoRedefine/>
    <w:qFormat/>
    <w:locked/>
    <w:uiPriority w:val="99"/>
    <w:rPr>
      <w:i/>
      <w:iCs/>
      <w:sz w:val="24"/>
      <w:szCs w:val="24"/>
    </w:rPr>
  </w:style>
  <w:style w:type="character" w:customStyle="1" w:styleId="622">
    <w:name w:val="页脚 Char4"/>
    <w:link w:val="35"/>
    <w:autoRedefine/>
    <w:qFormat/>
    <w:uiPriority w:val="99"/>
    <w:rPr>
      <w:kern w:val="2"/>
      <w:sz w:val="18"/>
    </w:rPr>
  </w:style>
  <w:style w:type="character" w:customStyle="1" w:styleId="623">
    <w:name w:val="批注文字 字符3"/>
    <w:autoRedefine/>
    <w:semiHidden/>
    <w:qFormat/>
    <w:uiPriority w:val="99"/>
    <w:rPr>
      <w:rFonts w:ascii="Times New Roman" w:hAnsi="Times New Roman" w:eastAsia="仿宋_GB2312" w:cs="Times New Roman"/>
      <w:sz w:val="32"/>
      <w:szCs w:val="24"/>
    </w:rPr>
  </w:style>
  <w:style w:type="character" w:customStyle="1" w:styleId="624">
    <w:name w:val="批注框文本 Char3"/>
    <w:link w:val="34"/>
    <w:autoRedefine/>
    <w:qFormat/>
    <w:uiPriority w:val="99"/>
    <w:rPr>
      <w:kern w:val="2"/>
      <w:sz w:val="18"/>
      <w:szCs w:val="18"/>
    </w:rPr>
  </w:style>
  <w:style w:type="character" w:customStyle="1" w:styleId="625">
    <w:name w:val="Header Char1"/>
    <w:autoRedefine/>
    <w:qFormat/>
    <w:uiPriority w:val="0"/>
    <w:rPr>
      <w:sz w:val="18"/>
      <w:szCs w:val="18"/>
    </w:rPr>
  </w:style>
  <w:style w:type="character" w:customStyle="1" w:styleId="626">
    <w:name w:val="无间隔 Char2"/>
    <w:autoRedefine/>
    <w:qFormat/>
    <w:uiPriority w:val="99"/>
    <w:rPr>
      <w:sz w:val="22"/>
      <w:szCs w:val="22"/>
      <w:lang w:val="en-US" w:eastAsia="zh-CN" w:bidi="ar-SA"/>
    </w:rPr>
  </w:style>
  <w:style w:type="character" w:customStyle="1" w:styleId="627">
    <w:name w:val="未处理的提及1"/>
    <w:autoRedefine/>
    <w:unhideWhenUsed/>
    <w:qFormat/>
    <w:uiPriority w:val="99"/>
    <w:rPr>
      <w:color w:val="605E5C"/>
      <w:shd w:val="clear" w:color="auto" w:fill="E1DFDD"/>
    </w:rPr>
  </w:style>
  <w:style w:type="character" w:customStyle="1" w:styleId="628">
    <w:name w:val="标题 4 Char"/>
    <w:autoRedefine/>
    <w:qFormat/>
    <w:uiPriority w:val="99"/>
    <w:rPr>
      <w:rFonts w:ascii="Times New Roman" w:hAnsi="Times New Roman" w:eastAsia="仿宋_GB2312"/>
      <w:b/>
      <w:kern w:val="2"/>
      <w:sz w:val="32"/>
      <w:szCs w:val="30"/>
    </w:rPr>
  </w:style>
  <w:style w:type="character" w:customStyle="1" w:styleId="629">
    <w:name w:val="Char Char4"/>
    <w:autoRedefine/>
    <w:qFormat/>
    <w:uiPriority w:val="0"/>
    <w:rPr>
      <w:rFonts w:eastAsia="宋体"/>
      <w:kern w:val="2"/>
      <w:sz w:val="18"/>
      <w:lang w:val="en-US" w:eastAsia="zh-CN"/>
    </w:rPr>
  </w:style>
  <w:style w:type="character" w:customStyle="1" w:styleId="630">
    <w:name w:val="UserStyle_6"/>
    <w:link w:val="151"/>
    <w:autoRedefine/>
    <w:qFormat/>
    <w:uiPriority w:val="0"/>
    <w:rPr>
      <w:rFonts w:ascii="Times New Roman" w:hAnsi="Times New Roman"/>
      <w:sz w:val="18"/>
    </w:rPr>
  </w:style>
  <w:style w:type="character" w:customStyle="1" w:styleId="631">
    <w:name w:val="页眉 Char"/>
    <w:autoRedefine/>
    <w:qFormat/>
    <w:uiPriority w:val="99"/>
    <w:rPr>
      <w:kern w:val="2"/>
      <w:sz w:val="18"/>
      <w:szCs w:val="18"/>
    </w:rPr>
  </w:style>
  <w:style w:type="character" w:customStyle="1" w:styleId="632">
    <w:name w:val="明显引用 字符2"/>
    <w:autoRedefine/>
    <w:qFormat/>
    <w:uiPriority w:val="30"/>
    <w:rPr>
      <w:rFonts w:ascii="Times New Roman" w:hAnsi="Times New Roman" w:eastAsia="仿宋_GB2312" w:cs="Times New Roman"/>
      <w:i/>
      <w:iCs/>
      <w:color w:val="4472C4"/>
      <w:sz w:val="32"/>
      <w:szCs w:val="24"/>
    </w:rPr>
  </w:style>
  <w:style w:type="character" w:customStyle="1" w:styleId="633">
    <w:name w:val="正文首行缩进 Char2"/>
    <w:autoRedefine/>
    <w:qFormat/>
    <w:locked/>
    <w:uiPriority w:val="99"/>
    <w:rPr>
      <w:rFonts w:eastAsia="仿宋_GB2312"/>
      <w:kern w:val="2"/>
      <w:sz w:val="24"/>
      <w:szCs w:val="24"/>
      <w:lang w:eastAsia="en-US"/>
    </w:rPr>
  </w:style>
  <w:style w:type="character" w:customStyle="1" w:styleId="634">
    <w:name w:val="正文文本缩进 3 Char3"/>
    <w:link w:val="44"/>
    <w:autoRedefine/>
    <w:qFormat/>
    <w:locked/>
    <w:uiPriority w:val="99"/>
    <w:rPr>
      <w:rFonts w:ascii="仿宋_GB2312" w:hAnsi="宋体" w:eastAsia="仿宋_GB2312" w:cs="仿宋_GB2312"/>
      <w:sz w:val="24"/>
      <w:szCs w:val="24"/>
      <w:lang w:eastAsia="en-US"/>
    </w:rPr>
  </w:style>
  <w:style w:type="character" w:customStyle="1" w:styleId="635">
    <w:name w:val="Comment Text Char1"/>
    <w:autoRedefine/>
    <w:qFormat/>
    <w:uiPriority w:val="0"/>
    <w:rPr>
      <w:szCs w:val="24"/>
    </w:rPr>
  </w:style>
  <w:style w:type="character" w:customStyle="1" w:styleId="636">
    <w:name w:val="标题 3 字符"/>
    <w:autoRedefine/>
    <w:qFormat/>
    <w:uiPriority w:val="9"/>
    <w:rPr>
      <w:rFonts w:ascii="Times New Roman" w:hAnsi="Times New Roman" w:eastAsia="宋体" w:cs="Times New Roman"/>
      <w:b/>
      <w:bCs/>
      <w:sz w:val="32"/>
      <w:szCs w:val="32"/>
    </w:rPr>
  </w:style>
  <w:style w:type="character" w:customStyle="1" w:styleId="637">
    <w:name w:val="尾注文本 Char"/>
    <w:autoRedefine/>
    <w:qFormat/>
    <w:locked/>
    <w:uiPriority w:val="0"/>
    <w:rPr>
      <w:rFonts w:ascii="Times New Roman" w:hAnsi="Times New Roman"/>
      <w:kern w:val="2"/>
      <w:sz w:val="24"/>
      <w:szCs w:val="24"/>
    </w:rPr>
  </w:style>
  <w:style w:type="character" w:customStyle="1" w:styleId="638">
    <w:name w:val="正文文本 Char3"/>
    <w:link w:val="22"/>
    <w:autoRedefine/>
    <w:qFormat/>
    <w:uiPriority w:val="99"/>
    <w:rPr>
      <w:rFonts w:eastAsia="Calibri"/>
      <w:sz w:val="22"/>
      <w:szCs w:val="22"/>
      <w:lang w:eastAsia="en-US"/>
    </w:rPr>
  </w:style>
  <w:style w:type="character" w:customStyle="1" w:styleId="639">
    <w:name w:val="文档结构图 Char3"/>
    <w:autoRedefine/>
    <w:qFormat/>
    <w:uiPriority w:val="99"/>
    <w:rPr>
      <w:rFonts w:ascii="宋体"/>
      <w:kern w:val="2"/>
      <w:sz w:val="18"/>
      <w:szCs w:val="18"/>
    </w:rPr>
  </w:style>
  <w:style w:type="character" w:customStyle="1" w:styleId="640">
    <w:name w:val="标题 1 Char3"/>
    <w:link w:val="2"/>
    <w:autoRedefine/>
    <w:qFormat/>
    <w:uiPriority w:val="9"/>
    <w:rPr>
      <w:rFonts w:eastAsia="黑体"/>
      <w:bCs/>
      <w:kern w:val="44"/>
      <w:sz w:val="32"/>
      <w:szCs w:val="44"/>
    </w:rPr>
  </w:style>
  <w:style w:type="character" w:customStyle="1" w:styleId="641">
    <w:name w:val="标题 Char3"/>
    <w:autoRedefine/>
    <w:qFormat/>
    <w:locked/>
    <w:uiPriority w:val="99"/>
    <w:rPr>
      <w:rFonts w:ascii="Cambria" w:hAnsi="Cambria" w:cs="Cambria"/>
      <w:b/>
      <w:bCs/>
      <w:kern w:val="28"/>
      <w:sz w:val="32"/>
      <w:szCs w:val="32"/>
    </w:rPr>
  </w:style>
  <w:style w:type="character" w:customStyle="1" w:styleId="642">
    <w:name w:val="Comment Subject Char1"/>
    <w:autoRedefine/>
    <w:qFormat/>
    <w:uiPriority w:val="0"/>
    <w:rPr>
      <w:b/>
      <w:bCs/>
      <w:kern w:val="2"/>
      <w:sz w:val="24"/>
      <w:szCs w:val="24"/>
    </w:rPr>
  </w:style>
  <w:style w:type="character" w:customStyle="1" w:styleId="643">
    <w:name w:val="附录公式 Char"/>
    <w:autoRedefine/>
    <w:qFormat/>
    <w:uiPriority w:val="0"/>
    <w:rPr>
      <w:rFonts w:hint="eastAsia" w:ascii="宋体" w:hAnsi="Times New Roman" w:eastAsia="宋体" w:cs="Times New Roman"/>
      <w:kern w:val="0"/>
      <w:sz w:val="22"/>
      <w:szCs w:val="20"/>
      <w:lang w:val="en-US" w:eastAsia="zh-CN" w:bidi="ar-SA"/>
    </w:rPr>
  </w:style>
  <w:style w:type="character" w:customStyle="1" w:styleId="644">
    <w:name w:val="无间隔 Char3"/>
    <w:link w:val="117"/>
    <w:autoRedefine/>
    <w:qFormat/>
    <w:uiPriority w:val="99"/>
    <w:rPr>
      <w:sz w:val="22"/>
      <w:szCs w:val="22"/>
      <w:lang w:val="en-US" w:eastAsia="zh-CN" w:bidi="ar-SA"/>
    </w:rPr>
  </w:style>
  <w:style w:type="character" w:customStyle="1" w:styleId="645">
    <w:name w:val="页眉 Char1"/>
    <w:autoRedefine/>
    <w:qFormat/>
    <w:uiPriority w:val="99"/>
    <w:rPr>
      <w:kern w:val="2"/>
      <w:sz w:val="18"/>
      <w:szCs w:val="18"/>
    </w:rPr>
  </w:style>
  <w:style w:type="character" w:customStyle="1" w:styleId="646">
    <w:name w:val="标题 1 Char"/>
    <w:autoRedefine/>
    <w:qFormat/>
    <w:uiPriority w:val="9"/>
    <w:rPr>
      <w:rFonts w:eastAsia="黑体"/>
      <w:bCs/>
      <w:kern w:val="44"/>
      <w:sz w:val="32"/>
      <w:szCs w:val="44"/>
    </w:rPr>
  </w:style>
  <w:style w:type="character" w:customStyle="1" w:styleId="647">
    <w:name w:val="样式1 Char"/>
    <w:link w:val="185"/>
    <w:autoRedefine/>
    <w:qFormat/>
    <w:uiPriority w:val="0"/>
    <w:rPr>
      <w:rFonts w:eastAsia="仿宋_GB2312"/>
      <w:kern w:val="2"/>
      <w:sz w:val="30"/>
      <w:szCs w:val="30"/>
    </w:rPr>
  </w:style>
  <w:style w:type="character" w:customStyle="1" w:styleId="648">
    <w:name w:val="文档结构图 字符"/>
    <w:autoRedefine/>
    <w:qFormat/>
    <w:uiPriority w:val="99"/>
    <w:rPr>
      <w:rFonts w:ascii="Microsoft YaHei UI" w:hAnsi="Times New Roman" w:eastAsia="Microsoft YaHei UI" w:cs="Times New Roman"/>
      <w:sz w:val="18"/>
      <w:szCs w:val="18"/>
    </w:rPr>
  </w:style>
  <w:style w:type="character" w:customStyle="1" w:styleId="649">
    <w:name w:val="标题 4 字符"/>
    <w:autoRedefine/>
    <w:qFormat/>
    <w:uiPriority w:val="99"/>
    <w:rPr>
      <w:rFonts w:ascii="等线 Light" w:hAnsi="等线 Light" w:eastAsia="等线 Light" w:cs="Times New Roman"/>
      <w:b/>
      <w:bCs/>
      <w:sz w:val="28"/>
      <w:szCs w:val="28"/>
    </w:rPr>
  </w:style>
  <w:style w:type="character" w:customStyle="1" w:styleId="650">
    <w:name w:val="称呼 字符2"/>
    <w:autoRedefine/>
    <w:semiHidden/>
    <w:qFormat/>
    <w:uiPriority w:val="99"/>
    <w:rPr>
      <w:rFonts w:ascii="Times New Roman" w:hAnsi="Times New Roman" w:eastAsia="仿宋_GB2312" w:cs="Times New Roman"/>
      <w:sz w:val="32"/>
      <w:szCs w:val="24"/>
    </w:rPr>
  </w:style>
  <w:style w:type="character" w:customStyle="1" w:styleId="651">
    <w:name w:val="批注主题 字符"/>
    <w:autoRedefine/>
    <w:qFormat/>
    <w:uiPriority w:val="99"/>
    <w:rPr>
      <w:rFonts w:ascii="Times New Roman" w:hAnsi="Times New Roman" w:eastAsia="宋体" w:cs="Times New Roman"/>
      <w:b/>
      <w:bCs/>
      <w:szCs w:val="24"/>
    </w:rPr>
  </w:style>
  <w:style w:type="character" w:customStyle="1" w:styleId="652">
    <w:name w:val="段 Char Char"/>
    <w:autoRedefine/>
    <w:qFormat/>
    <w:uiPriority w:val="99"/>
    <w:rPr>
      <w:rFonts w:ascii="宋体" w:hAnsi="Times New Roman" w:eastAsia="宋体" w:cs="宋体"/>
      <w:kern w:val="0"/>
      <w:sz w:val="20"/>
      <w:szCs w:val="20"/>
    </w:rPr>
  </w:style>
  <w:style w:type="character" w:customStyle="1" w:styleId="653">
    <w:name w:val="标题 5 字符"/>
    <w:autoRedefine/>
    <w:qFormat/>
    <w:uiPriority w:val="99"/>
    <w:rPr>
      <w:rFonts w:ascii="Times New Roman" w:hAnsi="Times New Roman" w:eastAsia="宋体" w:cs="Times New Roman"/>
      <w:b/>
      <w:bCs/>
      <w:sz w:val="28"/>
      <w:szCs w:val="28"/>
    </w:rPr>
  </w:style>
  <w:style w:type="character" w:customStyle="1" w:styleId="654">
    <w:name w:val="Char Char3"/>
    <w:autoRedefine/>
    <w:semiHidden/>
    <w:qFormat/>
    <w:uiPriority w:val="0"/>
    <w:rPr>
      <w:sz w:val="18"/>
      <w:szCs w:val="18"/>
    </w:rPr>
  </w:style>
  <w:style w:type="character" w:customStyle="1" w:styleId="655">
    <w:name w:val="正文文本缩进 字符"/>
    <w:autoRedefine/>
    <w:qFormat/>
    <w:uiPriority w:val="0"/>
    <w:rPr>
      <w:rFonts w:ascii="Times New Roman" w:hAnsi="Times New Roman" w:eastAsia="宋体" w:cs="Times New Roman"/>
      <w:szCs w:val="24"/>
    </w:rPr>
  </w:style>
  <w:style w:type="character" w:customStyle="1" w:styleId="656">
    <w:name w:val="Body Text Indent 3 Char1"/>
    <w:autoRedefine/>
    <w:semiHidden/>
    <w:qFormat/>
    <w:locked/>
    <w:uiPriority w:val="99"/>
    <w:rPr>
      <w:sz w:val="16"/>
      <w:szCs w:val="16"/>
    </w:rPr>
  </w:style>
  <w:style w:type="character" w:customStyle="1" w:styleId="657">
    <w:name w:val="Quote Char1"/>
    <w:autoRedefine/>
    <w:qFormat/>
    <w:locked/>
    <w:uiPriority w:val="99"/>
    <w:rPr>
      <w:i/>
      <w:iCs/>
      <w:color w:val="000000"/>
      <w:sz w:val="21"/>
      <w:szCs w:val="21"/>
    </w:rPr>
  </w:style>
  <w:style w:type="character" w:customStyle="1" w:styleId="658">
    <w:name w:val="日期 Char3"/>
    <w:link w:val="31"/>
    <w:autoRedefine/>
    <w:qFormat/>
    <w:uiPriority w:val="99"/>
    <w:rPr>
      <w:rFonts w:ascii="Calibri" w:hAnsi="Calibri" w:eastAsia="宋体" w:cs="Times New Roman"/>
      <w:kern w:val="2"/>
      <w:sz w:val="21"/>
      <w:szCs w:val="22"/>
    </w:rPr>
  </w:style>
  <w:style w:type="character" w:customStyle="1" w:styleId="659">
    <w:name w:val="文档结构图 Char2"/>
    <w:autoRedefine/>
    <w:qFormat/>
    <w:uiPriority w:val="99"/>
    <w:rPr>
      <w:rFonts w:ascii="宋体" w:hAnsi="Times New Roman" w:eastAsia="宋体" w:cs="Times New Roman"/>
      <w:sz w:val="18"/>
      <w:szCs w:val="18"/>
    </w:rPr>
  </w:style>
  <w:style w:type="character" w:customStyle="1" w:styleId="660">
    <w:name w:val="引用 字符"/>
    <w:autoRedefine/>
    <w:qFormat/>
    <w:uiPriority w:val="99"/>
    <w:rPr>
      <w:rFonts w:ascii="Times New Roman" w:hAnsi="Times New Roman" w:eastAsia="宋体" w:cs="Times New Roman"/>
      <w:i/>
      <w:iCs/>
      <w:color w:val="404040"/>
      <w:szCs w:val="24"/>
    </w:rPr>
  </w:style>
  <w:style w:type="character" w:customStyle="1" w:styleId="661">
    <w:name w:val="页脚 Char"/>
    <w:autoRedefine/>
    <w:qFormat/>
    <w:uiPriority w:val="99"/>
    <w:rPr>
      <w:kern w:val="2"/>
      <w:sz w:val="18"/>
    </w:rPr>
  </w:style>
  <w:style w:type="character" w:customStyle="1" w:styleId="662">
    <w:name w:val="正文文本 2 字符2"/>
    <w:autoRedefine/>
    <w:semiHidden/>
    <w:qFormat/>
    <w:uiPriority w:val="99"/>
    <w:rPr>
      <w:rFonts w:ascii="Times New Roman" w:hAnsi="Times New Roman" w:eastAsia="仿宋_GB2312" w:cs="Times New Roman"/>
      <w:sz w:val="32"/>
      <w:szCs w:val="24"/>
    </w:rPr>
  </w:style>
  <w:style w:type="character" w:customStyle="1" w:styleId="663">
    <w:name w:val="UserStyle_9"/>
    <w:link w:val="217"/>
    <w:autoRedefine/>
    <w:qFormat/>
    <w:uiPriority w:val="0"/>
    <w:rPr>
      <w:rFonts w:ascii="Times New Roman" w:hAnsi="Times New Roman"/>
      <w:sz w:val="24"/>
    </w:rPr>
  </w:style>
  <w:style w:type="character" w:customStyle="1" w:styleId="664">
    <w:name w:val="纯文本 Char3"/>
    <w:autoRedefine/>
    <w:qFormat/>
    <w:uiPriority w:val="99"/>
    <w:rPr>
      <w:rFonts w:ascii="宋体" w:hAnsi="Courier New"/>
    </w:rPr>
  </w:style>
  <w:style w:type="character" w:customStyle="1" w:styleId="665">
    <w:name w:val="正文文本缩进 2 Char2"/>
    <w:autoRedefine/>
    <w:qFormat/>
    <w:uiPriority w:val="99"/>
    <w:rPr>
      <w:rFonts w:ascii="仿宋_GB2312" w:eastAsia="仿宋_GB2312"/>
      <w:sz w:val="28"/>
      <w:szCs w:val="24"/>
    </w:rPr>
  </w:style>
  <w:style w:type="character" w:customStyle="1" w:styleId="666">
    <w:name w:val="UserStyle_8"/>
    <w:autoRedefine/>
    <w:qFormat/>
    <w:uiPriority w:val="0"/>
    <w:rPr>
      <w:rFonts w:ascii="Calibri" w:hAnsi="Calibri" w:eastAsia="宋体"/>
      <w:sz w:val="18"/>
      <w:szCs w:val="18"/>
    </w:rPr>
  </w:style>
  <w:style w:type="character" w:customStyle="1" w:styleId="667">
    <w:name w:val="纯文本 字符1"/>
    <w:autoRedefine/>
    <w:semiHidden/>
    <w:qFormat/>
    <w:uiPriority w:val="99"/>
    <w:rPr>
      <w:rFonts w:hint="eastAsia" w:ascii="等线" w:hAnsi="Courier New" w:eastAsia="宋体" w:cs="Courier New"/>
      <w:kern w:val="0"/>
      <w:sz w:val="22"/>
    </w:rPr>
  </w:style>
  <w:style w:type="character" w:customStyle="1" w:styleId="668">
    <w:name w:val="列出段落 Char3"/>
    <w:link w:val="175"/>
    <w:autoRedefine/>
    <w:qFormat/>
    <w:uiPriority w:val="34"/>
    <w:rPr>
      <w:rFonts w:ascii="Times New Roman" w:hAnsi="Times New Roman" w:eastAsia="仿宋_GB2312"/>
      <w:kern w:val="2"/>
      <w:sz w:val="32"/>
      <w:szCs w:val="24"/>
    </w:rPr>
  </w:style>
  <w:style w:type="character" w:customStyle="1" w:styleId="669">
    <w:name w:val="xmsp1"/>
    <w:autoRedefine/>
    <w:qFormat/>
    <w:uiPriority w:val="0"/>
    <w:rPr>
      <w:b/>
      <w:sz w:val="33"/>
    </w:rPr>
  </w:style>
  <w:style w:type="character" w:customStyle="1" w:styleId="670">
    <w:name w:val="HTML Preformatted Char1"/>
    <w:autoRedefine/>
    <w:semiHidden/>
    <w:qFormat/>
    <w:locked/>
    <w:uiPriority w:val="99"/>
    <w:rPr>
      <w:rFonts w:ascii="Courier New" w:hAnsi="Courier New" w:cs="Courier New"/>
      <w:sz w:val="20"/>
      <w:szCs w:val="20"/>
    </w:rPr>
  </w:style>
  <w:style w:type="character" w:customStyle="1" w:styleId="671">
    <w:name w:val="尾注文本 Char3"/>
    <w:link w:val="33"/>
    <w:autoRedefine/>
    <w:qFormat/>
    <w:locked/>
    <w:uiPriority w:val="99"/>
    <w:rPr>
      <w:rFonts w:ascii="Times New Roman" w:hAnsi="Times New Roman"/>
      <w:kern w:val="2"/>
      <w:sz w:val="24"/>
      <w:szCs w:val="24"/>
    </w:rPr>
  </w:style>
  <w:style w:type="character" w:customStyle="1" w:styleId="672">
    <w:name w:val="引用 Char4"/>
    <w:link w:val="214"/>
    <w:autoRedefine/>
    <w:qFormat/>
    <w:locked/>
    <w:uiPriority w:val="99"/>
    <w:rPr>
      <w:i/>
      <w:iCs/>
      <w:sz w:val="24"/>
      <w:szCs w:val="24"/>
    </w:rPr>
  </w:style>
  <w:style w:type="character" w:customStyle="1" w:styleId="673">
    <w:name w:val="附录公式 Char Char"/>
    <w:link w:val="78"/>
    <w:autoRedefine/>
    <w:qFormat/>
    <w:locked/>
    <w:uiPriority w:val="99"/>
    <w:rPr>
      <w:rFonts w:cs="Calibri"/>
    </w:rPr>
  </w:style>
  <w:style w:type="character" w:customStyle="1" w:styleId="674">
    <w:name w:val="UserStyle_1"/>
    <w:autoRedefine/>
    <w:qFormat/>
    <w:uiPriority w:val="0"/>
    <w:rPr>
      <w:rFonts w:ascii="Cambria" w:hAnsi="Cambria" w:eastAsia="黑体"/>
      <w:sz w:val="32"/>
      <w:szCs w:val="20"/>
    </w:rPr>
  </w:style>
  <w:style w:type="character" w:customStyle="1" w:styleId="675">
    <w:name w:val="副标题 Char3"/>
    <w:link w:val="41"/>
    <w:autoRedefine/>
    <w:qFormat/>
    <w:locked/>
    <w:uiPriority w:val="99"/>
    <w:rPr>
      <w:rFonts w:ascii="Cambria" w:hAnsi="Cambria" w:cs="Cambria"/>
      <w:sz w:val="24"/>
      <w:szCs w:val="24"/>
    </w:rPr>
  </w:style>
  <w:style w:type="character" w:customStyle="1" w:styleId="676">
    <w:name w:val="fontstyle11"/>
    <w:autoRedefine/>
    <w:qFormat/>
    <w:uiPriority w:val="0"/>
    <w:rPr>
      <w:rFonts w:hint="default" w:ascii="TimesNewRomanPSMT" w:hAnsi="TimesNewRomanPSMT"/>
      <w:color w:val="000000"/>
      <w:sz w:val="30"/>
      <w:szCs w:val="30"/>
    </w:rPr>
  </w:style>
  <w:style w:type="character" w:customStyle="1" w:styleId="677">
    <w:name w:val="个人答复风格"/>
    <w:autoRedefine/>
    <w:qFormat/>
    <w:uiPriority w:val="0"/>
    <w:rPr>
      <w:rFonts w:ascii="Arial" w:hAnsi="Arial" w:eastAsia="宋体" w:cs="Arial"/>
      <w:color w:val="auto"/>
      <w:sz w:val="20"/>
      <w:szCs w:val="20"/>
    </w:rPr>
  </w:style>
  <w:style w:type="character" w:customStyle="1" w:styleId="678">
    <w:name w:val="UserStyle_3"/>
    <w:autoRedefine/>
    <w:qFormat/>
    <w:uiPriority w:val="0"/>
    <w:rPr>
      <w:rFonts w:ascii="Cambria" w:hAnsi="Cambria" w:eastAsia="宋体"/>
      <w:b/>
      <w:sz w:val="28"/>
      <w:szCs w:val="20"/>
    </w:rPr>
  </w:style>
  <w:style w:type="character" w:customStyle="1" w:styleId="679">
    <w:name w:val="附件内容 Char"/>
    <w:link w:val="306"/>
    <w:autoRedefine/>
    <w:qFormat/>
    <w:uiPriority w:val="0"/>
    <w:rPr>
      <w:rFonts w:ascii="宋体" w:hAnsi="宋体"/>
      <w:kern w:val="2"/>
      <w:sz w:val="21"/>
      <w:szCs w:val="21"/>
    </w:rPr>
  </w:style>
  <w:style w:type="character" w:customStyle="1" w:styleId="680">
    <w:name w:val="尾注文本 Char2"/>
    <w:autoRedefine/>
    <w:qFormat/>
    <w:locked/>
    <w:uiPriority w:val="99"/>
    <w:rPr>
      <w:rFonts w:ascii="Times New Roman" w:hAnsi="Times New Roman"/>
      <w:kern w:val="2"/>
      <w:sz w:val="24"/>
      <w:szCs w:val="24"/>
    </w:rPr>
  </w:style>
  <w:style w:type="character" w:customStyle="1" w:styleId="681">
    <w:name w:val="正文缩进 Char2"/>
    <w:autoRedefine/>
    <w:qFormat/>
    <w:locked/>
    <w:uiPriority w:val="0"/>
    <w:rPr>
      <w:rFonts w:ascii="Times New Roman" w:hAnsi="Times New Roman" w:eastAsia="仿宋_GB2312"/>
      <w:kern w:val="2"/>
      <w:sz w:val="32"/>
      <w:szCs w:val="24"/>
    </w:rPr>
  </w:style>
  <w:style w:type="character" w:customStyle="1" w:styleId="682">
    <w:name w:val="标题 2 Char3"/>
    <w:link w:val="3"/>
    <w:autoRedefine/>
    <w:qFormat/>
    <w:uiPriority w:val="99"/>
    <w:rPr>
      <w:rFonts w:ascii="Times New Roman" w:hAnsi="Times New Roman" w:eastAsia="楷体"/>
      <w:b/>
      <w:bCs/>
      <w:kern w:val="2"/>
      <w:sz w:val="32"/>
      <w:szCs w:val="30"/>
    </w:rPr>
  </w:style>
  <w:style w:type="character" w:customStyle="1" w:styleId="683">
    <w:name w:val="UserStyle_4"/>
    <w:autoRedefine/>
    <w:qFormat/>
    <w:uiPriority w:val="0"/>
    <w:rPr>
      <w:rFonts w:ascii="Times New Roman" w:hAnsi="Times New Roman" w:eastAsia="宋体"/>
      <w:b/>
      <w:sz w:val="28"/>
      <w:szCs w:val="20"/>
    </w:rPr>
  </w:style>
  <w:style w:type="character" w:customStyle="1" w:styleId="684">
    <w:name w:val="Char Char7"/>
    <w:autoRedefine/>
    <w:qFormat/>
    <w:uiPriority w:val="99"/>
    <w:rPr>
      <w:rFonts w:eastAsia="宋体"/>
      <w:kern w:val="2"/>
      <w:sz w:val="24"/>
      <w:szCs w:val="24"/>
      <w:lang w:val="en-US" w:eastAsia="zh-CN"/>
    </w:rPr>
  </w:style>
  <w:style w:type="character" w:customStyle="1" w:styleId="685">
    <w:name w:val="目录标题格式 Char"/>
    <w:link w:val="99"/>
    <w:autoRedefine/>
    <w:qFormat/>
    <w:uiPriority w:val="0"/>
    <w:rPr>
      <w:rFonts w:ascii="宋体" w:hAnsi="宋体"/>
      <w:b/>
      <w:kern w:val="2"/>
      <w:sz w:val="32"/>
      <w:szCs w:val="32"/>
    </w:rPr>
  </w:style>
  <w:style w:type="character" w:customStyle="1" w:styleId="686">
    <w:name w:val="明显引用 Char4"/>
    <w:link w:val="362"/>
    <w:autoRedefine/>
    <w:qFormat/>
    <w:locked/>
    <w:uiPriority w:val="99"/>
    <w:rPr>
      <w:b/>
      <w:bCs/>
      <w:i/>
      <w:iCs/>
      <w:sz w:val="24"/>
      <w:szCs w:val="24"/>
    </w:rPr>
  </w:style>
  <w:style w:type="character" w:customStyle="1" w:styleId="687">
    <w:name w:val="标题 9 Char2"/>
    <w:autoRedefine/>
    <w:qFormat/>
    <w:uiPriority w:val="99"/>
    <w:rPr>
      <w:rFonts w:ascii="Cambria" w:hAnsi="Cambria" w:cs="Cambria"/>
    </w:rPr>
  </w:style>
  <w:style w:type="character" w:customStyle="1" w:styleId="688">
    <w:name w:val="标题 7 字符"/>
    <w:autoRedefine/>
    <w:qFormat/>
    <w:uiPriority w:val="0"/>
    <w:rPr>
      <w:rFonts w:ascii="Times New Roman" w:hAnsi="Times New Roman" w:eastAsia="宋体" w:cs="Times New Roman"/>
      <w:b/>
      <w:bCs/>
      <w:sz w:val="24"/>
      <w:szCs w:val="24"/>
    </w:rPr>
  </w:style>
  <w:style w:type="character" w:customStyle="1" w:styleId="689">
    <w:name w:val="标题 5 Char2"/>
    <w:autoRedefine/>
    <w:qFormat/>
    <w:uiPriority w:val="0"/>
    <w:rPr>
      <w:rFonts w:ascii="Times New Roman" w:hAnsi="Times New Roman"/>
      <w:b/>
      <w:bCs/>
      <w:i/>
      <w:iCs/>
      <w:sz w:val="26"/>
      <w:szCs w:val="26"/>
    </w:rPr>
  </w:style>
  <w:style w:type="character" w:customStyle="1" w:styleId="690">
    <w:name w:val="HTML 地址 字符"/>
    <w:autoRedefine/>
    <w:qFormat/>
    <w:uiPriority w:val="99"/>
    <w:rPr>
      <w:rFonts w:ascii="Times New Roman" w:hAnsi="Times New Roman" w:eastAsia="宋体" w:cs="Times New Roman"/>
      <w:i/>
      <w:iCs/>
      <w:szCs w:val="24"/>
    </w:rPr>
  </w:style>
  <w:style w:type="character" w:customStyle="1" w:styleId="691">
    <w:name w:val="正文文本缩进 3 字符2"/>
    <w:autoRedefine/>
    <w:semiHidden/>
    <w:qFormat/>
    <w:uiPriority w:val="99"/>
    <w:rPr>
      <w:rFonts w:ascii="Times New Roman" w:hAnsi="Times New Roman" w:eastAsia="仿宋_GB2312" w:cs="Times New Roman"/>
      <w:sz w:val="16"/>
      <w:szCs w:val="16"/>
    </w:rPr>
  </w:style>
  <w:style w:type="character" w:customStyle="1" w:styleId="692">
    <w:name w:val="正文首行缩进 Char4"/>
    <w:autoRedefine/>
    <w:qFormat/>
    <w:locked/>
    <w:uiPriority w:val="99"/>
    <w:rPr>
      <w:rFonts w:ascii="Times New Roman" w:hAnsi="Times New Roman" w:eastAsia="仿宋_GB2312"/>
      <w:kern w:val="2"/>
      <w:sz w:val="24"/>
      <w:szCs w:val="24"/>
      <w:lang w:eastAsia="en-US"/>
    </w:rPr>
  </w:style>
  <w:style w:type="character" w:customStyle="1" w:styleId="693">
    <w:name w:val="HTML Address Char1"/>
    <w:autoRedefine/>
    <w:semiHidden/>
    <w:qFormat/>
    <w:locked/>
    <w:uiPriority w:val="99"/>
    <w:rPr>
      <w:i/>
      <w:iCs/>
      <w:sz w:val="21"/>
      <w:szCs w:val="21"/>
    </w:rPr>
  </w:style>
  <w:style w:type="character" w:customStyle="1" w:styleId="694">
    <w:name w:val="HTML 地址 Char"/>
    <w:autoRedefine/>
    <w:qFormat/>
    <w:locked/>
    <w:uiPriority w:val="0"/>
    <w:rPr>
      <w:rFonts w:ascii="Times New Roman" w:hAnsi="Times New Roman"/>
      <w:i/>
      <w:iCs/>
      <w:kern w:val="2"/>
      <w:sz w:val="24"/>
      <w:szCs w:val="24"/>
    </w:rPr>
  </w:style>
  <w:style w:type="character" w:customStyle="1" w:styleId="695">
    <w:name w:val="HTML 预设格式 Char"/>
    <w:autoRedefine/>
    <w:qFormat/>
    <w:locked/>
    <w:uiPriority w:val="0"/>
    <w:rPr>
      <w:rFonts w:ascii="Courier New" w:hAnsi="Courier New" w:cs="Courier New"/>
      <w:kern w:val="2"/>
    </w:rPr>
  </w:style>
  <w:style w:type="character" w:customStyle="1" w:styleId="696">
    <w:name w:val="批注框文本 字符3"/>
    <w:autoRedefine/>
    <w:semiHidden/>
    <w:qFormat/>
    <w:uiPriority w:val="99"/>
    <w:rPr>
      <w:rFonts w:ascii="Times New Roman" w:hAnsi="Times New Roman" w:eastAsia="仿宋_GB2312" w:cs="Times New Roman"/>
      <w:sz w:val="18"/>
      <w:szCs w:val="18"/>
    </w:rPr>
  </w:style>
  <w:style w:type="character" w:customStyle="1" w:styleId="697">
    <w:name w:val="标题 7 Char"/>
    <w:autoRedefine/>
    <w:qFormat/>
    <w:uiPriority w:val="0"/>
    <w:rPr>
      <w:rFonts w:ascii="Times New Roman" w:hAnsi="Times New Roman"/>
      <w:sz w:val="24"/>
      <w:szCs w:val="24"/>
    </w:rPr>
  </w:style>
  <w:style w:type="character" w:customStyle="1" w:styleId="698">
    <w:name w:val="正文文本 2 Char"/>
    <w:autoRedefine/>
    <w:qFormat/>
    <w:locked/>
    <w:uiPriority w:val="99"/>
    <w:rPr>
      <w:rFonts w:ascii="宋体" w:hAnsi="Times New Roman" w:cs="宋体"/>
      <w:spacing w:val="26"/>
      <w:kern w:val="2"/>
      <w:sz w:val="32"/>
      <w:szCs w:val="32"/>
    </w:rPr>
  </w:style>
  <w:style w:type="character" w:customStyle="1" w:styleId="699">
    <w:name w:val="明显引用 Char1"/>
    <w:autoRedefine/>
    <w:qFormat/>
    <w:uiPriority w:val="99"/>
    <w:rPr>
      <w:b/>
      <w:bCs/>
      <w:i/>
      <w:iCs/>
      <w:color w:val="4F81BD"/>
      <w:kern w:val="2"/>
      <w:sz w:val="21"/>
      <w:szCs w:val="24"/>
    </w:rPr>
  </w:style>
  <w:style w:type="character" w:customStyle="1" w:styleId="700">
    <w:name w:val="正文文本 Char2"/>
    <w:autoRedefine/>
    <w:qFormat/>
    <w:uiPriority w:val="99"/>
    <w:rPr>
      <w:rFonts w:eastAsia="Calibri"/>
      <w:sz w:val="22"/>
      <w:szCs w:val="22"/>
      <w:lang w:eastAsia="en-US"/>
    </w:rPr>
  </w:style>
  <w:style w:type="character" w:customStyle="1" w:styleId="701">
    <w:name w:val="批注主题 字符3"/>
    <w:autoRedefine/>
    <w:semiHidden/>
    <w:qFormat/>
    <w:uiPriority w:val="99"/>
    <w:rPr>
      <w:rFonts w:ascii="Times New Roman" w:hAnsi="Times New Roman" w:eastAsia="仿宋_GB2312" w:cs="Times New Roman"/>
      <w:b/>
      <w:bCs/>
      <w:sz w:val="32"/>
      <w:szCs w:val="24"/>
    </w:rPr>
  </w:style>
  <w:style w:type="character" w:customStyle="1" w:styleId="702">
    <w:name w:val="批注框文本 Char"/>
    <w:autoRedefine/>
    <w:qFormat/>
    <w:uiPriority w:val="99"/>
    <w:rPr>
      <w:kern w:val="2"/>
      <w:sz w:val="18"/>
      <w:szCs w:val="18"/>
    </w:rPr>
  </w:style>
  <w:style w:type="character" w:customStyle="1" w:styleId="703">
    <w:name w:val="font21"/>
    <w:autoRedefine/>
    <w:qFormat/>
    <w:uiPriority w:val="0"/>
    <w:rPr>
      <w:rFonts w:ascii="Times New Roman" w:hAnsi="Times New Roman" w:cs="Times New Roman"/>
      <w:color w:val="000000"/>
      <w:sz w:val="21"/>
      <w:szCs w:val="21"/>
      <w:u w:val="none"/>
    </w:rPr>
  </w:style>
  <w:style w:type="character" w:customStyle="1" w:styleId="704">
    <w:name w:val="称呼 Char1"/>
    <w:autoRedefine/>
    <w:qFormat/>
    <w:uiPriority w:val="99"/>
    <w:rPr>
      <w:rFonts w:ascii="宋体" w:hAnsi="宋体" w:cs="宋体"/>
      <w:color w:val="333333"/>
      <w:sz w:val="24"/>
      <w:szCs w:val="24"/>
    </w:rPr>
  </w:style>
  <w:style w:type="character" w:customStyle="1" w:styleId="705">
    <w:name w:val="HTML 预设格式 Char3"/>
    <w:link w:val="50"/>
    <w:autoRedefine/>
    <w:qFormat/>
    <w:locked/>
    <w:uiPriority w:val="0"/>
    <w:rPr>
      <w:rFonts w:ascii="Courier New" w:hAnsi="Courier New" w:cs="Courier New"/>
      <w:kern w:val="2"/>
    </w:rPr>
  </w:style>
  <w:style w:type="character" w:customStyle="1" w:styleId="706">
    <w:name w:val="font11"/>
    <w:basedOn w:val="60"/>
    <w:autoRedefine/>
    <w:qFormat/>
    <w:uiPriority w:val="99"/>
    <w:rPr>
      <w:rFonts w:ascii="仿宋" w:hAnsi="仿宋" w:eastAsia="仿宋" w:cs="仿宋"/>
      <w:color w:val="000000"/>
      <w:sz w:val="21"/>
      <w:szCs w:val="21"/>
      <w:u w:val="none"/>
    </w:rPr>
  </w:style>
  <w:style w:type="character" w:customStyle="1" w:styleId="707">
    <w:name w:val="datatitle"/>
    <w:autoRedefine/>
    <w:qFormat/>
    <w:uiPriority w:val="0"/>
    <w:rPr>
      <w:rFonts w:cs="Times New Roman"/>
    </w:rPr>
  </w:style>
  <w:style w:type="character" w:customStyle="1" w:styleId="708">
    <w:name w:val="首示例 Char Char"/>
    <w:link w:val="331"/>
    <w:autoRedefine/>
    <w:qFormat/>
    <w:locked/>
    <w:uiPriority w:val="99"/>
    <w:rPr>
      <w:rFonts w:ascii="宋体" w:cs="宋体"/>
      <w:sz w:val="18"/>
      <w:szCs w:val="18"/>
      <w:lang w:val="en-US" w:eastAsia="zh-CN" w:bidi="ar-SA"/>
    </w:rPr>
  </w:style>
  <w:style w:type="character" w:customStyle="1" w:styleId="709">
    <w:name w:val="正文文本缩进 2 Char3"/>
    <w:link w:val="32"/>
    <w:autoRedefine/>
    <w:qFormat/>
    <w:uiPriority w:val="99"/>
    <w:rPr>
      <w:rFonts w:ascii="仿宋_GB2312" w:eastAsia="仿宋_GB2312"/>
      <w:sz w:val="28"/>
      <w:szCs w:val="24"/>
    </w:rPr>
  </w:style>
  <w:style w:type="character" w:customStyle="1" w:styleId="710">
    <w:name w:val="HTML 地址 Char2"/>
    <w:autoRedefine/>
    <w:qFormat/>
    <w:locked/>
    <w:uiPriority w:val="0"/>
    <w:rPr>
      <w:rFonts w:ascii="Times New Roman" w:hAnsi="Times New Roman"/>
      <w:i/>
      <w:iCs/>
      <w:kern w:val="2"/>
      <w:sz w:val="24"/>
      <w:szCs w:val="24"/>
    </w:rPr>
  </w:style>
  <w:style w:type="character" w:customStyle="1" w:styleId="711">
    <w:name w:val="正文文本缩进 Char4"/>
    <w:link w:val="23"/>
    <w:autoRedefine/>
    <w:qFormat/>
    <w:uiPriority w:val="99"/>
    <w:rPr>
      <w:sz w:val="28"/>
      <w:szCs w:val="24"/>
    </w:rPr>
  </w:style>
  <w:style w:type="character" w:customStyle="1" w:styleId="712">
    <w:name w:val="highlight1"/>
    <w:autoRedefine/>
    <w:qFormat/>
    <w:uiPriority w:val="0"/>
    <w:rPr>
      <w:shd w:val="clear" w:color="auto" w:fill="FFFF00"/>
    </w:rPr>
  </w:style>
  <w:style w:type="character" w:customStyle="1" w:styleId="713">
    <w:name w:val="标题 2 Char Char"/>
    <w:autoRedefine/>
    <w:qFormat/>
    <w:uiPriority w:val="0"/>
    <w:rPr>
      <w:rFonts w:ascii="Cambria" w:hAnsi="Cambria" w:eastAsia="宋体" w:cs="Times New Roman"/>
      <w:b/>
      <w:bCs/>
      <w:sz w:val="32"/>
      <w:szCs w:val="32"/>
    </w:rPr>
  </w:style>
  <w:style w:type="character" w:customStyle="1" w:styleId="714">
    <w:name w:val="font41"/>
    <w:basedOn w:val="60"/>
    <w:autoRedefine/>
    <w:qFormat/>
    <w:uiPriority w:val="0"/>
    <w:rPr>
      <w:rFonts w:hint="eastAsia" w:ascii="宋体" w:hAnsi="宋体" w:eastAsia="宋体" w:cs="宋体"/>
      <w:color w:val="000000"/>
      <w:sz w:val="22"/>
      <w:szCs w:val="22"/>
      <w:u w:val="none"/>
    </w:rPr>
  </w:style>
  <w:style w:type="character" w:customStyle="1" w:styleId="715">
    <w:name w:val="明显强调2"/>
    <w:autoRedefine/>
    <w:qFormat/>
    <w:uiPriority w:val="99"/>
    <w:rPr>
      <w:b/>
      <w:bCs/>
      <w:i/>
      <w:iCs/>
      <w:sz w:val="24"/>
      <w:szCs w:val="24"/>
      <w:u w:val="single"/>
    </w:rPr>
  </w:style>
  <w:style w:type="character" w:customStyle="1" w:styleId="716">
    <w:name w:val="标题 7 Char3"/>
    <w:link w:val="8"/>
    <w:autoRedefine/>
    <w:qFormat/>
    <w:uiPriority w:val="99"/>
    <w:rPr>
      <w:rFonts w:ascii="Times New Roman" w:hAnsi="Times New Roman"/>
      <w:sz w:val="24"/>
      <w:szCs w:val="24"/>
    </w:rPr>
  </w:style>
  <w:style w:type="character" w:customStyle="1" w:styleId="717">
    <w:name w:val="副标题 Char"/>
    <w:autoRedefine/>
    <w:qFormat/>
    <w:locked/>
    <w:uiPriority w:val="99"/>
    <w:rPr>
      <w:rFonts w:ascii="Cambria" w:hAnsi="Cambria" w:cs="Cambria"/>
      <w:sz w:val="24"/>
      <w:szCs w:val="24"/>
    </w:rPr>
  </w:style>
  <w:style w:type="character" w:customStyle="1" w:styleId="718">
    <w:name w:val="结束语 Char1"/>
    <w:autoRedefine/>
    <w:qFormat/>
    <w:uiPriority w:val="99"/>
    <w:rPr>
      <w:rFonts w:ascii="Times New Roman" w:hAnsi="Times New Roman" w:eastAsia="仿宋_GB2312"/>
      <w:spacing w:val="10"/>
      <w:kern w:val="2"/>
      <w:sz w:val="28"/>
    </w:rPr>
  </w:style>
  <w:style w:type="character" w:customStyle="1" w:styleId="719">
    <w:name w:val="日期 Char1"/>
    <w:autoRedefine/>
    <w:qFormat/>
    <w:uiPriority w:val="99"/>
    <w:rPr>
      <w:kern w:val="2"/>
      <w:sz w:val="21"/>
      <w:szCs w:val="24"/>
    </w:rPr>
  </w:style>
  <w:style w:type="character" w:customStyle="1" w:styleId="720">
    <w:name w:val="标题 1 Char2"/>
    <w:autoRedefine/>
    <w:qFormat/>
    <w:uiPriority w:val="9"/>
    <w:rPr>
      <w:rFonts w:eastAsia="黑体"/>
      <w:bCs/>
      <w:kern w:val="44"/>
      <w:sz w:val="32"/>
      <w:szCs w:val="44"/>
    </w:rPr>
  </w:style>
  <w:style w:type="character" w:customStyle="1" w:styleId="721">
    <w:name w:val="Footer Char"/>
    <w:autoRedefine/>
    <w:qFormat/>
    <w:locked/>
    <w:uiPriority w:val="0"/>
    <w:rPr>
      <w:rFonts w:cs="Times New Roman"/>
      <w:sz w:val="18"/>
      <w:szCs w:val="18"/>
    </w:rPr>
  </w:style>
  <w:style w:type="character" w:customStyle="1" w:styleId="722">
    <w:name w:val="不明显参考11"/>
    <w:autoRedefine/>
    <w:qFormat/>
    <w:uiPriority w:val="99"/>
    <w:rPr>
      <w:sz w:val="24"/>
      <w:szCs w:val="24"/>
      <w:u w:val="single"/>
    </w:rPr>
  </w:style>
  <w:style w:type="character" w:customStyle="1" w:styleId="723">
    <w:name w:val="正文文本缩进 2 Char1"/>
    <w:autoRedefine/>
    <w:qFormat/>
    <w:uiPriority w:val="99"/>
    <w:rPr>
      <w:kern w:val="2"/>
      <w:sz w:val="21"/>
      <w:szCs w:val="24"/>
    </w:rPr>
  </w:style>
  <w:style w:type="character" w:customStyle="1" w:styleId="724">
    <w:name w:val="结束语 字符"/>
    <w:autoRedefine/>
    <w:semiHidden/>
    <w:qFormat/>
    <w:uiPriority w:val="99"/>
    <w:rPr>
      <w:rFonts w:ascii="Times New Roman" w:hAnsi="Times New Roman" w:eastAsia="宋体" w:cs="Times New Roman"/>
      <w:szCs w:val="24"/>
    </w:rPr>
  </w:style>
  <w:style w:type="character" w:customStyle="1" w:styleId="725">
    <w:name w:val="列出段落 Char"/>
    <w:link w:val="378"/>
    <w:autoRedefine/>
    <w:qFormat/>
    <w:uiPriority w:val="34"/>
    <w:rPr>
      <w:rFonts w:eastAsia="仿宋_GB2312"/>
      <w:kern w:val="2"/>
      <w:sz w:val="32"/>
      <w:szCs w:val="24"/>
    </w:rPr>
  </w:style>
  <w:style w:type="character" w:customStyle="1" w:styleId="726">
    <w:name w:val="正文文本 2 Char3"/>
    <w:link w:val="49"/>
    <w:autoRedefine/>
    <w:qFormat/>
    <w:locked/>
    <w:uiPriority w:val="99"/>
    <w:rPr>
      <w:rFonts w:ascii="宋体" w:hAnsi="Times New Roman" w:cs="宋体"/>
      <w:spacing w:val="26"/>
      <w:kern w:val="2"/>
      <w:sz w:val="32"/>
      <w:szCs w:val="32"/>
    </w:rPr>
  </w:style>
  <w:style w:type="character" w:customStyle="1" w:styleId="727">
    <w:name w:val="访问过的超链接1"/>
    <w:autoRedefine/>
    <w:unhideWhenUsed/>
    <w:qFormat/>
    <w:uiPriority w:val="99"/>
    <w:rPr>
      <w:color w:val="800080"/>
      <w:u w:val="single"/>
    </w:rPr>
  </w:style>
  <w:style w:type="character" w:customStyle="1" w:styleId="728">
    <w:name w:val="正文文本 3 Char2"/>
    <w:link w:val="20"/>
    <w:autoRedefine/>
    <w:qFormat/>
    <w:uiPriority w:val="99"/>
    <w:rPr>
      <w:rFonts w:ascii="Times New Roman" w:hAnsi="Times New Roman"/>
      <w:kern w:val="2"/>
      <w:sz w:val="28"/>
      <w:szCs w:val="24"/>
    </w:rPr>
  </w:style>
  <w:style w:type="character" w:customStyle="1" w:styleId="729">
    <w:name w:val="副标题 字符"/>
    <w:autoRedefine/>
    <w:qFormat/>
    <w:uiPriority w:val="99"/>
    <w:rPr>
      <w:b/>
      <w:bCs/>
      <w:kern w:val="28"/>
      <w:sz w:val="32"/>
      <w:szCs w:val="32"/>
    </w:rPr>
  </w:style>
  <w:style w:type="character" w:customStyle="1" w:styleId="730">
    <w:name w:val="脚注文本 Char4"/>
    <w:link w:val="42"/>
    <w:autoRedefine/>
    <w:qFormat/>
    <w:uiPriority w:val="99"/>
    <w:rPr>
      <w:rFonts w:cs="Calibri"/>
      <w:sz w:val="18"/>
      <w:szCs w:val="18"/>
      <w:lang w:eastAsia="en-US"/>
    </w:rPr>
  </w:style>
  <w:style w:type="character" w:customStyle="1" w:styleId="731">
    <w:name w:val="headline-content2"/>
    <w:autoRedefine/>
    <w:qFormat/>
    <w:uiPriority w:val="0"/>
  </w:style>
  <w:style w:type="character" w:customStyle="1" w:styleId="732">
    <w:name w:val="UserStyle_14"/>
    <w:link w:val="368"/>
    <w:autoRedefine/>
    <w:qFormat/>
    <w:uiPriority w:val="0"/>
    <w:rPr>
      <w:rFonts w:ascii="Times New Roman" w:hAnsi="Times New Roman"/>
      <w:b/>
      <w:sz w:val="24"/>
    </w:rPr>
  </w:style>
  <w:style w:type="character" w:customStyle="1" w:styleId="733">
    <w:name w:val="UserStyle_12"/>
    <w:link w:val="83"/>
    <w:autoRedefine/>
    <w:qFormat/>
    <w:uiPriority w:val="0"/>
    <w:rPr>
      <w:rFonts w:ascii="Times New Roman" w:hAnsi="Times New Roman"/>
      <w:sz w:val="18"/>
    </w:rPr>
  </w:style>
  <w:style w:type="character" w:customStyle="1" w:styleId="734">
    <w:name w:val="脚注文本 Char2"/>
    <w:autoRedefine/>
    <w:semiHidden/>
    <w:qFormat/>
    <w:uiPriority w:val="99"/>
    <w:rPr>
      <w:kern w:val="2"/>
      <w:sz w:val="18"/>
      <w:szCs w:val="18"/>
    </w:rPr>
  </w:style>
  <w:style w:type="character" w:customStyle="1" w:styleId="735">
    <w:name w:val="标题 6 Char"/>
    <w:autoRedefine/>
    <w:qFormat/>
    <w:uiPriority w:val="0"/>
    <w:rPr>
      <w:rFonts w:ascii="Times New Roman" w:hAnsi="Times New Roman"/>
      <w:b/>
      <w:bCs/>
    </w:rPr>
  </w:style>
  <w:style w:type="character" w:customStyle="1" w:styleId="736">
    <w:name w:val="批注文字 Char3"/>
    <w:link w:val="17"/>
    <w:autoRedefine/>
    <w:qFormat/>
    <w:uiPriority w:val="99"/>
    <w:rPr>
      <w:szCs w:val="24"/>
    </w:rPr>
  </w:style>
  <w:style w:type="character" w:customStyle="1" w:styleId="737">
    <w:name w:val="正文文本缩进 2 Char"/>
    <w:autoRedefine/>
    <w:qFormat/>
    <w:uiPriority w:val="0"/>
    <w:rPr>
      <w:rFonts w:ascii="仿宋_GB2312" w:eastAsia="仿宋_GB2312"/>
      <w:sz w:val="28"/>
      <w:szCs w:val="24"/>
    </w:rPr>
  </w:style>
  <w:style w:type="character" w:customStyle="1" w:styleId="738">
    <w:name w:val="文档结构图 Char4"/>
    <w:link w:val="16"/>
    <w:autoRedefine/>
    <w:qFormat/>
    <w:uiPriority w:val="99"/>
    <w:rPr>
      <w:rFonts w:ascii="宋体"/>
      <w:kern w:val="2"/>
      <w:sz w:val="18"/>
      <w:szCs w:val="18"/>
    </w:rPr>
  </w:style>
  <w:style w:type="character" w:customStyle="1" w:styleId="739">
    <w:name w:val="font141"/>
    <w:autoRedefine/>
    <w:qFormat/>
    <w:uiPriority w:val="0"/>
    <w:rPr>
      <w:rFonts w:hint="eastAsia" w:ascii="仿宋" w:hAnsi="仿宋" w:eastAsia="仿宋" w:cs="仿宋"/>
      <w:color w:val="000000"/>
      <w:sz w:val="22"/>
      <w:szCs w:val="22"/>
      <w:u w:val="none"/>
    </w:rPr>
  </w:style>
  <w:style w:type="character" w:customStyle="1" w:styleId="740">
    <w:name w:val="font71"/>
    <w:basedOn w:val="60"/>
    <w:autoRedefine/>
    <w:qFormat/>
    <w:uiPriority w:val="0"/>
    <w:rPr>
      <w:rFonts w:hint="default" w:ascii="Times New Roman" w:hAnsi="Times New Roman" w:cs="Times New Roman"/>
      <w:color w:val="000000"/>
      <w:sz w:val="22"/>
      <w:szCs w:val="22"/>
      <w:u w:val="none"/>
    </w:rPr>
  </w:style>
  <w:style w:type="character" w:customStyle="1" w:styleId="741">
    <w:name w:val="正文表标题 Char Char"/>
    <w:link w:val="285"/>
    <w:autoRedefine/>
    <w:qFormat/>
    <w:uiPriority w:val="0"/>
    <w:rPr>
      <w:rFonts w:ascii="黑体" w:eastAsia="黑体"/>
      <w:sz w:val="21"/>
      <w:szCs w:val="21"/>
      <w:lang w:val="en-US" w:eastAsia="zh-CN" w:bidi="ar-SA"/>
    </w:rPr>
  </w:style>
  <w:style w:type="character" w:customStyle="1" w:styleId="742">
    <w:name w:val="AnnotationReference"/>
    <w:autoRedefine/>
    <w:qFormat/>
    <w:uiPriority w:val="0"/>
    <w:rPr>
      <w:sz w:val="21"/>
      <w:szCs w:val="21"/>
    </w:rPr>
  </w:style>
  <w:style w:type="character" w:customStyle="1" w:styleId="743">
    <w:name w:val="引用 Char1"/>
    <w:autoRedefine/>
    <w:qFormat/>
    <w:uiPriority w:val="99"/>
    <w:rPr>
      <w:i/>
      <w:iCs/>
      <w:color w:val="000000"/>
      <w:kern w:val="2"/>
      <w:sz w:val="21"/>
      <w:szCs w:val="24"/>
    </w:rPr>
  </w:style>
  <w:style w:type="character" w:customStyle="1" w:styleId="744">
    <w:name w:val="无间隔 字符"/>
    <w:autoRedefine/>
    <w:qFormat/>
    <w:locked/>
    <w:uiPriority w:val="99"/>
    <w:rPr>
      <w:kern w:val="0"/>
      <w:sz w:val="22"/>
    </w:rPr>
  </w:style>
  <w:style w:type="character" w:customStyle="1" w:styleId="745">
    <w:name w:val="图格式 Char"/>
    <w:link w:val="395"/>
    <w:autoRedefine/>
    <w:qFormat/>
    <w:locked/>
    <w:uiPriority w:val="0"/>
    <w:rPr>
      <w:rFonts w:ascii="仿宋_GB2312" w:eastAsia="仿宋_GB2312"/>
      <w:sz w:val="24"/>
      <w:szCs w:val="24"/>
    </w:rPr>
  </w:style>
  <w:style w:type="character" w:customStyle="1" w:styleId="746">
    <w:name w:val="段 Char"/>
    <w:link w:val="79"/>
    <w:autoRedefine/>
    <w:qFormat/>
    <w:locked/>
    <w:uiPriority w:val="0"/>
    <w:rPr>
      <w:rFonts w:ascii="宋体"/>
      <w:sz w:val="21"/>
      <w:lang w:val="en-US" w:eastAsia="zh-CN" w:bidi="ar-SA"/>
    </w:rPr>
  </w:style>
  <w:style w:type="character" w:customStyle="1" w:styleId="747">
    <w:name w:val="Endnote Text Char1"/>
    <w:autoRedefine/>
    <w:semiHidden/>
    <w:qFormat/>
    <w:locked/>
    <w:uiPriority w:val="99"/>
    <w:rPr>
      <w:sz w:val="21"/>
      <w:szCs w:val="21"/>
    </w:rPr>
  </w:style>
  <w:style w:type="character" w:customStyle="1" w:styleId="748">
    <w:name w:val="脚注文本 Char"/>
    <w:autoRedefine/>
    <w:qFormat/>
    <w:uiPriority w:val="99"/>
    <w:rPr>
      <w:rFonts w:cs="Calibri"/>
      <w:sz w:val="18"/>
      <w:szCs w:val="18"/>
      <w:lang w:eastAsia="en-US"/>
    </w:rPr>
  </w:style>
  <w:style w:type="character" w:customStyle="1" w:styleId="749">
    <w:name w:val="HTML 地址 Char3"/>
    <w:link w:val="24"/>
    <w:autoRedefine/>
    <w:qFormat/>
    <w:locked/>
    <w:uiPriority w:val="0"/>
    <w:rPr>
      <w:rFonts w:ascii="Times New Roman" w:hAnsi="Times New Roman"/>
      <w:i/>
      <w:iCs/>
      <w:kern w:val="2"/>
      <w:sz w:val="24"/>
      <w:szCs w:val="24"/>
    </w:rPr>
  </w:style>
  <w:style w:type="character" w:customStyle="1" w:styleId="750">
    <w:name w:val="UserStyle_10"/>
    <w:autoRedefine/>
    <w:qFormat/>
    <w:uiPriority w:val="0"/>
    <w:rPr>
      <w:rFonts w:ascii="Times New Roman" w:hAnsi="Times New Roman" w:eastAsia="宋体"/>
      <w:sz w:val="21"/>
    </w:rPr>
  </w:style>
  <w:style w:type="character" w:customStyle="1" w:styleId="751">
    <w:name w:val="报告正文 Char"/>
    <w:link w:val="233"/>
    <w:autoRedefine/>
    <w:qFormat/>
    <w:locked/>
    <w:uiPriority w:val="0"/>
    <w:rPr>
      <w:bCs/>
      <w:kern w:val="44"/>
      <w:sz w:val="24"/>
      <w:szCs w:val="44"/>
      <w:lang w:val="en-US" w:eastAsia="zh-CN" w:bidi="ar-SA"/>
    </w:rPr>
  </w:style>
  <w:style w:type="character" w:customStyle="1" w:styleId="752">
    <w:name w:val="批注文字 字符1"/>
    <w:autoRedefine/>
    <w:semiHidden/>
    <w:qFormat/>
    <w:uiPriority w:val="99"/>
    <w:rPr>
      <w:rFonts w:hint="default" w:ascii="Tahoma" w:hAnsi="Tahoma" w:eastAsia="微软雅黑" w:cs="Tahoma"/>
      <w:kern w:val="0"/>
      <w:sz w:val="22"/>
    </w:rPr>
  </w:style>
  <w:style w:type="character" w:customStyle="1" w:styleId="753">
    <w:name w:val="脚注文本 字符"/>
    <w:autoRedefine/>
    <w:qFormat/>
    <w:uiPriority w:val="99"/>
    <w:rPr>
      <w:rFonts w:ascii="Times New Roman" w:hAnsi="Times New Roman" w:eastAsia="宋体" w:cs="Times New Roman"/>
      <w:sz w:val="18"/>
      <w:szCs w:val="18"/>
    </w:rPr>
  </w:style>
  <w:style w:type="character" w:customStyle="1" w:styleId="754">
    <w:name w:val="viewthreadtxt"/>
    <w:autoRedefine/>
    <w:qFormat/>
    <w:uiPriority w:val="99"/>
  </w:style>
  <w:style w:type="character" w:customStyle="1" w:styleId="755">
    <w:name w:val="正文文本缩进 Char1"/>
    <w:autoRedefine/>
    <w:qFormat/>
    <w:uiPriority w:val="0"/>
    <w:rPr>
      <w:kern w:val="2"/>
      <w:sz w:val="21"/>
      <w:szCs w:val="24"/>
    </w:rPr>
  </w:style>
  <w:style w:type="character" w:customStyle="1" w:styleId="756">
    <w:name w:val="标题 5 Char3"/>
    <w:link w:val="6"/>
    <w:autoRedefine/>
    <w:qFormat/>
    <w:uiPriority w:val="0"/>
    <w:rPr>
      <w:rFonts w:ascii="Times New Roman" w:hAnsi="Times New Roman"/>
      <w:b/>
      <w:bCs/>
      <w:i/>
      <w:iCs/>
      <w:sz w:val="26"/>
      <w:szCs w:val="26"/>
    </w:rPr>
  </w:style>
  <w:style w:type="character" w:customStyle="1" w:styleId="757">
    <w:name w:val="标题 Char1"/>
    <w:autoRedefine/>
    <w:qFormat/>
    <w:uiPriority w:val="0"/>
    <w:rPr>
      <w:rFonts w:ascii="Cambria" w:hAnsi="Cambria" w:cs="Times New Roman"/>
      <w:b/>
      <w:bCs/>
      <w:kern w:val="2"/>
      <w:sz w:val="32"/>
      <w:szCs w:val="32"/>
    </w:rPr>
  </w:style>
  <w:style w:type="character" w:customStyle="1" w:styleId="758">
    <w:name w:val="UserStyle_18"/>
    <w:autoRedefine/>
    <w:qFormat/>
    <w:uiPriority w:val="0"/>
    <w:rPr>
      <w:rFonts w:ascii="Times New Roman" w:hAnsi="Times New Roman" w:eastAsia="仿宋"/>
      <w:b/>
      <w:sz w:val="32"/>
    </w:rPr>
  </w:style>
  <w:style w:type="character" w:customStyle="1" w:styleId="759">
    <w:name w:val="脚注文本 Char1"/>
    <w:autoRedefine/>
    <w:qFormat/>
    <w:uiPriority w:val="99"/>
    <w:rPr>
      <w:kern w:val="2"/>
      <w:sz w:val="18"/>
      <w:szCs w:val="18"/>
    </w:rPr>
  </w:style>
  <w:style w:type="character" w:customStyle="1" w:styleId="760">
    <w:name w:val="Body Text Indent 2 Char1"/>
    <w:autoRedefine/>
    <w:semiHidden/>
    <w:qFormat/>
    <w:locked/>
    <w:uiPriority w:val="99"/>
    <w:rPr>
      <w:sz w:val="21"/>
      <w:szCs w:val="21"/>
    </w:rPr>
  </w:style>
  <w:style w:type="character" w:customStyle="1" w:styleId="761">
    <w:name w:val="style21"/>
    <w:autoRedefine/>
    <w:qFormat/>
    <w:uiPriority w:val="0"/>
    <w:rPr>
      <w:b/>
      <w:bCs/>
      <w:sz w:val="24"/>
      <w:szCs w:val="24"/>
    </w:rPr>
  </w:style>
  <w:style w:type="character" w:customStyle="1" w:styleId="762">
    <w:name w:val="标题 8 Char1"/>
    <w:autoRedefine/>
    <w:semiHidden/>
    <w:qFormat/>
    <w:locked/>
    <w:uiPriority w:val="99"/>
    <w:rPr>
      <w:i/>
      <w:iCs/>
      <w:sz w:val="24"/>
      <w:szCs w:val="24"/>
    </w:rPr>
  </w:style>
  <w:style w:type="character" w:customStyle="1" w:styleId="763">
    <w:name w:val="Document Map Char1"/>
    <w:autoRedefine/>
    <w:semiHidden/>
    <w:qFormat/>
    <w:locked/>
    <w:uiPriority w:val="99"/>
    <w:rPr>
      <w:rFonts w:ascii="Times New Roman" w:hAnsi="Times New Roman" w:cs="Times New Roman"/>
      <w:sz w:val="2"/>
      <w:szCs w:val="2"/>
    </w:rPr>
  </w:style>
  <w:style w:type="character" w:customStyle="1" w:styleId="764">
    <w:name w:val="medium_text1"/>
    <w:autoRedefine/>
    <w:qFormat/>
    <w:uiPriority w:val="0"/>
    <w:rPr>
      <w:sz w:val="22"/>
      <w:szCs w:val="22"/>
    </w:rPr>
  </w:style>
  <w:style w:type="character" w:customStyle="1" w:styleId="765">
    <w:name w:val="标题 9 Char1"/>
    <w:autoRedefine/>
    <w:semiHidden/>
    <w:qFormat/>
    <w:locked/>
    <w:uiPriority w:val="99"/>
    <w:rPr>
      <w:rFonts w:ascii="Cambria" w:hAnsi="Cambria"/>
    </w:rPr>
  </w:style>
  <w:style w:type="character" w:customStyle="1" w:styleId="766">
    <w:name w:val="列出段落 Char1"/>
    <w:autoRedefine/>
    <w:qFormat/>
    <w:locked/>
    <w:uiPriority w:val="34"/>
    <w:rPr>
      <w:rFonts w:eastAsia="仿宋_GB2312"/>
      <w:kern w:val="2"/>
      <w:sz w:val="32"/>
      <w:szCs w:val="24"/>
    </w:rPr>
  </w:style>
  <w:style w:type="character" w:customStyle="1" w:styleId="767">
    <w:name w:val="标题 1 Char1"/>
    <w:autoRedefine/>
    <w:qFormat/>
    <w:locked/>
    <w:uiPriority w:val="9"/>
    <w:rPr>
      <w:rFonts w:eastAsia="黑体"/>
      <w:bCs/>
      <w:kern w:val="44"/>
      <w:sz w:val="32"/>
      <w:szCs w:val="44"/>
    </w:rPr>
  </w:style>
  <w:style w:type="character" w:customStyle="1" w:styleId="768">
    <w:name w:val="font61"/>
    <w:basedOn w:val="60"/>
    <w:autoRedefine/>
    <w:qFormat/>
    <w:uiPriority w:val="0"/>
    <w:rPr>
      <w:rFonts w:hint="eastAsia" w:ascii="宋体" w:hAnsi="宋体" w:eastAsia="宋体" w:cs="宋体"/>
      <w:color w:val="000000"/>
      <w:sz w:val="22"/>
      <w:szCs w:val="22"/>
      <w:u w:val="none"/>
    </w:rPr>
  </w:style>
  <w:style w:type="character" w:customStyle="1" w:styleId="769">
    <w:name w:val="_Style 768"/>
    <w:autoRedefine/>
    <w:unhideWhenUsed/>
    <w:qFormat/>
    <w:uiPriority w:val="99"/>
    <w:rPr>
      <w:color w:val="605E5C"/>
      <w:shd w:val="clear" w:color="auto" w:fill="E1DFDD"/>
    </w:rPr>
  </w:style>
  <w:style w:type="character" w:customStyle="1" w:styleId="770">
    <w:name w:val="未处理的提及11"/>
    <w:autoRedefine/>
    <w:unhideWhenUsed/>
    <w:qFormat/>
    <w:uiPriority w:val="99"/>
    <w:rPr>
      <w:color w:val="605E5C"/>
      <w:shd w:val="clear" w:color="auto" w:fill="E1DFDD"/>
    </w:rPr>
  </w:style>
  <w:style w:type="character" w:customStyle="1" w:styleId="771">
    <w:name w:val="正文文本缩进 3 Char2"/>
    <w:autoRedefine/>
    <w:qFormat/>
    <w:locked/>
    <w:uiPriority w:val="99"/>
    <w:rPr>
      <w:rFonts w:ascii="仿宋_GB2312" w:hAnsi="宋体" w:eastAsia="仿宋_GB2312" w:cs="仿宋_GB2312"/>
      <w:sz w:val="24"/>
      <w:szCs w:val="24"/>
      <w:lang w:eastAsia="en-US"/>
    </w:rPr>
  </w:style>
  <w:style w:type="character" w:customStyle="1" w:styleId="772">
    <w:name w:val="标题 2 字符1"/>
    <w:autoRedefine/>
    <w:qFormat/>
    <w:uiPriority w:val="99"/>
    <w:rPr>
      <w:rFonts w:ascii="Times New Roman" w:hAnsi="Times New Roman" w:eastAsia="楷体" w:cs="Times New Roman"/>
      <w:b/>
      <w:bCs/>
      <w:sz w:val="32"/>
      <w:szCs w:val="30"/>
    </w:rPr>
  </w:style>
  <w:style w:type="character" w:customStyle="1" w:styleId="773">
    <w:name w:val="UserStyle_13"/>
    <w:link w:val="394"/>
    <w:autoRedefine/>
    <w:qFormat/>
    <w:uiPriority w:val="0"/>
    <w:rPr>
      <w:b/>
      <w:bCs/>
      <w:sz w:val="24"/>
    </w:rPr>
  </w:style>
  <w:style w:type="character" w:customStyle="1" w:styleId="774">
    <w:name w:val="HTML 预设格式 Char1"/>
    <w:autoRedefine/>
    <w:qFormat/>
    <w:uiPriority w:val="99"/>
    <w:rPr>
      <w:rFonts w:ascii="Courier New" w:hAnsi="Courier New" w:cs="Courier New"/>
      <w:kern w:val="2"/>
    </w:rPr>
  </w:style>
  <w:style w:type="character" w:customStyle="1" w:styleId="775">
    <w:name w:val="正文文本 3 Char1"/>
    <w:autoRedefine/>
    <w:qFormat/>
    <w:uiPriority w:val="99"/>
    <w:rPr>
      <w:rFonts w:ascii="Times New Roman" w:hAnsi="Times New Roman"/>
      <w:kern w:val="2"/>
      <w:sz w:val="28"/>
      <w:szCs w:val="24"/>
    </w:rPr>
  </w:style>
  <w:style w:type="character" w:customStyle="1" w:styleId="776">
    <w:name w:val="首示例 Char"/>
    <w:autoRedefine/>
    <w:qFormat/>
    <w:uiPriority w:val="0"/>
    <w:rPr>
      <w:rFonts w:ascii="宋体" w:hAnsi="宋体" w:eastAsia="宋体" w:cs="Times New Roman"/>
      <w:sz w:val="18"/>
      <w:szCs w:val="18"/>
    </w:rPr>
  </w:style>
  <w:style w:type="character" w:customStyle="1" w:styleId="777">
    <w:name w:val="标题 2 字符"/>
    <w:autoRedefine/>
    <w:qFormat/>
    <w:uiPriority w:val="99"/>
    <w:rPr>
      <w:rFonts w:ascii="等线 Light" w:hAnsi="等线 Light" w:eastAsia="等线 Light" w:cs="Times New Roman"/>
      <w:b/>
      <w:bCs/>
      <w:sz w:val="32"/>
      <w:szCs w:val="32"/>
    </w:rPr>
  </w:style>
  <w:style w:type="character" w:customStyle="1" w:styleId="778">
    <w:name w:val="纯文本 Char2"/>
    <w:autoRedefine/>
    <w:qFormat/>
    <w:uiPriority w:val="99"/>
    <w:rPr>
      <w:rFonts w:ascii="宋体" w:hAnsi="Courier New" w:eastAsia="宋体" w:cs="Times New Roman"/>
      <w:szCs w:val="20"/>
    </w:rPr>
  </w:style>
  <w:style w:type="character" w:customStyle="1" w:styleId="779">
    <w:name w:val="表格1 Char"/>
    <w:link w:val="383"/>
    <w:autoRedefine/>
    <w:qFormat/>
    <w:uiPriority w:val="0"/>
    <w:rPr>
      <w:rFonts w:ascii="Times New Roman" w:hAnsi="Times New Roman"/>
      <w:kern w:val="2"/>
      <w:sz w:val="21"/>
      <w:szCs w:val="21"/>
    </w:rPr>
  </w:style>
  <w:style w:type="character" w:customStyle="1" w:styleId="780">
    <w:name w:val="Body Text Indent Char1"/>
    <w:autoRedefine/>
    <w:semiHidden/>
    <w:qFormat/>
    <w:locked/>
    <w:uiPriority w:val="99"/>
    <w:rPr>
      <w:sz w:val="21"/>
      <w:szCs w:val="21"/>
    </w:rPr>
  </w:style>
  <w:style w:type="character" w:customStyle="1" w:styleId="781">
    <w:name w:val="标题 1 字符"/>
    <w:autoRedefine/>
    <w:qFormat/>
    <w:uiPriority w:val="9"/>
    <w:rPr>
      <w:rFonts w:ascii="Times New Roman" w:hAnsi="Times New Roman" w:eastAsia="宋体" w:cs="Times New Roman"/>
      <w:b/>
      <w:bCs/>
      <w:kern w:val="44"/>
      <w:sz w:val="44"/>
      <w:szCs w:val="44"/>
    </w:rPr>
  </w:style>
  <w:style w:type="character" w:customStyle="1" w:styleId="782">
    <w:name w:val="批注主题 Char2"/>
    <w:autoRedefine/>
    <w:qFormat/>
    <w:uiPriority w:val="99"/>
    <w:rPr>
      <w:rFonts w:ascii="Times New Roman" w:hAnsi="Times New Roman" w:eastAsia="宋体" w:cs="Times New Roman"/>
      <w:b/>
      <w:bCs/>
      <w:kern w:val="0"/>
      <w:szCs w:val="24"/>
    </w:rPr>
  </w:style>
  <w:style w:type="character" w:customStyle="1" w:styleId="783">
    <w:name w:val="结束语 字符2"/>
    <w:autoRedefine/>
    <w:semiHidden/>
    <w:qFormat/>
    <w:uiPriority w:val="99"/>
    <w:rPr>
      <w:rFonts w:ascii="Times New Roman" w:hAnsi="Times New Roman" w:eastAsia="仿宋_GB2312" w:cs="Times New Roman"/>
      <w:sz w:val="32"/>
      <w:szCs w:val="24"/>
    </w:rPr>
  </w:style>
  <w:style w:type="character" w:customStyle="1" w:styleId="784">
    <w:name w:val="正文文本缩进 2 字符3"/>
    <w:autoRedefine/>
    <w:semiHidden/>
    <w:qFormat/>
    <w:uiPriority w:val="99"/>
    <w:rPr>
      <w:rFonts w:ascii="Times New Roman" w:hAnsi="Times New Roman" w:eastAsia="仿宋_GB2312" w:cs="Times New Roman"/>
      <w:sz w:val="32"/>
      <w:szCs w:val="24"/>
    </w:rPr>
  </w:style>
  <w:style w:type="character" w:customStyle="1" w:styleId="785">
    <w:name w:val="文档结构图 字符3"/>
    <w:autoRedefine/>
    <w:semiHidden/>
    <w:qFormat/>
    <w:uiPriority w:val="99"/>
    <w:rPr>
      <w:rFonts w:ascii="Microsoft YaHei UI" w:hAnsi="Times New Roman" w:eastAsia="Microsoft YaHei UI" w:cs="Times New Roman"/>
      <w:sz w:val="18"/>
      <w:szCs w:val="18"/>
    </w:rPr>
  </w:style>
  <w:style w:type="character" w:customStyle="1" w:styleId="786">
    <w:name w:val="HTML 预设格式 字符2"/>
    <w:autoRedefine/>
    <w:semiHidden/>
    <w:qFormat/>
    <w:uiPriority w:val="99"/>
    <w:rPr>
      <w:rFonts w:ascii="Courier New" w:hAnsi="Courier New" w:eastAsia="仿宋_GB2312" w:cs="Courier New"/>
      <w:sz w:val="20"/>
      <w:szCs w:val="20"/>
    </w:rPr>
  </w:style>
  <w:style w:type="table" w:customStyle="1" w:styleId="787">
    <w:name w:val="浅色列表 - 着色 11"/>
    <w:basedOn w:val="56"/>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788">
    <w:name w:val="网格表 5 深色 - 着色 11"/>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789">
    <w:name w:val="网格表 5 深色 - 着色 51"/>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790">
    <w:name w:val="网格型5"/>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1">
    <w:name w:val="TableGrid"/>
    <w:basedOn w:val="792"/>
    <w:autoRedefine/>
    <w:qFormat/>
    <w:uiPriority w:val="0"/>
    <w:tblPr>
      <w:tblCellMar>
        <w:top w:w="0" w:type="dxa"/>
        <w:left w:w="0" w:type="dxa"/>
        <w:bottom w:w="0" w:type="dxa"/>
        <w:right w:w="0" w:type="dxa"/>
      </w:tblCellMar>
    </w:tblPr>
  </w:style>
  <w:style w:type="table" w:customStyle="1" w:styleId="792">
    <w:name w:val="TableNormal"/>
    <w:autoRedefine/>
    <w:semiHidden/>
    <w:qFormat/>
    <w:uiPriority w:val="0"/>
    <w:tblPr>
      <w:tblCellMar>
        <w:top w:w="0" w:type="dxa"/>
        <w:left w:w="0" w:type="dxa"/>
        <w:bottom w:w="0" w:type="dxa"/>
        <w:right w:w="0" w:type="dxa"/>
      </w:tblCellMar>
    </w:tblPr>
  </w:style>
  <w:style w:type="table" w:customStyle="1" w:styleId="793">
    <w:name w:val="网格型4"/>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4">
    <w:name w:val="网格型111"/>
    <w:basedOn w:val="56"/>
    <w:autoRedefine/>
    <w:qFormat/>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95">
    <w:name w:val="浅色列表1"/>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96">
    <w:name w:val="网格型20"/>
    <w:basedOn w:val="56"/>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7">
    <w:name w:val="网格型512"/>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8">
    <w:name w:val="网格型10"/>
    <w:basedOn w:val="5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9">
    <w:name w:val="网格型412"/>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0">
    <w:name w:val="TableNormal12"/>
    <w:autoRedefine/>
    <w:semiHidden/>
    <w:qFormat/>
    <w:uiPriority w:val="0"/>
    <w:tblPr>
      <w:tblCellMar>
        <w:top w:w="0" w:type="dxa"/>
        <w:left w:w="0" w:type="dxa"/>
        <w:bottom w:w="0" w:type="dxa"/>
        <w:right w:w="0" w:type="dxa"/>
      </w:tblCellMar>
    </w:tblPr>
  </w:style>
  <w:style w:type="table" w:customStyle="1" w:styleId="801">
    <w:name w:val="网格型31"/>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2">
    <w:name w:val="简明型 11"/>
    <w:basedOn w:val="56"/>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803">
    <w:name w:val="网格型11"/>
    <w:basedOn w:val="56"/>
    <w:autoRedefine/>
    <w:qFormat/>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04">
    <w:name w:val="Table Normal2"/>
    <w:autoRedefine/>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805">
    <w:name w:val="Table Normal11"/>
    <w:autoRedefine/>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806">
    <w:name w:val="网格型21"/>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7">
    <w:name w:val="网格表 4 - 着色 11"/>
    <w:basedOn w:val="56"/>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808">
    <w:name w:val="网格型7"/>
    <w:basedOn w:val="56"/>
    <w:autoRedefine/>
    <w:qFormat/>
    <w:uiPriority w:val="9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09">
    <w:name w:val="网格表 4 - 着色 51"/>
    <w:basedOn w:val="56"/>
    <w:autoRedefine/>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810">
    <w:name w:val="网格型3"/>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1">
    <w:name w:val="网格型1"/>
    <w:basedOn w:val="56"/>
    <w:autoRedefine/>
    <w:qFormat/>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12">
    <w:name w:val="网格型2"/>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3">
    <w:name w:val="Table Normal"/>
    <w:autoRedefine/>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814">
    <w:name w:val="Table Normal1"/>
    <w:autoRedefine/>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815">
    <w:name w:val="网格型6"/>
    <w:basedOn w:val="56"/>
    <w:autoRedefine/>
    <w:qFormat/>
    <w:uiPriority w:val="9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16">
    <w:name w:val="表格主题1"/>
    <w:basedOn w:val="5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7">
    <w:name w:val="网格型41"/>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8">
    <w:name w:val="网格型51"/>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9">
    <w:name w:val="TableNormal1"/>
    <w:autoRedefine/>
    <w:semiHidden/>
    <w:qFormat/>
    <w:uiPriority w:val="0"/>
    <w:tblPr>
      <w:tblCellMar>
        <w:top w:w="0" w:type="dxa"/>
        <w:left w:w="0" w:type="dxa"/>
        <w:bottom w:w="0" w:type="dxa"/>
        <w:right w:w="0" w:type="dxa"/>
      </w:tblCellMar>
    </w:tblPr>
  </w:style>
  <w:style w:type="table" w:customStyle="1" w:styleId="820">
    <w:name w:val="TableGrid1"/>
    <w:basedOn w:val="792"/>
    <w:autoRedefine/>
    <w:qFormat/>
    <w:uiPriority w:val="0"/>
    <w:tblPr>
      <w:tblCellMar>
        <w:top w:w="0" w:type="dxa"/>
        <w:left w:w="0" w:type="dxa"/>
        <w:bottom w:w="0" w:type="dxa"/>
        <w:right w:w="0" w:type="dxa"/>
      </w:tblCellMar>
    </w:tblPr>
  </w:style>
  <w:style w:type="table" w:customStyle="1" w:styleId="821">
    <w:name w:val="网格表 5 深色 - 着色 511"/>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822">
    <w:name w:val="浅色列表 - 着色 111"/>
    <w:basedOn w:val="56"/>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823">
    <w:name w:val="网格表 5 深色 - 着色 111"/>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824">
    <w:name w:val="网格表 4 - 着色 111"/>
    <w:basedOn w:val="56"/>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825">
    <w:name w:val="网格表 4 - 着色 511"/>
    <w:basedOn w:val="56"/>
    <w:autoRedefine/>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826">
    <w:name w:val="浅色列表11"/>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827">
    <w:name w:val="网格型61"/>
    <w:basedOn w:val="56"/>
    <w:autoRedefine/>
    <w:qFormat/>
    <w:uiPriority w:val="9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28">
    <w:name w:val="网格表 4 - 着色 112"/>
    <w:basedOn w:val="56"/>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829">
    <w:name w:val="浅色列表12"/>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830">
    <w:name w:val="网格表 4 - 着色 512"/>
    <w:basedOn w:val="56"/>
    <w:autoRedefine/>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831">
    <w:name w:val="浅色列表 - 着色 112"/>
    <w:basedOn w:val="56"/>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832">
    <w:name w:val="网格表 5 深色 - 着色 112"/>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833">
    <w:name w:val="网格表 5 深色 - 着色 512"/>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834">
    <w:name w:val="网格表 5 深色 - 着色 5111"/>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835">
    <w:name w:val="浅色列表 - 着色 1111"/>
    <w:basedOn w:val="56"/>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836">
    <w:name w:val="网格表 5 深色 - 着色 1111"/>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837">
    <w:name w:val="网格表 4 - 着色 1111"/>
    <w:basedOn w:val="56"/>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838">
    <w:name w:val="网格表 4 - 着色 5111"/>
    <w:basedOn w:val="56"/>
    <w:autoRedefine/>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839">
    <w:name w:val="浅色列表111"/>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840">
    <w:name w:val="网格型8"/>
    <w:basedOn w:val="56"/>
    <w:autoRedefine/>
    <w:qFormat/>
    <w:uiPriority w:val="9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41">
    <w:name w:val="表格主题2"/>
    <w:basedOn w:val="5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2">
    <w:name w:val="简明型 12"/>
    <w:basedOn w:val="56"/>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843">
    <w:name w:val="网格型211"/>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4">
    <w:name w:val="网格型311"/>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5">
    <w:name w:val="简明型 111"/>
    <w:basedOn w:val="56"/>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846">
    <w:name w:val="Table Normal21"/>
    <w:autoRedefine/>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847">
    <w:name w:val="Table Normal111"/>
    <w:autoRedefine/>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848">
    <w:name w:val="网格表 4 - 着色 113"/>
    <w:basedOn w:val="56"/>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849">
    <w:name w:val="浅色列表13"/>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850">
    <w:name w:val="网格型71"/>
    <w:basedOn w:val="56"/>
    <w:autoRedefine/>
    <w:qFormat/>
    <w:uiPriority w:val="9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51">
    <w:name w:val="网格表 4 - 着色 513"/>
    <w:basedOn w:val="56"/>
    <w:autoRedefine/>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852">
    <w:name w:val="浅色列表 - 着色 113"/>
    <w:basedOn w:val="56"/>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853">
    <w:name w:val="网格表 5 深色 - 着色 113"/>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854">
    <w:name w:val="网格表 5 深色 - 着色 513"/>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855">
    <w:name w:val="网格型52"/>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6">
    <w:name w:val="TableGrid2"/>
    <w:basedOn w:val="792"/>
    <w:autoRedefine/>
    <w:qFormat/>
    <w:uiPriority w:val="0"/>
    <w:tblPr>
      <w:tblCellMar>
        <w:top w:w="0" w:type="dxa"/>
        <w:left w:w="0" w:type="dxa"/>
        <w:bottom w:w="0" w:type="dxa"/>
        <w:right w:w="0" w:type="dxa"/>
      </w:tblCellMar>
    </w:tblPr>
  </w:style>
  <w:style w:type="table" w:customStyle="1" w:styleId="857">
    <w:name w:val="网格型42"/>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8">
    <w:name w:val="网格型32"/>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9">
    <w:name w:val="Table Normal13"/>
    <w:autoRedefine/>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860">
    <w:name w:val="网格型12"/>
    <w:basedOn w:val="56"/>
    <w:autoRedefine/>
    <w:qFormat/>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61">
    <w:name w:val="网格型63"/>
    <w:basedOn w:val="56"/>
    <w:autoRedefine/>
    <w:qFormat/>
    <w:uiPriority w:val="9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62">
    <w:name w:val="网格型22"/>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3">
    <w:name w:val="表格主题12"/>
    <w:basedOn w:val="5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4">
    <w:name w:val="Table Normal3"/>
    <w:autoRedefine/>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865">
    <w:name w:val="TableGrid12"/>
    <w:basedOn w:val="792"/>
    <w:autoRedefine/>
    <w:qFormat/>
    <w:uiPriority w:val="0"/>
    <w:tblPr>
      <w:tblCellMar>
        <w:top w:w="0" w:type="dxa"/>
        <w:left w:w="0" w:type="dxa"/>
        <w:bottom w:w="0" w:type="dxa"/>
        <w:right w:w="0" w:type="dxa"/>
      </w:tblCellMar>
    </w:tblPr>
  </w:style>
  <w:style w:type="table" w:customStyle="1" w:styleId="866">
    <w:name w:val="Table Normal12"/>
    <w:autoRedefine/>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867">
    <w:name w:val="网格表 5 深色 - 着色 5114"/>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868">
    <w:name w:val="网格型62"/>
    <w:basedOn w:val="56"/>
    <w:autoRedefine/>
    <w:qFormat/>
    <w:uiPriority w:val="9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69">
    <w:name w:val="浅色列表 - 着色 1114"/>
    <w:basedOn w:val="56"/>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870">
    <w:name w:val="TableNormal2"/>
    <w:autoRedefine/>
    <w:semiHidden/>
    <w:qFormat/>
    <w:uiPriority w:val="0"/>
    <w:tblPr>
      <w:tblCellMar>
        <w:top w:w="0" w:type="dxa"/>
        <w:left w:w="0" w:type="dxa"/>
        <w:bottom w:w="0" w:type="dxa"/>
        <w:right w:w="0" w:type="dxa"/>
      </w:tblCellMar>
    </w:tblPr>
  </w:style>
  <w:style w:type="table" w:customStyle="1" w:styleId="871">
    <w:name w:val="网格表 5 深色 - 着色 1114"/>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872">
    <w:name w:val="表格主题11"/>
    <w:basedOn w:val="5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3">
    <w:name w:val="网格表 4 - 着色 1114"/>
    <w:basedOn w:val="56"/>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874">
    <w:name w:val="网格型411"/>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5">
    <w:name w:val="网格表 4 - 着色 5114"/>
    <w:basedOn w:val="56"/>
    <w:autoRedefine/>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876">
    <w:name w:val="网格型511"/>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7">
    <w:name w:val="浅色列表114"/>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878">
    <w:name w:val="TableNormal11"/>
    <w:autoRedefine/>
    <w:semiHidden/>
    <w:qFormat/>
    <w:uiPriority w:val="0"/>
    <w:tblPr>
      <w:tblCellMar>
        <w:top w:w="0" w:type="dxa"/>
        <w:left w:w="0" w:type="dxa"/>
        <w:bottom w:w="0" w:type="dxa"/>
        <w:right w:w="0" w:type="dxa"/>
      </w:tblCellMar>
    </w:tblPr>
  </w:style>
  <w:style w:type="table" w:customStyle="1" w:styleId="879">
    <w:name w:val="网格型612"/>
    <w:basedOn w:val="56"/>
    <w:autoRedefine/>
    <w:qFormat/>
    <w:uiPriority w:val="9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80">
    <w:name w:val="TableGrid11"/>
    <w:basedOn w:val="792"/>
    <w:autoRedefine/>
    <w:qFormat/>
    <w:uiPriority w:val="0"/>
    <w:tblPr>
      <w:tblCellMar>
        <w:top w:w="0" w:type="dxa"/>
        <w:left w:w="0" w:type="dxa"/>
        <w:bottom w:w="0" w:type="dxa"/>
        <w:right w:w="0" w:type="dxa"/>
      </w:tblCellMar>
    </w:tblPr>
  </w:style>
  <w:style w:type="table" w:customStyle="1" w:styleId="881">
    <w:name w:val="网格表 5 深色 - 着色 516"/>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882">
    <w:name w:val="网格表 5 深色 - 着色 5112"/>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883">
    <w:name w:val="浅色列表 - 着色 116"/>
    <w:basedOn w:val="56"/>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884">
    <w:name w:val="浅色列表 - 着色 1112"/>
    <w:basedOn w:val="56"/>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885">
    <w:name w:val="网格表 5 深色 - 着色 116"/>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886">
    <w:name w:val="网格表 5 深色 - 着色 1112"/>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887">
    <w:name w:val="网格表 4 - 着色 116"/>
    <w:basedOn w:val="56"/>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888">
    <w:name w:val="网格表 4 - 着色 1112"/>
    <w:basedOn w:val="56"/>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889">
    <w:name w:val="网格表 4 - 着色 516"/>
    <w:basedOn w:val="56"/>
    <w:autoRedefine/>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890">
    <w:name w:val="网格表 4 - 着色 5112"/>
    <w:basedOn w:val="56"/>
    <w:autoRedefine/>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891">
    <w:name w:val="浅色列表16"/>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892">
    <w:name w:val="浅色列表112"/>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893">
    <w:name w:val="网格型14"/>
    <w:basedOn w:val="5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4">
    <w:name w:val="网格型611"/>
    <w:basedOn w:val="56"/>
    <w:autoRedefine/>
    <w:qFormat/>
    <w:uiPriority w:val="9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95">
    <w:name w:val="网格型15"/>
    <w:basedOn w:val="5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6">
    <w:name w:val="简明型 13"/>
    <w:basedOn w:val="56"/>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897">
    <w:name w:val="网格型16"/>
    <w:basedOn w:val="5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8">
    <w:name w:val="网格表 5 深色 - 着色 514"/>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899">
    <w:name w:val="网格表 5 深色 - 着色 517"/>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900">
    <w:name w:val="浅色列表 - 着色 114"/>
    <w:basedOn w:val="56"/>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901">
    <w:name w:val="浅色列表 - 着色 117"/>
    <w:basedOn w:val="56"/>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902">
    <w:name w:val="网格表 5 深色 - 着色 114"/>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903">
    <w:name w:val="网格表 5 深色 - 着色 117"/>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904">
    <w:name w:val="网格表 4 - 着色 114"/>
    <w:basedOn w:val="56"/>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905">
    <w:name w:val="网格表 4 - 着色 117"/>
    <w:basedOn w:val="56"/>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906">
    <w:name w:val="网格表 4 - 着色 514"/>
    <w:basedOn w:val="56"/>
    <w:autoRedefine/>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907">
    <w:name w:val="网格表 4 - 着色 517"/>
    <w:basedOn w:val="56"/>
    <w:autoRedefine/>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908">
    <w:name w:val="浅色列表14"/>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909">
    <w:name w:val="浅色列表17"/>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910">
    <w:name w:val="简明型 112"/>
    <w:basedOn w:val="56"/>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911">
    <w:name w:val="简明型 15"/>
    <w:basedOn w:val="56"/>
    <w:autoRedefine/>
    <w:unhideWhenUsed/>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912">
    <w:name w:val="网格表 5 深色 - 着色 5113"/>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913">
    <w:name w:val="网格表 4 - 着色 118"/>
    <w:basedOn w:val="56"/>
    <w:autoRedefine/>
    <w:qFormat/>
    <w:uiPriority w:val="49"/>
    <w:tblPr>
      <w:tblCellMar>
        <w:top w:w="0" w:type="dxa"/>
        <w:left w:w="108" w:type="dxa"/>
        <w:bottom w:w="0" w:type="dxa"/>
        <w:right w:w="108" w:type="dxa"/>
      </w:tblCellMar>
    </w:tblPr>
    <w:tblStylePr w:type="band1Horz">
      <w:tcPr>
        <w:shd w:val="clear" w:color="auto" w:fill="DBE5F1"/>
      </w:tcPr>
    </w:tblStylePr>
  </w:style>
  <w:style w:type="table" w:customStyle="1" w:styleId="914">
    <w:name w:val="浅色列表 - 着色 1113"/>
    <w:basedOn w:val="56"/>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915">
    <w:name w:val="网格表 5 深色 - 着色 518"/>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style>
  <w:style w:type="table" w:customStyle="1" w:styleId="916">
    <w:name w:val="网格表 5 深色 - 着色 1113"/>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917">
    <w:name w:val="浅色列表115"/>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beforeLines="0" w:beforeAutospacing="0" w:after="0" w:afterLines="0" w:afterAutospacing="0" w:line="240" w:lineRule="auto"/>
      </w:pPr>
      <w:rPr>
        <w:b/>
        <w:bCs/>
        <w:color w:val="FFFFFF"/>
      </w:rPr>
      <w:tcPr>
        <w:shd w:val="clear" w:color="auto" w:fill="000000"/>
      </w:tcPr>
    </w:tblStylePr>
    <w:tblStylePr w:type="lastRow">
      <w:pPr>
        <w:spacing w:before="0" w:beforeLines="0" w:beforeAutospacing="0" w:after="0" w:afterLines="0" w:afterAutospacing="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918">
    <w:name w:val="网格表 4 - 着色 1113"/>
    <w:basedOn w:val="56"/>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919">
    <w:name w:val="网格型17"/>
    <w:basedOn w:val="5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表 4 - 着色 5113"/>
    <w:basedOn w:val="56"/>
    <w:autoRedefine/>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921">
    <w:name w:val="TableNormal4"/>
    <w:autoRedefine/>
    <w:semiHidden/>
    <w:qFormat/>
    <w:uiPriority w:val="0"/>
    <w:tblPr>
      <w:tblCellMar>
        <w:top w:w="0" w:type="dxa"/>
        <w:left w:w="0" w:type="dxa"/>
        <w:bottom w:w="0" w:type="dxa"/>
        <w:right w:w="0" w:type="dxa"/>
      </w:tblCellMar>
    </w:tblPr>
  </w:style>
  <w:style w:type="table" w:customStyle="1" w:styleId="922">
    <w:name w:val="浅色列表113"/>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923">
    <w:name w:val="网格型18"/>
    <w:basedOn w:val="56"/>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9"/>
    <w:basedOn w:val="56"/>
    <w:autoRedefine/>
    <w:qFormat/>
    <w:uiPriority w:val="9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25">
    <w:name w:val="网格型19"/>
    <w:basedOn w:val="56"/>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表格主题3"/>
    <w:basedOn w:val="5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简明型 14"/>
    <w:basedOn w:val="56"/>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928">
    <w:name w:val="网格型212"/>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12"/>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简明型 113"/>
    <w:basedOn w:val="56"/>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931">
    <w:name w:val="网格型112"/>
    <w:basedOn w:val="56"/>
    <w:autoRedefine/>
    <w:qFormat/>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32">
    <w:name w:val="Table Normal22"/>
    <w:autoRedefine/>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933">
    <w:name w:val="Table Normal112"/>
    <w:autoRedefine/>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934">
    <w:name w:val="网格表 4 - 着色 115"/>
    <w:basedOn w:val="56"/>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935">
    <w:name w:val="浅色列表15"/>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936">
    <w:name w:val="网格型72"/>
    <w:basedOn w:val="56"/>
    <w:autoRedefine/>
    <w:qFormat/>
    <w:uiPriority w:val="9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37">
    <w:name w:val="网格表 4 - 着色 515"/>
    <w:basedOn w:val="56"/>
    <w:autoRedefine/>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938">
    <w:name w:val="浅色列表 - 着色 115"/>
    <w:basedOn w:val="56"/>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939">
    <w:name w:val="网格表 5 深色 - 着色 115"/>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940">
    <w:name w:val="网格表 5 深色 - 着色 515"/>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941">
    <w:name w:val="网格型53"/>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2">
    <w:name w:val="TableGrid3"/>
    <w:basedOn w:val="792"/>
    <w:autoRedefine/>
    <w:qFormat/>
    <w:uiPriority w:val="0"/>
    <w:tblPr>
      <w:tblCellMar>
        <w:top w:w="0" w:type="dxa"/>
        <w:left w:w="0" w:type="dxa"/>
        <w:bottom w:w="0" w:type="dxa"/>
        <w:right w:w="0" w:type="dxa"/>
      </w:tblCellMar>
    </w:tblPr>
  </w:style>
  <w:style w:type="table" w:customStyle="1" w:styleId="943">
    <w:name w:val="TableNormal3"/>
    <w:autoRedefine/>
    <w:semiHidden/>
    <w:qFormat/>
    <w:uiPriority w:val="0"/>
    <w:tblPr>
      <w:tblCellMar>
        <w:top w:w="0" w:type="dxa"/>
        <w:left w:w="0" w:type="dxa"/>
        <w:bottom w:w="0" w:type="dxa"/>
        <w:right w:w="0" w:type="dxa"/>
      </w:tblCellMar>
    </w:tblPr>
  </w:style>
  <w:style w:type="table" w:customStyle="1" w:styleId="944">
    <w:name w:val="网格型43"/>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5">
    <w:name w:val="网格型33"/>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6">
    <w:name w:val="网格型13"/>
    <w:basedOn w:val="56"/>
    <w:autoRedefine/>
    <w:qFormat/>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47">
    <w:name w:val="网格型23"/>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8">
    <w:name w:val="Table Normal4"/>
    <w:autoRedefine/>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949">
    <w:name w:val="Revision"/>
    <w:autoRedefine/>
    <w:hidden/>
    <w:semiHidden/>
    <w:qFormat/>
    <w:uiPriority w:val="99"/>
    <w:rPr>
      <w:rFonts w:ascii="Times New Roman" w:hAnsi="Times New Roman" w:eastAsia="仿宋_GB2312" w:cs="Times New Roman"/>
      <w:kern w:val="2"/>
      <w:sz w:val="32"/>
      <w:szCs w:val="24"/>
      <w:lang w:val="en-US" w:eastAsia="zh-CN" w:bidi="ar-SA"/>
    </w:rPr>
  </w:style>
  <w:style w:type="paragraph" w:styleId="950">
    <w:name w:val="List Paragraph"/>
    <w:basedOn w:val="1"/>
    <w:autoRedefine/>
    <w:qFormat/>
    <w:uiPriority w:val="99"/>
    <w:pPr>
      <w:ind w:firstLine="420"/>
    </w:pPr>
  </w:style>
  <w:style w:type="character" w:customStyle="1" w:styleId="951">
    <w:name w:val="Unresolved Mention"/>
    <w:basedOn w:val="60"/>
    <w:autoRedefine/>
    <w:semiHidden/>
    <w:unhideWhenUsed/>
    <w:qFormat/>
    <w:uiPriority w:val="99"/>
    <w:rPr>
      <w:color w:val="605E5C"/>
      <w:shd w:val="clear" w:color="auto" w:fill="E1DFDD"/>
    </w:rPr>
  </w:style>
  <w:style w:type="character" w:customStyle="1" w:styleId="952">
    <w:name w:val="pass"/>
    <w:basedOn w:val="60"/>
    <w:autoRedefine/>
    <w:qFormat/>
    <w:uiPriority w:val="0"/>
    <w:rPr>
      <w:color w:val="D50512"/>
    </w:rPr>
  </w:style>
  <w:style w:type="character" w:customStyle="1" w:styleId="953">
    <w:name w:val="clear2"/>
    <w:basedOn w:val="60"/>
    <w:autoRedefine/>
    <w:qFormat/>
    <w:uiPriority w:val="0"/>
    <w:rPr>
      <w:sz w:val="0"/>
      <w:szCs w:val="0"/>
    </w:rPr>
  </w:style>
  <w:style w:type="character" w:customStyle="1" w:styleId="954">
    <w:name w:val="font81"/>
    <w:basedOn w:val="60"/>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52</Pages>
  <Words>21591</Words>
  <Characters>26647</Characters>
  <Lines>2108</Lines>
  <Paragraphs>593</Paragraphs>
  <TotalTime>4</TotalTime>
  <ScaleCrop>false</ScaleCrop>
  <LinksUpToDate>false</LinksUpToDate>
  <CharactersWithSpaces>26829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2022-06-14T15:44:00Z</dcterms:created>
  <dc:creator>Administrator</dc:creator>
  <cp:lastModifiedBy>土科</cp:lastModifiedBy>
  <cp:lastPrinted>2024-05-21T02:29:47Z</cp:lastPrinted>
  <dcterms:modified xsi:type="dcterms:W3CDTF">2024-05-21T06:55:39Z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23D7DECF7DF74B1291F2BDB702567029_13</vt:lpwstr>
  </property>
</Properties>
</file>