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辽宁省盘锦市双台子区机要保密技术保障中心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辽宁省盘锦市双台子区机要保密技术保障中心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辽宁省盘锦市双台子区机要保密技术保障中心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辽宁省盘锦市双台子区机要保密技术保障中心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辽宁省盘锦市双台子区机要保密技术保障中心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辽宁省盘锦市双台子区机要保密技术保障中心概况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（一）贯彻执行国家和省、市、区有关机要保密方面的方针政策、法律法规，为全区机要保密工作提供技术支持和服务保障。</w:t>
        <w:br/>
        <w:t xml:space="preserve">    （二）承担保密技术检查和监控的事务性工作，执行涉密文电传输、重要涉密会议等专项任务，对重点涉密活动、电子设备进行安全监测和技术检测。</w:t>
        <w:br/>
        <w:t xml:space="preserve">    （三）承担机要通信基础设施建设和运行维护具体工作，提供机要通信技术保障服务。</w:t>
        <w:br/>
        <w:t xml:space="preserve">    （四）承担密钥管理、电子认证基础设施建设和运行维护具体工作；开展数字证书及电子认证服务工作。</w:t>
        <w:br/>
        <w:t xml:space="preserve">    （五）承担涉密单位涉密载体销毁工作。</w:t>
        <w:br/>
        <w:t xml:space="preserve">    （六）承担保密科技测评和涉密信息系统检测评估工作。</w:t>
        <w:br/>
        <w:t xml:space="preserve">    （七）承担党政专用通信服务保障工作。</w:t>
        <w:br/>
        <w:t xml:space="preserve">    （八）负责对区内重要决策部署、各项工作督促落实工作提供服务保障。</w:t>
        <w:br/>
        <w:t xml:space="preserve">    （九）承担区委办公室交办的其他工作。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辽宁省盘锦市双台子区机要保密技术保障中心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1.盘锦市双台子区机要保密技术保障中心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12.17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12.17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增加12.17万元，增长0.00%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本单位是新成立单位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工资福利支出10.83万元；商品和服务支出1.33万元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增加12.17万元，增长0.00%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本单位为新成立单位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本单位为新成立单位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12.17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12.17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增加12.17万元，增长0.00%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本单位为新成立单位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2023年度一般公共预算财政拨款支出12.17万元。按支出功能分类科目分，包括：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9.55万元,主要是保障本单位的人员工资等支出，完成年初预算的100%，决算数与年初预算数存在差异的主要原因是本单位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1.22万元,主要是本单位人员的养老保险缴费等支出，完成年初预算的100%，决算数与年初预算数存在差异的主要原因是本单位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0.05万元,主要是本单位人员的失业保险缴费等支出，完成年初预算的100%，决算数与年初预算数存在差异的主要原因是本单位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（1）卫生健康支出（类）行政事业单位医疗（款）事业单位医疗（项）0.47万元,主要是本单位人员的医疗保险缴费等支出，完成年初预算的100%，决算数与年初预算数存在差异的主要原因是本单位为新成立单位。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（1）住房保障支出（类）住房改革支出（款）住房公积金（项）0.88万元,主要是本单位人员的住房公积金缴费等支出，完成年初预算的100%，决算数与年初预算数存在差异的主要原因是本单位为新成立单位。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10.83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本单位是新成立的全额拨款事业单位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br/>
        <w:t xml:space="preserve">    组织对0个单位开展整体绩效自评，涉及资金0万元，自评平均分0分。</w:t>
        <w:br/>
        <w:t xml:space="preserve">    本部门组织对0 个项目开展了部门评价，涉及资金0万元（其中：一般公共预算资金0万元，政府性基金预算资金0万元，国有资本经营预算资金0万元）。</w:t>
        <w:br/>
        <w:t xml:space="preserve">    2.项目绩效自评。                                                                    无</w:t>
        <w:br/>
        <w:t xml:space="preserve">    3.部门评价结果。</w:t>
        <w:br/>
        <w:t xml:space="preserve">    无</w:t>
        <w:br/>
        <w:t xml:space="preserve">    4.财政评价结果。</w:t>
        <w:br/>
        <w:t xml:space="preserve">    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12.17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12.17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12.17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12.17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12.17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12.17</w:t>
            </w:r>
          </w:p>
        </w:tc>
        <w:tc>
          <w:tcPr>
            <w:tcW w:w="1160" w:type="dxa"/>
            <w:tcBorders/>
            <w:vAlign w:val="center"/>
          </w:tcPr>
          <w:p>
            <w:pPr>
              <w:jc w:val="right"/>
            </w:pPr>
            <w:r>
              <w:rPr>
                <w:rFonts w:ascii="宋体" w:eastAsia="宋体" w:hAnsi="宋体" w:cs="宋体"/>
                <w:b/>
                <w:i w:val="0"/>
                <w:color w:val="000000"/>
                <w:sz w:val="14"/>
              </w:rPr>
              <w:t xml:space="preserve">12.17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12.17</w:t>
            </w:r>
          </w:p>
        </w:tc>
        <w:tc>
          <w:tcPr>
            <w:tcW w:w="1120" w:type="dxa"/>
            <w:tcBorders/>
            <w:vAlign w:val="center"/>
          </w:tcPr>
          <w:p>
            <w:pPr>
              <w:jc w:val="right"/>
            </w:pPr>
            <w:r>
              <w:rPr>
                <w:rFonts w:ascii="宋体" w:eastAsia="宋体" w:hAnsi="宋体" w:cs="宋体"/>
                <w:b/>
                <w:i w:val="0"/>
                <w:color w:val="000000"/>
                <w:sz w:val="16"/>
              </w:rPr>
              <w:t xml:space="preserve">12.17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9.55</w:t>
            </w:r>
          </w:p>
        </w:tc>
        <w:tc>
          <w:tcPr>
            <w:tcW w:w="1100" w:type="dxa"/>
            <w:tcBorders/>
            <w:vAlign w:val="center"/>
          </w:tcPr>
          <w:p>
            <w:pPr>
              <w:jc w:val="right"/>
            </w:pPr>
            <w:r>
              <w:rPr>
                <w:rFonts w:ascii="宋体" w:eastAsia="宋体" w:hAnsi="宋体" w:cs="宋体"/>
                <w:b w:val="0"/>
                <w:i w:val="0"/>
                <w:color w:val="000000"/>
                <w:sz w:val="14"/>
              </w:rPr>
              <w:t xml:space="preserve">9.55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1.27</w:t>
            </w:r>
          </w:p>
        </w:tc>
        <w:tc>
          <w:tcPr>
            <w:tcW w:w="1100" w:type="dxa"/>
            <w:tcBorders/>
            <w:vAlign w:val="center"/>
          </w:tcPr>
          <w:p>
            <w:pPr>
              <w:jc w:val="right"/>
            </w:pPr>
            <w:r>
              <w:rPr>
                <w:rFonts w:ascii="宋体" w:eastAsia="宋体" w:hAnsi="宋体" w:cs="宋体"/>
                <w:b w:val="0"/>
                <w:i w:val="0"/>
                <w:color w:val="000000"/>
                <w:sz w:val="14"/>
              </w:rPr>
              <w:t xml:space="preserve">1.27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0.88</w:t>
            </w:r>
          </w:p>
        </w:tc>
        <w:tc>
          <w:tcPr>
            <w:tcW w:w="1100" w:type="dxa"/>
            <w:tcBorders/>
            <w:vAlign w:val="center"/>
          </w:tcPr>
          <w:p>
            <w:pPr>
              <w:jc w:val="right"/>
            </w:pPr>
            <w:r>
              <w:rPr>
                <w:rFonts w:ascii="宋体" w:eastAsia="宋体" w:hAnsi="宋体" w:cs="宋体"/>
                <w:b w:val="0"/>
                <w:i w:val="0"/>
                <w:color w:val="000000"/>
                <w:sz w:val="14"/>
              </w:rPr>
              <w:t xml:space="preserve">0.88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1100" w:type="dxa"/>
            <w:tcBorders/>
            <w:vAlign w:val="center"/>
          </w:tcPr>
          <w:p>
            <w:pPr>
              <w:jc w:val="right"/>
            </w:pPr>
            <w:r>
              <w:rPr>
                <w:rFonts w:ascii="宋体" w:eastAsia="宋体" w:hAnsi="宋体" w:cs="宋体"/>
                <w:b w:val="0"/>
                <w:i w:val="0"/>
                <w:color w:val="000000"/>
                <w:sz w:val="14"/>
              </w:rPr>
              <w:t xml:space="preserve">12.17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12.17</w:t>
            </w:r>
          </w:p>
        </w:tc>
        <w:tc>
          <w:tcPr>
            <w:tcW w:w="1980" w:type="dxa"/>
            <w:tcBorders/>
            <w:vAlign w:val="center"/>
          </w:tcPr>
          <w:p>
            <w:pPr>
              <w:jc w:val="right"/>
            </w:pPr>
            <w:r>
              <w:rPr>
                <w:rFonts w:ascii="宋体" w:eastAsia="宋体" w:hAnsi="宋体" w:cs="宋体"/>
                <w:b/>
                <w:i w:val="0"/>
                <w:color w:val="000000"/>
                <w:sz w:val="20"/>
              </w:rPr>
              <w:t xml:space="preserve">12.17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10.83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10.83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单位：辽宁省盘锦市双台子区机要保密技术保障中心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9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