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中共辽宁省盘锦市双台子区委巡察工作领导小组办公室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中共辽宁省盘锦市双台子区委巡察工作领导小组办公室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中共辽宁省盘锦市双台子区委巡察工作领导小组办公室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中共辽宁省盘锦市双台子区委巡察工作领导小组办公室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中共辽宁省盘锦市双台子区委巡察工作领导小组办公室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中共辽宁省盘锦市双台子区委巡察工作领导小组办公室概况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中共盘锦市双台子区委巡察工作领导小组办公室（以下简称区委巡察办）是中共盘锦市双台子区委巡察工作领导小组的常设办事机构，列区委工作机关序列，区委巡察办负责统筹协调、指导督导、服务保障巡察工作，主要职责是：</w:t>
        <w:br/>
        <w:t xml:space="preserve">    （一）向区委巡察工作领导小组报告工作情况,传达贯彻区委巡察工作领导小组决策和部署。</w:t>
        <w:br/>
        <w:t xml:space="preserve">    （二）向市委巡察工作领导小组报送巡察工作规划、年度计划、工作总结等巡察工作材料。</w:t>
        <w:br/>
        <w:t xml:space="preserve">    （三）具体组织区委巡察组开展巡察工作。</w:t>
        <w:br/>
        <w:t xml:space="preserve">    （四）承担巡察工作政策研究、制度建设等工作。</w:t>
        <w:br/>
        <w:t xml:space="preserve">    （五）对区委、区委逃察工作领导小组决定的事项进行</w:t>
        <w:br/>
        <w:t xml:space="preserve">    督办。</w:t>
        <w:br/>
        <w:t xml:space="preserve">    （六)配合有关部门对巡察工作人员进行培训、考核、监督和管理。</w:t>
        <w:br/>
        <w:t xml:space="preserve">    （七）完成区委和区委巡察工作领导小组交办的其他任务。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中共辽宁省盘锦市双台子区委巡察工作领导小组办公室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无纳入中共盘锦市双台子区委巡察办2023年度部门预算编制范围的二级预算单位。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85.83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85.83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85.83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增加3.37万元，增长4.08%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2023年10月新调入两名人员，人员工资等增加，因此收入增加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85.83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85.14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99.19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工资福利支出79.39万元；商品和服务支出5.75万元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0.81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主要包括开展区委巡察工作等业务支出。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增加3.37万元，增长4.08%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2023年10月新调入两名人员，人员工资等增加，因此收入增加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一是0；二是0</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85.83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85.14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0.69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增加3.37万元，增长4.08%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2023年10月新调入两名人员，人员工资等支出增加，因此支出增加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102.07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2023年度一般公共预算财政拨款支出85.83万元。按支出功能分类科目分，包括：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1.一般公共服务支出63.84万元，具体包括：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63.15万元,主要是机关运行必要支出等支出，完成年初预算的103.56%，决算数与年初预算数存在差异的主要原因是新调入2名人员，导致人员费用增加，因此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其他党委办公厅（室）及相关机构事务支出（项）0.69万元,主要是开展区委巡察工作业务支出等支出，完成年初预算的11.57%，决算数与年初预算数存在差异的主要原因是开展巡察工作时间较短，人员较少，巡察经费使用降低。</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7.77万元,主要是区委巡察办人员基本养老保险缴费支出等支出，完成年初预算的97%，决算数与年初预算数存在差异的主要原因是2023年10月新调入两名人员，调入时间较晚，故未完成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4.95万元,主要是区委巡察办人员职业年金支出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0.19万元,主要是区委巡察办人员工伤保险费费支出等支出，完成年初预算的190%，决算数与年初预算数存在差异的主要原因是2023年10月新调入两名人员，因此保险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2.87万元,主要是区委巡察办人员医疗保险支出等支出，完成年初预算的84.66%，决算数与年初预算数存在差异的主要原因是2023年10月新调入两名人员，因调入较晚，故未完成年初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0.04万元,主要是区委巡察办人员大额医疗保险支出等支出，完成年初预算的133.33%，决算数与年初预算数存在差异的主要原因是2023年10月新调入两名人员，因此保险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6.18万元,主要是区委巡察办住房公积金支出等支出，完成年初预算的110.75%，决算数与年初预算数存在差异的主要原因是2023年10月新调入两名人员，人员增加，因此住房保障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巡察工作需要</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公务用车使用较少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比上年减少0.31万元，降低58.49%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公务用车使用较上年减少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主要用于公务维修、公车加油等，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85.14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79.39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5.75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5.75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比上年减少0.89万元，降低13.40%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政府性基金预算项目0个，国有资本经营预算项目0个），涉及资金6万元（其中：一般公共预算资金6万元，政府性基金预算资金0万元，国有资本经营预算资金0万元），自评覆盖率（开展绩效自评的项目数/年初批复绩效目标的项目数*100%）达到100%，自评平均分（开展绩效自评的项目分数总和/开展绩效自评的项目数）13.3分。</w:t>
        <w:br/>
        <w:t xml:space="preserve">    组织对1个单位开展整体绩效自评，涉及资金78.09万元，自评平均分100分。</w:t>
        <w:br/>
        <w:t xml:space="preserve">    本部门组织对“区委巡察工作经费”等1 个项目开展了部门评价，涉及资金6万元（其中：一般公共预算资金6万元，政府性基金预算资金0万元，国有资本经营预算资金0万元）。从评价情况来看，需要进一步提高预算执行管理水平，强化预算执行动态监控，增强确保财政资金安全、规范运行。</w:t>
        <w:br/>
        <w:t xml:space="preserve">    2.项目绩效自评结果。</w:t>
        <w:br/>
        <w:t xml:space="preserve">    本部门在2023年度省直部门决算中反映区委巡察工作经费等1个项目绩效自评结果。</w:t>
        <w:br/>
        <w:t xml:space="preserve">    “区委巡察工作经费”项目自评综述：根据年初设定的绩效目标，项目自评得分8.3分。项目全年预算数为6万元，执行数为0.69万元，完成预算的11.57%。项目绩效目标完成情况：一是完成九届区委第四轮、第五轮巡察工作；二是执行区委巡察工作0.69万元。发现的主要问题及原因：一是根据区委巡察工作计划，未完成年初制定的绩效目标；二是绩效目标制定的不够精准。下一步改进措施：一是提高对项目绩效的认识，加强对绩效管理的学习;二是根据区委巡察工作安排，科学合理制定项目绩效目标。</w:t>
        <w:br/>
        <w:t xml:space="preserve">    3.部门评价结果。</w:t>
        <w:br/>
        <w:t xml:space="preserve">    进一步提高预算执行管理水平，夯实国库集中支付基础工作，强化预算执行动态监控，提高预算的完整性、严肃性，增强确保财政资金安全、规范运行。</w:t>
        <w:br/>
        <w:t xml:space="preserve">    4.财政评价结果。</w:t>
        <w:br/>
        <w:t xml:space="preserve">    下一步将采取以下措施加以改进：一是提高预算绩效意识，主动加强绩效管理，不断增强绩效意识;二是加大预算执行中对绩效指标的监控力度。进一步规范预算绩效管理。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85.83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63.84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85.83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85.83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85.83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85.83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85.83</w:t>
            </w:r>
          </w:p>
        </w:tc>
        <w:tc>
          <w:tcPr>
            <w:tcW w:w="1160" w:type="dxa"/>
            <w:tcBorders/>
            <w:vAlign w:val="center"/>
          </w:tcPr>
          <w:p>
            <w:pPr>
              <w:jc w:val="right"/>
            </w:pPr>
            <w:r>
              <w:rPr>
                <w:rFonts w:ascii="宋体" w:eastAsia="宋体" w:hAnsi="宋体" w:cs="宋体"/>
                <w:b/>
                <w:i w:val="0"/>
                <w:color w:val="000000"/>
                <w:sz w:val="14"/>
              </w:rPr>
              <w:t xml:space="preserve">85.83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63.84</w:t>
            </w:r>
          </w:p>
        </w:tc>
        <w:tc>
          <w:tcPr>
            <w:tcW w:w="1160" w:type="dxa"/>
            <w:tcBorders/>
            <w:vAlign w:val="center"/>
          </w:tcPr>
          <w:p>
            <w:pPr>
              <w:jc w:val="right"/>
            </w:pPr>
            <w:r>
              <w:rPr>
                <w:rFonts w:ascii="宋体" w:eastAsia="宋体" w:hAnsi="宋体" w:cs="宋体"/>
                <w:b w:val="0"/>
                <w:i w:val="0"/>
                <w:color w:val="000000"/>
                <w:sz w:val="14"/>
              </w:rPr>
              <w:t xml:space="preserve">63.84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63.84</w:t>
            </w:r>
          </w:p>
        </w:tc>
        <w:tc>
          <w:tcPr>
            <w:tcW w:w="1160" w:type="dxa"/>
            <w:tcBorders/>
            <w:vAlign w:val="center"/>
          </w:tcPr>
          <w:p>
            <w:pPr>
              <w:jc w:val="right"/>
            </w:pPr>
            <w:r>
              <w:rPr>
                <w:rFonts w:ascii="宋体" w:eastAsia="宋体" w:hAnsi="宋体" w:cs="宋体"/>
                <w:b w:val="0"/>
                <w:i w:val="0"/>
                <w:color w:val="000000"/>
                <w:sz w:val="14"/>
              </w:rPr>
              <w:t xml:space="preserve">63.84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63.15</w:t>
            </w:r>
          </w:p>
        </w:tc>
        <w:tc>
          <w:tcPr>
            <w:tcW w:w="1160" w:type="dxa"/>
            <w:tcBorders/>
            <w:vAlign w:val="center"/>
          </w:tcPr>
          <w:p>
            <w:pPr>
              <w:jc w:val="right"/>
            </w:pPr>
            <w:r>
              <w:rPr>
                <w:rFonts w:ascii="宋体" w:eastAsia="宋体" w:hAnsi="宋体" w:cs="宋体"/>
                <w:b w:val="0"/>
                <w:i w:val="0"/>
                <w:color w:val="000000"/>
                <w:sz w:val="14"/>
              </w:rPr>
              <w:t xml:space="preserve">63.15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12.91</w:t>
            </w:r>
          </w:p>
        </w:tc>
        <w:tc>
          <w:tcPr>
            <w:tcW w:w="1160" w:type="dxa"/>
            <w:tcBorders/>
            <w:vAlign w:val="center"/>
          </w:tcPr>
          <w:p>
            <w:pPr>
              <w:jc w:val="right"/>
            </w:pPr>
            <w:r>
              <w:rPr>
                <w:rFonts w:ascii="宋体" w:eastAsia="宋体" w:hAnsi="宋体" w:cs="宋体"/>
                <w:b w:val="0"/>
                <w:i w:val="0"/>
                <w:color w:val="000000"/>
                <w:sz w:val="14"/>
              </w:rPr>
              <w:t xml:space="preserve">12.91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12.72</w:t>
            </w:r>
          </w:p>
        </w:tc>
        <w:tc>
          <w:tcPr>
            <w:tcW w:w="1160" w:type="dxa"/>
            <w:tcBorders/>
            <w:vAlign w:val="center"/>
          </w:tcPr>
          <w:p>
            <w:pPr>
              <w:jc w:val="right"/>
            </w:pPr>
            <w:r>
              <w:rPr>
                <w:rFonts w:ascii="宋体" w:eastAsia="宋体" w:hAnsi="宋体" w:cs="宋体"/>
                <w:b w:val="0"/>
                <w:i w:val="0"/>
                <w:color w:val="000000"/>
                <w:sz w:val="14"/>
              </w:rPr>
              <w:t xml:space="preserve">12.72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7.77</w:t>
            </w:r>
          </w:p>
        </w:tc>
        <w:tc>
          <w:tcPr>
            <w:tcW w:w="1160" w:type="dxa"/>
            <w:tcBorders/>
            <w:vAlign w:val="center"/>
          </w:tcPr>
          <w:p>
            <w:pPr>
              <w:jc w:val="right"/>
            </w:pPr>
            <w:r>
              <w:rPr>
                <w:rFonts w:ascii="宋体" w:eastAsia="宋体" w:hAnsi="宋体" w:cs="宋体"/>
                <w:b w:val="0"/>
                <w:i w:val="0"/>
                <w:color w:val="000000"/>
                <w:sz w:val="14"/>
              </w:rPr>
              <w:t xml:space="preserve">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4.95</w:t>
            </w:r>
          </w:p>
        </w:tc>
        <w:tc>
          <w:tcPr>
            <w:tcW w:w="1160" w:type="dxa"/>
            <w:tcBorders/>
            <w:vAlign w:val="center"/>
          </w:tcPr>
          <w:p>
            <w:pPr>
              <w:jc w:val="right"/>
            </w:pPr>
            <w:r>
              <w:rPr>
                <w:rFonts w:ascii="宋体" w:eastAsia="宋体" w:hAnsi="宋体" w:cs="宋体"/>
                <w:b w:val="0"/>
                <w:i w:val="0"/>
                <w:color w:val="000000"/>
                <w:sz w:val="14"/>
              </w:rPr>
              <w:t xml:space="preserve">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2.91</w:t>
            </w:r>
          </w:p>
        </w:tc>
        <w:tc>
          <w:tcPr>
            <w:tcW w:w="1160" w:type="dxa"/>
            <w:tcBorders/>
            <w:vAlign w:val="center"/>
          </w:tcPr>
          <w:p>
            <w:pPr>
              <w:jc w:val="right"/>
            </w:pPr>
            <w:r>
              <w:rPr>
                <w:rFonts w:ascii="宋体" w:eastAsia="宋体" w:hAnsi="宋体" w:cs="宋体"/>
                <w:b w:val="0"/>
                <w:i w:val="0"/>
                <w:color w:val="000000"/>
                <w:sz w:val="14"/>
              </w:rPr>
              <w:t xml:space="preserve">2.91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2.91</w:t>
            </w:r>
          </w:p>
        </w:tc>
        <w:tc>
          <w:tcPr>
            <w:tcW w:w="1160" w:type="dxa"/>
            <w:tcBorders/>
            <w:vAlign w:val="center"/>
          </w:tcPr>
          <w:p>
            <w:pPr>
              <w:jc w:val="right"/>
            </w:pPr>
            <w:r>
              <w:rPr>
                <w:rFonts w:ascii="宋体" w:eastAsia="宋体" w:hAnsi="宋体" w:cs="宋体"/>
                <w:b w:val="0"/>
                <w:i w:val="0"/>
                <w:color w:val="000000"/>
                <w:sz w:val="14"/>
              </w:rPr>
              <w:t xml:space="preserve">2.91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2.87</w:t>
            </w:r>
          </w:p>
        </w:tc>
        <w:tc>
          <w:tcPr>
            <w:tcW w:w="1160" w:type="dxa"/>
            <w:tcBorders/>
            <w:vAlign w:val="center"/>
          </w:tcPr>
          <w:p>
            <w:pPr>
              <w:jc w:val="right"/>
            </w:pPr>
            <w:r>
              <w:rPr>
                <w:rFonts w:ascii="宋体" w:eastAsia="宋体" w:hAnsi="宋体" w:cs="宋体"/>
                <w:b w:val="0"/>
                <w:i w:val="0"/>
                <w:color w:val="000000"/>
                <w:sz w:val="14"/>
              </w:rPr>
              <w:t xml:space="preserve">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85.83</w:t>
            </w:r>
          </w:p>
        </w:tc>
        <w:tc>
          <w:tcPr>
            <w:tcW w:w="1120" w:type="dxa"/>
            <w:tcBorders/>
            <w:vAlign w:val="center"/>
          </w:tcPr>
          <w:p>
            <w:pPr>
              <w:jc w:val="right"/>
            </w:pPr>
            <w:r>
              <w:rPr>
                <w:rFonts w:ascii="宋体" w:eastAsia="宋体" w:hAnsi="宋体" w:cs="宋体"/>
                <w:b/>
                <w:i w:val="0"/>
                <w:color w:val="000000"/>
                <w:sz w:val="16"/>
              </w:rPr>
              <w:t xml:space="preserve">85.14</w:t>
            </w:r>
          </w:p>
        </w:tc>
        <w:tc>
          <w:tcPr>
            <w:tcW w:w="1120" w:type="dxa"/>
            <w:tcBorders/>
            <w:vAlign w:val="center"/>
          </w:tcPr>
          <w:p>
            <w:pPr>
              <w:jc w:val="right"/>
            </w:pPr>
            <w:r>
              <w:rPr>
                <w:rFonts w:ascii="宋体" w:eastAsia="宋体" w:hAnsi="宋体" w:cs="宋体"/>
                <w:b/>
                <w:i w:val="0"/>
                <w:color w:val="000000"/>
                <w:sz w:val="16"/>
              </w:rPr>
              <w:t xml:space="preserve">0.69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63.84</w:t>
            </w:r>
          </w:p>
        </w:tc>
        <w:tc>
          <w:tcPr>
            <w:tcW w:w="1120" w:type="dxa"/>
            <w:tcBorders/>
            <w:vAlign w:val="center"/>
          </w:tcPr>
          <w:p>
            <w:pPr>
              <w:jc w:val="right"/>
            </w:pPr>
            <w:r>
              <w:rPr>
                <w:rFonts w:ascii="宋体" w:eastAsia="宋体" w:hAnsi="宋体" w:cs="宋体"/>
                <w:b w:val="0"/>
                <w:i w:val="0"/>
                <w:color w:val="000000"/>
                <w:sz w:val="16"/>
              </w:rPr>
              <w:t xml:space="preserve">63.15</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63.84</w:t>
            </w:r>
          </w:p>
        </w:tc>
        <w:tc>
          <w:tcPr>
            <w:tcW w:w="1120" w:type="dxa"/>
            <w:tcBorders/>
            <w:vAlign w:val="center"/>
          </w:tcPr>
          <w:p>
            <w:pPr>
              <w:jc w:val="right"/>
            </w:pPr>
            <w:r>
              <w:rPr>
                <w:rFonts w:ascii="宋体" w:eastAsia="宋体" w:hAnsi="宋体" w:cs="宋体"/>
                <w:b w:val="0"/>
                <w:i w:val="0"/>
                <w:color w:val="000000"/>
                <w:sz w:val="16"/>
              </w:rPr>
              <w:t xml:space="preserve">63.15</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63.15</w:t>
            </w:r>
          </w:p>
        </w:tc>
        <w:tc>
          <w:tcPr>
            <w:tcW w:w="1120" w:type="dxa"/>
            <w:tcBorders/>
            <w:vAlign w:val="center"/>
          </w:tcPr>
          <w:p>
            <w:pPr>
              <w:jc w:val="right"/>
            </w:pPr>
            <w:r>
              <w:rPr>
                <w:rFonts w:ascii="宋体" w:eastAsia="宋体" w:hAnsi="宋体" w:cs="宋体"/>
                <w:b w:val="0"/>
                <w:i w:val="0"/>
                <w:color w:val="000000"/>
                <w:sz w:val="16"/>
              </w:rPr>
              <w:t xml:space="preserve">63.15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12.91</w:t>
            </w:r>
          </w:p>
        </w:tc>
        <w:tc>
          <w:tcPr>
            <w:tcW w:w="1120" w:type="dxa"/>
            <w:tcBorders/>
            <w:vAlign w:val="center"/>
          </w:tcPr>
          <w:p>
            <w:pPr>
              <w:jc w:val="right"/>
            </w:pPr>
            <w:r>
              <w:rPr>
                <w:rFonts w:ascii="宋体" w:eastAsia="宋体" w:hAnsi="宋体" w:cs="宋体"/>
                <w:b w:val="0"/>
                <w:i w:val="0"/>
                <w:color w:val="000000"/>
                <w:sz w:val="16"/>
              </w:rPr>
              <w:t xml:space="preserve">12.91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12.72</w:t>
            </w:r>
          </w:p>
        </w:tc>
        <w:tc>
          <w:tcPr>
            <w:tcW w:w="1120" w:type="dxa"/>
            <w:tcBorders/>
            <w:vAlign w:val="center"/>
          </w:tcPr>
          <w:p>
            <w:pPr>
              <w:jc w:val="right"/>
            </w:pPr>
            <w:r>
              <w:rPr>
                <w:rFonts w:ascii="宋体" w:eastAsia="宋体" w:hAnsi="宋体" w:cs="宋体"/>
                <w:b w:val="0"/>
                <w:i w:val="0"/>
                <w:color w:val="000000"/>
                <w:sz w:val="16"/>
              </w:rPr>
              <w:t xml:space="preserve">12.72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7.77</w:t>
            </w:r>
          </w:p>
        </w:tc>
        <w:tc>
          <w:tcPr>
            <w:tcW w:w="1120" w:type="dxa"/>
            <w:tcBorders/>
            <w:vAlign w:val="center"/>
          </w:tcPr>
          <w:p>
            <w:pPr>
              <w:jc w:val="right"/>
            </w:pPr>
            <w:r>
              <w:rPr>
                <w:rFonts w:ascii="宋体" w:eastAsia="宋体" w:hAnsi="宋体" w:cs="宋体"/>
                <w:b w:val="0"/>
                <w:i w:val="0"/>
                <w:color w:val="000000"/>
                <w:sz w:val="16"/>
              </w:rPr>
              <w:t xml:space="preserve">7.77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4.95</w:t>
            </w:r>
          </w:p>
        </w:tc>
        <w:tc>
          <w:tcPr>
            <w:tcW w:w="1120" w:type="dxa"/>
            <w:tcBorders/>
            <w:vAlign w:val="center"/>
          </w:tcPr>
          <w:p>
            <w:pPr>
              <w:jc w:val="right"/>
            </w:pPr>
            <w:r>
              <w:rPr>
                <w:rFonts w:ascii="宋体" w:eastAsia="宋体" w:hAnsi="宋体" w:cs="宋体"/>
                <w:b w:val="0"/>
                <w:i w:val="0"/>
                <w:color w:val="000000"/>
                <w:sz w:val="16"/>
              </w:rPr>
              <w:t xml:space="preserve">4.95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2.91</w:t>
            </w:r>
          </w:p>
        </w:tc>
        <w:tc>
          <w:tcPr>
            <w:tcW w:w="1120" w:type="dxa"/>
            <w:tcBorders/>
            <w:vAlign w:val="center"/>
          </w:tcPr>
          <w:p>
            <w:pPr>
              <w:jc w:val="right"/>
            </w:pPr>
            <w:r>
              <w:rPr>
                <w:rFonts w:ascii="宋体" w:eastAsia="宋体" w:hAnsi="宋体" w:cs="宋体"/>
                <w:b w:val="0"/>
                <w:i w:val="0"/>
                <w:color w:val="000000"/>
                <w:sz w:val="16"/>
              </w:rPr>
              <w:t xml:space="preserve">2.91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2.91</w:t>
            </w:r>
          </w:p>
        </w:tc>
        <w:tc>
          <w:tcPr>
            <w:tcW w:w="1120" w:type="dxa"/>
            <w:tcBorders/>
            <w:vAlign w:val="center"/>
          </w:tcPr>
          <w:p>
            <w:pPr>
              <w:jc w:val="right"/>
            </w:pPr>
            <w:r>
              <w:rPr>
                <w:rFonts w:ascii="宋体" w:eastAsia="宋体" w:hAnsi="宋体" w:cs="宋体"/>
                <w:b w:val="0"/>
                <w:i w:val="0"/>
                <w:color w:val="000000"/>
                <w:sz w:val="16"/>
              </w:rPr>
              <w:t xml:space="preserve">2.91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2.87</w:t>
            </w:r>
          </w:p>
        </w:tc>
        <w:tc>
          <w:tcPr>
            <w:tcW w:w="1120" w:type="dxa"/>
            <w:tcBorders/>
            <w:vAlign w:val="center"/>
          </w:tcPr>
          <w:p>
            <w:pPr>
              <w:jc w:val="right"/>
            </w:pPr>
            <w:r>
              <w:rPr>
                <w:rFonts w:ascii="宋体" w:eastAsia="宋体" w:hAnsi="宋体" w:cs="宋体"/>
                <w:b w:val="0"/>
                <w:i w:val="0"/>
                <w:color w:val="000000"/>
                <w:sz w:val="16"/>
              </w:rPr>
              <w:t xml:space="preserve">2.87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63.84</w:t>
            </w:r>
          </w:p>
        </w:tc>
        <w:tc>
          <w:tcPr>
            <w:tcW w:w="1100" w:type="dxa"/>
            <w:tcBorders/>
            <w:vAlign w:val="center"/>
          </w:tcPr>
          <w:p>
            <w:pPr>
              <w:jc w:val="right"/>
            </w:pPr>
            <w:r>
              <w:rPr>
                <w:rFonts w:ascii="宋体" w:eastAsia="宋体" w:hAnsi="宋体" w:cs="宋体"/>
                <w:b w:val="0"/>
                <w:i w:val="0"/>
                <w:color w:val="000000"/>
                <w:sz w:val="14"/>
              </w:rPr>
              <w:t xml:space="preserve">63.84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12.90</w:t>
            </w:r>
          </w:p>
        </w:tc>
        <w:tc>
          <w:tcPr>
            <w:tcW w:w="1100" w:type="dxa"/>
            <w:tcBorders/>
            <w:vAlign w:val="center"/>
          </w:tcPr>
          <w:p>
            <w:pPr>
              <w:jc w:val="right"/>
            </w:pPr>
            <w:r>
              <w:rPr>
                <w:rFonts w:ascii="宋体" w:eastAsia="宋体" w:hAnsi="宋体" w:cs="宋体"/>
                <w:b w:val="0"/>
                <w:i w:val="0"/>
                <w:color w:val="000000"/>
                <w:sz w:val="14"/>
              </w:rPr>
              <w:t xml:space="preserve">12.90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2.91</w:t>
            </w:r>
          </w:p>
        </w:tc>
        <w:tc>
          <w:tcPr>
            <w:tcW w:w="1100" w:type="dxa"/>
            <w:tcBorders/>
            <w:vAlign w:val="center"/>
          </w:tcPr>
          <w:p>
            <w:pPr>
              <w:jc w:val="right"/>
            </w:pPr>
            <w:r>
              <w:rPr>
                <w:rFonts w:ascii="宋体" w:eastAsia="宋体" w:hAnsi="宋体" w:cs="宋体"/>
                <w:b w:val="0"/>
                <w:i w:val="0"/>
                <w:color w:val="000000"/>
                <w:sz w:val="14"/>
              </w:rPr>
              <w:t xml:space="preserve">2.91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6.18</w:t>
            </w:r>
          </w:p>
        </w:tc>
        <w:tc>
          <w:tcPr>
            <w:tcW w:w="1100" w:type="dxa"/>
            <w:tcBorders/>
            <w:vAlign w:val="center"/>
          </w:tcPr>
          <w:p>
            <w:pPr>
              <w:jc w:val="right"/>
            </w:pPr>
            <w:r>
              <w:rPr>
                <w:rFonts w:ascii="宋体" w:eastAsia="宋体" w:hAnsi="宋体" w:cs="宋体"/>
                <w:b w:val="0"/>
                <w:i w:val="0"/>
                <w:color w:val="000000"/>
                <w:sz w:val="14"/>
              </w:rPr>
              <w:t xml:space="preserve">6.18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1100" w:type="dxa"/>
            <w:tcBorders/>
            <w:vAlign w:val="center"/>
          </w:tcPr>
          <w:p>
            <w:pPr>
              <w:jc w:val="right"/>
            </w:pPr>
            <w:r>
              <w:rPr>
                <w:rFonts w:ascii="宋体" w:eastAsia="宋体" w:hAnsi="宋体" w:cs="宋体"/>
                <w:b w:val="0"/>
                <w:i w:val="0"/>
                <w:color w:val="000000"/>
                <w:sz w:val="14"/>
              </w:rPr>
              <w:t xml:space="preserve">85.83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85.83</w:t>
            </w:r>
          </w:p>
        </w:tc>
        <w:tc>
          <w:tcPr>
            <w:tcW w:w="1980" w:type="dxa"/>
            <w:tcBorders/>
            <w:vAlign w:val="center"/>
          </w:tcPr>
          <w:p>
            <w:pPr>
              <w:jc w:val="right"/>
            </w:pPr>
            <w:r>
              <w:rPr>
                <w:rFonts w:ascii="宋体" w:eastAsia="宋体" w:hAnsi="宋体" w:cs="宋体"/>
                <w:b/>
                <w:i w:val="0"/>
                <w:color w:val="000000"/>
                <w:sz w:val="20"/>
              </w:rPr>
              <w:t xml:space="preserve">85.14</w:t>
            </w:r>
          </w:p>
        </w:tc>
        <w:tc>
          <w:tcPr>
            <w:tcW w:w="1952" w:type="dxa"/>
            <w:tcBorders/>
            <w:vAlign w:val="center"/>
          </w:tcPr>
          <w:p>
            <w:pPr>
              <w:jc w:val="right"/>
            </w:pPr>
            <w:r>
              <w:rPr>
                <w:rFonts w:ascii="宋体" w:eastAsia="宋体" w:hAnsi="宋体" w:cs="宋体"/>
                <w:b/>
                <w:i w:val="0"/>
                <w:color w:val="000000"/>
                <w:sz w:val="20"/>
              </w:rPr>
              <w:t xml:space="preserve">0.69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63.84</w:t>
            </w:r>
          </w:p>
        </w:tc>
        <w:tc>
          <w:tcPr>
            <w:tcW w:w="1980" w:type="dxa"/>
            <w:tcBorders/>
            <w:vAlign w:val="center"/>
          </w:tcPr>
          <w:p>
            <w:pPr>
              <w:jc w:val="right"/>
            </w:pPr>
            <w:r>
              <w:rPr>
                <w:rFonts w:ascii="宋体" w:eastAsia="宋体" w:hAnsi="宋体" w:cs="宋体"/>
                <w:b w:val="0"/>
                <w:i w:val="0"/>
                <w:color w:val="000000"/>
                <w:sz w:val="20"/>
              </w:rPr>
              <w:t xml:space="preserve">63.15</w:t>
            </w:r>
          </w:p>
        </w:tc>
        <w:tc>
          <w:tcPr>
            <w:tcW w:w="1952" w:type="dxa"/>
            <w:tcBorders/>
            <w:vAlign w:val="center"/>
          </w:tcPr>
          <w:p>
            <w:pPr>
              <w:jc w:val="right"/>
            </w:pPr>
            <w:r>
              <w:rPr>
                <w:rFonts w:ascii="宋体" w:eastAsia="宋体" w:hAnsi="宋体" w:cs="宋体"/>
                <w:b w:val="0"/>
                <w:i w:val="0"/>
                <w:color w:val="000000"/>
                <w:sz w:val="20"/>
              </w:rPr>
              <w:t xml:space="preserve">0.69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63.84</w:t>
            </w:r>
          </w:p>
        </w:tc>
        <w:tc>
          <w:tcPr>
            <w:tcW w:w="1980" w:type="dxa"/>
            <w:tcBorders/>
            <w:vAlign w:val="center"/>
          </w:tcPr>
          <w:p>
            <w:pPr>
              <w:jc w:val="right"/>
            </w:pPr>
            <w:r>
              <w:rPr>
                <w:rFonts w:ascii="宋体" w:eastAsia="宋体" w:hAnsi="宋体" w:cs="宋体"/>
                <w:b w:val="0"/>
                <w:i w:val="0"/>
                <w:color w:val="000000"/>
                <w:sz w:val="20"/>
              </w:rPr>
              <w:t xml:space="preserve">63.15</w:t>
            </w:r>
          </w:p>
        </w:tc>
        <w:tc>
          <w:tcPr>
            <w:tcW w:w="1952" w:type="dxa"/>
            <w:tcBorders/>
            <w:vAlign w:val="center"/>
          </w:tcPr>
          <w:p>
            <w:pPr>
              <w:jc w:val="right"/>
            </w:pPr>
            <w:r>
              <w:rPr>
                <w:rFonts w:ascii="宋体" w:eastAsia="宋体" w:hAnsi="宋体" w:cs="宋体"/>
                <w:b w:val="0"/>
                <w:i w:val="0"/>
                <w:color w:val="000000"/>
                <w:sz w:val="20"/>
              </w:rPr>
              <w:t xml:space="preserve">0.69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63.15</w:t>
            </w:r>
          </w:p>
        </w:tc>
        <w:tc>
          <w:tcPr>
            <w:tcW w:w="1980" w:type="dxa"/>
            <w:tcBorders/>
            <w:vAlign w:val="center"/>
          </w:tcPr>
          <w:p>
            <w:pPr>
              <w:jc w:val="right"/>
            </w:pPr>
            <w:r>
              <w:rPr>
                <w:rFonts w:ascii="宋体" w:eastAsia="宋体" w:hAnsi="宋体" w:cs="宋体"/>
                <w:b w:val="0"/>
                <w:i w:val="0"/>
                <w:color w:val="000000"/>
                <w:sz w:val="20"/>
              </w:rPr>
              <w:t xml:space="preserve">63.15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0.69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12.91</w:t>
            </w:r>
          </w:p>
        </w:tc>
        <w:tc>
          <w:tcPr>
            <w:tcW w:w="1980" w:type="dxa"/>
            <w:tcBorders/>
            <w:vAlign w:val="center"/>
          </w:tcPr>
          <w:p>
            <w:pPr>
              <w:jc w:val="right"/>
            </w:pPr>
            <w:r>
              <w:rPr>
                <w:rFonts w:ascii="宋体" w:eastAsia="宋体" w:hAnsi="宋体" w:cs="宋体"/>
                <w:b w:val="0"/>
                <w:i w:val="0"/>
                <w:color w:val="000000"/>
                <w:sz w:val="20"/>
              </w:rPr>
              <w:t xml:space="preserve">12.91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12.72</w:t>
            </w:r>
          </w:p>
        </w:tc>
        <w:tc>
          <w:tcPr>
            <w:tcW w:w="1980" w:type="dxa"/>
            <w:tcBorders/>
            <w:vAlign w:val="center"/>
          </w:tcPr>
          <w:p>
            <w:pPr>
              <w:jc w:val="right"/>
            </w:pPr>
            <w:r>
              <w:rPr>
                <w:rFonts w:ascii="宋体" w:eastAsia="宋体" w:hAnsi="宋体" w:cs="宋体"/>
                <w:b w:val="0"/>
                <w:i w:val="0"/>
                <w:color w:val="000000"/>
                <w:sz w:val="20"/>
              </w:rPr>
              <w:t xml:space="preserve">12.72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7.77</w:t>
            </w:r>
          </w:p>
        </w:tc>
        <w:tc>
          <w:tcPr>
            <w:tcW w:w="1980" w:type="dxa"/>
            <w:tcBorders/>
            <w:vAlign w:val="center"/>
          </w:tcPr>
          <w:p>
            <w:pPr>
              <w:jc w:val="right"/>
            </w:pPr>
            <w:r>
              <w:rPr>
                <w:rFonts w:ascii="宋体" w:eastAsia="宋体" w:hAnsi="宋体" w:cs="宋体"/>
                <w:b w:val="0"/>
                <w:i w:val="0"/>
                <w:color w:val="000000"/>
                <w:sz w:val="20"/>
              </w:rPr>
              <w:t xml:space="preserve">7.77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4.95</w:t>
            </w:r>
          </w:p>
        </w:tc>
        <w:tc>
          <w:tcPr>
            <w:tcW w:w="1980" w:type="dxa"/>
            <w:tcBorders/>
            <w:vAlign w:val="center"/>
          </w:tcPr>
          <w:p>
            <w:pPr>
              <w:jc w:val="right"/>
            </w:pPr>
            <w:r>
              <w:rPr>
                <w:rFonts w:ascii="宋体" w:eastAsia="宋体" w:hAnsi="宋体" w:cs="宋体"/>
                <w:b w:val="0"/>
                <w:i w:val="0"/>
                <w:color w:val="000000"/>
                <w:sz w:val="20"/>
              </w:rPr>
              <w:t xml:space="preserve">4.95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2.91</w:t>
            </w:r>
          </w:p>
        </w:tc>
        <w:tc>
          <w:tcPr>
            <w:tcW w:w="1980" w:type="dxa"/>
            <w:tcBorders/>
            <w:vAlign w:val="center"/>
          </w:tcPr>
          <w:p>
            <w:pPr>
              <w:jc w:val="right"/>
            </w:pPr>
            <w:r>
              <w:rPr>
                <w:rFonts w:ascii="宋体" w:eastAsia="宋体" w:hAnsi="宋体" w:cs="宋体"/>
                <w:b w:val="0"/>
                <w:i w:val="0"/>
                <w:color w:val="000000"/>
                <w:sz w:val="20"/>
              </w:rPr>
              <w:t xml:space="preserve">2.91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2.91</w:t>
            </w:r>
          </w:p>
        </w:tc>
        <w:tc>
          <w:tcPr>
            <w:tcW w:w="1980" w:type="dxa"/>
            <w:tcBorders/>
            <w:vAlign w:val="center"/>
          </w:tcPr>
          <w:p>
            <w:pPr>
              <w:jc w:val="right"/>
            </w:pPr>
            <w:r>
              <w:rPr>
                <w:rFonts w:ascii="宋体" w:eastAsia="宋体" w:hAnsi="宋体" w:cs="宋体"/>
                <w:b w:val="0"/>
                <w:i w:val="0"/>
                <w:color w:val="000000"/>
                <w:sz w:val="20"/>
              </w:rPr>
              <w:t xml:space="preserve">2.91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2.87</w:t>
            </w:r>
          </w:p>
        </w:tc>
        <w:tc>
          <w:tcPr>
            <w:tcW w:w="1980" w:type="dxa"/>
            <w:tcBorders/>
            <w:vAlign w:val="center"/>
          </w:tcPr>
          <w:p>
            <w:pPr>
              <w:jc w:val="right"/>
            </w:pPr>
            <w:r>
              <w:rPr>
                <w:rFonts w:ascii="宋体" w:eastAsia="宋体" w:hAnsi="宋体" w:cs="宋体"/>
                <w:b w:val="0"/>
                <w:i w:val="0"/>
                <w:color w:val="000000"/>
                <w:sz w:val="20"/>
              </w:rPr>
              <w:t xml:space="preserve">2.87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79.39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26.67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15.84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14.89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4.95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6.18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4.64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79.39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5.75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0.22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0.22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0.22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部门：中共辽宁省盘锦市双台子区委巡察工作领导小组办公室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009001中共盘锦市双台子区委巡察工作领导小组办公室本级-211102000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78.09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78.09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74.14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74.14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完成全年工作任务目标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按照巡视巡察要求，完成两轮区委巡察工作。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经费保障提升率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受益对象满意度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多部门协同联动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区委巡察工作经费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中共盘锦市双台子区委巡察工作领导小组办公室-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中共盘锦市双台子区委巡察工作领导小组办公室本级-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0.69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确保区委巡察工作有序开展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按照区委巡察计划，完成了两轮区委巡察工作。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49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完成三轮区委巡察工作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其他:按照区委巡察计划，由于涉及巡察村社区单位较多，2023年仅安排2轮区委巡察工作，故所花费巡察经费较少。</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其他:为保证区委巡察工作质量，根据区委巡察工作实际保障巡察物资的发放，做到随时沟通，随时供给。</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区委巡察工作完成率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23.8565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7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