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中共辽宁省盘锦市双台子区委盘锦市双台子区人民政府信访局</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中共辽宁省盘锦市双台子区委盘锦市双台子区人民政府信访局</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中共辽宁省盘锦市双台子区委盘锦市双台子区人民政府信访局</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中共辽宁省盘锦市双台子区委盘锦市双台子区人民政府信访局</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中共辽宁省盘锦市双台子区委盘锦市双台子区人民政府信访局</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中共辽宁省盘锦市双台子区委盘锦市双台子区人民政府信访局概况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第一条  根据《中共辽宁省委办公厅、辽宁省人民政府办公厅关于印发盘锦市县（市、区）机构改革方案的通知》（厅秘发〔2018〕259号），制定本规定。</w:t>
        <w:br/>
        <w:t xml:space="preserve">第二条  中共盘锦市双台子区委、盘锦市双台子区人民政府信访局（以下简称区委区政府信访局）为正科级，列区委工作机关序列。</w:t>
        <w:br/>
        <w:t xml:space="preserve">第三条  区委区政府信访局的主要职责是：</w:t>
        <w:br/>
        <w:t xml:space="preserve">（一）贯彻落实党中央、国务院，省委、省政府，市委、市政府有关信访工作的指示、规定和部署及区委、区政府具体工作要求，承担区信访工作联席会议日常工作，推动全区信访工作的开展。</w:t>
        <w:br/>
        <w:t xml:space="preserve">（二）承办上级机关和区委、区政府及领导同志交办的信访事项，代表区委、区政府接待人民来访，受理人民来信和电话、网络投诉，交办和转送信访人提出的信访事项，向区委、区政府领导请示、报告重大信访事项，配合上级机关及北京市、沈阳市有关部门做好双台子区去省、进京上访群众的接待劝返工作，做好重大政治活动期间的信访分流工作。</w:t>
        <w:br/>
        <w:t xml:space="preserve">（三）向有关地区和部门转送、交办、移交信访事项，并对办理情况进行督查，对区领导同志批示和上级机关交办的信访事项进行督办并反馈有关情况，审核专项信访救助资金的使用情况。</w:t>
        <w:br/>
        <w:t xml:space="preserve">（四）协调处理跨地区、跨部门的重要信访问题，协调处理群众集体进京、去省、到市、来区上访和异常、突发信访事件，直接查处重大疑难信访事项，对信访工作中的失职渎职行为提出整改意见和责任追究建议，协调各街镇和区直各部门的信访工作，向社会公开信访工作情况。</w:t>
        <w:br/>
        <w:t xml:space="preserve">（五）反映来信来访中提出的重要建议、意见和问题，及时准确地报送信访信息，为领导决策提供依据，开展调查研究和信访统计分析，分析信访形势，掌握信访动态，提出有关改进工作、完善政策的建议。</w:t>
        <w:br/>
        <w:t xml:space="preserve">（六）推动全区信访矛盾的排查化解，对重要信访问题及时开展信息预警，在重大政治活动、重要敏感时期及时收集信息，研判信访形势。</w:t>
        <w:br/>
        <w:t xml:space="preserve">（七）加强信访干部队伍建设，组织信访干部培训。</w:t>
        <w:br/>
        <w:t xml:space="preserve">（八）完成区委、区政府交办的其他任务。</w:t>
        <w:br/>
        <w:t xml:space="preserve">（九）职能转变。    </w:t>
        <w:br/>
        <w:t xml:space="preserve">  1．加强对各街镇各部门办理群众信访情况的督促检查。    </w:t>
        <w:br/>
        <w:t xml:space="preserve">  2．加强重大信访矛盾隐患排查情报收集预警和信访稳定形势研判分析工作。     </w:t>
        <w:br/>
        <w:t xml:space="preserve">3．加强对群众来区、到市、去省、进京上访的协调处理工作。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中共辽宁省盘锦市双台子区委盘锦市双台子区人民政府信访局</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1.区委区政府信访局本级</w:t>
        <w:br/>
        <w:t xml:space="preserve">2.区信访事务服务中心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583.36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583.35</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583.35</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0.01</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增加225.11万元，增长62.83%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一是信访救助金增加；二是信访维稳经费增加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583.35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123.29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21.13</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工资福利支出113.63万元；商品和服务支出8.61万元；对个人和家庭的补助1.05万元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460.06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78.87</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主要包括一是信访救助金，二是信访维经费等业务支出。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增加225.11万元，增长62.84%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一是信访救助金增加；二是信访维稳经费增加。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0.01</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主要是将100元重新缴到双台子区财政事务服务中心的账户上等原因形成的结余。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上缴财政</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583.35</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123.29</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460.06</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增加225.11万元，增长62.84%</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一是信访救助金增加；二是信访维稳经费增加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241.77</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105.12</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371.01</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2023年度一般公共预算财政拨款支出583.35万元。按支出功能分类科目分，包括：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1.一般公共服务支出556.81万元，具体包括：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行政运行（项）75.97万元,主要是行政编人员工资、办公费、印刷费等支出，完成年初预算的106.04%，决算数与年初预算数存在差异的主要原因是工资滚动、晋级晋升补发等。</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政府办公厅（室）及相关机构事务（款）信访事务（项）210.45万元,主要是信访救助金等支出，完成年初预算的210.45%，决算数与年初预算数存在差异的主要原因是向上级申请的资金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政府办公厅（室）及相关机构事务（款）事业运行（项）20.78万元,主要是事业编人员工资、办公费等支出，完成年初预算的110.01%，决算数与年初预算数存在差异的主要原因是工资滚动、晋级晋升、办公费增加等。</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一般公共服务支出（类）政府办公厅（室）及相关机构事务（款）其他政府办公厅（室）及相关机构事务支出（项）249.61万元,主要是信访维稳经费及信访救助金等支出，完成年初预算的201.3%，决算数与年初预算数存在差异的主要原因是信访维稳任务的增加及信访救助的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（5）一般公共服务支出（类）党委办公厅（室）及相关机构事务（款）事业运行（项）0.00万元,主要是无此经费等支出，完成年初预算的0%，决算数与年初预算数存在差异的主要原因是无此经费支出。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2.社会保障和就业支出12.96万元，具体包括：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（1）社会保障和就业支出（类）行政事业单位养老支出（款）行政单位离退休（项）0.04万元,主要是遗属费等支出，完成年初预算的1.82%，决算数与年初预算数存在差异的主要原因是支出功能科目有误。</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12.57万元,主要是行政和事业职工养老保险等支出，完成年初预算的89.98%，决算数与年初预算数存在差异的主要原因是养老保险基数有所调整</w:t>
        <w:br/>
        <w:t xml:space="preserve">及人员有所变动。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（3）社会保障和就业支出（类）其他社会保障和就业支出（款）其他社会保障和就业支出（项）0.35万元,主要是行政和事业职工工伤保险及</w:t>
        <w:br/>
        <w:t xml:space="preserve">事业职工失业保险等支出，完成年初预算的233.33%，决算数与年初预算数存在差异的主要原因是保险基数有所调整及人员有所变动。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3.卫生健康支出4.84万元，具体包括：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（1）卫生健康支出（类）行政事业单位医疗（款）行政单位医疗（项）3.52万元,主要是行政职工医疗保险等支出，完成年初预算的83.61%，决算数与年初预算数存在差异的主要原因是医疗保险基数有所调整。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事业单位医疗（项）1.24万元,主要是事业职工医疗保险等支出，完成年初预算的167.57%，决算数与年初预算数存在差异的主要原因是医疗保险基数有所调整及人员有所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0.08万元,主要是行政和事业职工大额医疗保险等支出，完成年初预算的133.33%，决算数与年初预算数存在差异的主要原因是行政单位年初预算数有差。</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4.住房保障支出8.75万元，具体包括：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（1）住房保障支出（类）住房改革支出（款）住房公积金（项）8.75万元,主要是住房公积金等支出，完成年初预算的108.29%，决算数与年初预算数存在差异的主要原因是住房公积金基数有所调整。</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无“三公”经费支出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无“三公”经费支出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无公务用车购置及运行费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比上年减少0.93万元，降低100.00%</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单位公务车报废</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123.29</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114.68</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8.61</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8.28</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比上年减少1.88万元，降低18.50%</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办公费及印刷费的减少</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1.绩效评价工作开展情况。</w:t>
        <w:br/>
        <w:t xml:space="preserve">根据预算绩效管理要求，本部门组织对2023年度预算项目支出全面开展绩效自评，共涉及预算支出项目2个（其中：一般公共预算项目2个，政府性基金预算项目0个，国有资本经营预算项目0个），涉及资金448.69万元（其中：一般公共预算资金448.69631.3万元，政府性基金预算资金0万元，国有资本经营预算资金0万元），自评覆盖率（开展绩效自评的项目数/年初批复绩效目标的项目数*100%）达到100%，自评平均分（开展绩效自评的项目分数总和/开展绩效自评的项目数）74分。</w:t>
        <w:br/>
        <w:t xml:space="preserve">组织对1个单位开展整体绩效自评，从评价情况来看，已完成目标。</w:t>
        <w:br/>
        <w:t xml:space="preserve">2.项目绩效自评结果。</w:t>
        <w:br/>
        <w:t xml:space="preserve">本部门在2023年度省直部门决算中反映“信访维稳经费”、“驻京值班补助经费”2个项目绩效自评结果。</w:t>
        <w:br/>
        <w:t xml:space="preserve">（1）“信访维稳经费”项目自评综述：根据年初设定的绩效目标，项目自评得分89分。项目全年预算数为521.3万元，执行数为411.4万元，完成预算的78.92%。项目绩效目标完成情况：对经费的管理和使用合理规范，项目实施达到了预期效果。发现的主要问题及原因：绩效指标设置难以全面涵盖。下一步改进措施：今后，在项目实施过程中，需不断改进和细化绩效目标内容及指标体系，根据工作重心作出相应调整。</w:t>
        <w:br/>
        <w:t xml:space="preserve">（2）“驻京值班补助经费”项目自评综述：根据年初设定的绩效目标，项目自评得分59分。项目全年预算数为110万元，执行数为37.29万元，完成预算的33.9%。项目绩效目标完成情况：对经费的管理和使用合理规范，项目实施达到了预期效果。发现的主要问题及原因：绩效指标设置难以全面涵盖。下一步改进措施：今后，在项目实施过程中，需不断改进和细化绩效目标内容及指标体系，根据工作重心作出相应调整。</w:t>
        <w:br/>
        <w:t xml:space="preserve">3.部门评价结果。</w:t>
        <w:br/>
        <w:t xml:space="preserve">我部门组织对2个项目开展了部门评价，涉及资金448.69万元。通过部门绩效评价发现主要存在以下问题：部门预算的不确定因素较多，绩效指标设置难以全面涵盖。下一步将采取以下措施加以改进：今后，在项目实施过程中，需不断改进和细化绩效目标内容及指标体系，根据工作重心作出相应调整，切实推动绩效目标任务顺利完成。</w:t>
        <w:br/>
        <w:t xml:space="preserve">4.财政评价结果。</w:t>
        <w:br/>
        <w:t xml:space="preserve">区委区政府信访局（本级）对年初设定的绩效目标完成情况进行了自检自查。绩效目标立项合理、指标明确。对经费的管理和使用合理规范，项目实施达到了预期效果，各项工作均已完成。</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16.一般公共服务（类）财政事务（款）行政运行（项）：反映行政单位（包括实行公务员管理的事业单位）的基本支出。</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部门：中共辽宁省盘锦市双台子区委盘锦市双台子区人民政府信访局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583.35</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556.81</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12.96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4.83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8.75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583.35</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583.35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0.01</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0.01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583.36</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583.36</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部门：中共辽宁省盘锦市双台子区委盘锦市双台子区人民政府信访局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583.35</w:t>
            </w:r>
          </w:p>
        </w:tc>
        <w:tc>
          <w:tcPr>
            <w:tcW w:w="1160" w:type="dxa"/>
            <w:tcBorders/>
            <w:vAlign w:val="center"/>
          </w:tcPr>
          <w:p>
            <w:pPr>
              <w:jc w:val="right"/>
            </w:pPr>
            <w:r>
              <w:rPr>
                <w:rFonts w:ascii="宋体" w:eastAsia="宋体" w:hAnsi="宋体" w:cs="宋体"/>
                <w:b/>
                <w:i w:val="0"/>
                <w:color w:val="000000"/>
                <w:sz w:val="14"/>
              </w:rPr>
              <w:t xml:space="preserve">583.35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556.81</w:t>
            </w:r>
          </w:p>
        </w:tc>
        <w:tc>
          <w:tcPr>
            <w:tcW w:w="1160" w:type="dxa"/>
            <w:tcBorders/>
            <w:vAlign w:val="center"/>
          </w:tcPr>
          <w:p>
            <w:pPr>
              <w:jc w:val="right"/>
            </w:pPr>
            <w:r>
              <w:rPr>
                <w:rFonts w:ascii="宋体" w:eastAsia="宋体" w:hAnsi="宋体" w:cs="宋体"/>
                <w:b w:val="0"/>
                <w:i w:val="0"/>
                <w:color w:val="000000"/>
                <w:sz w:val="14"/>
              </w:rPr>
              <w:t xml:space="preserve">556.81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556.81</w:t>
            </w:r>
          </w:p>
        </w:tc>
        <w:tc>
          <w:tcPr>
            <w:tcW w:w="1160" w:type="dxa"/>
            <w:tcBorders/>
            <w:vAlign w:val="center"/>
          </w:tcPr>
          <w:p>
            <w:pPr>
              <w:jc w:val="right"/>
            </w:pPr>
            <w:r>
              <w:rPr>
                <w:rFonts w:ascii="宋体" w:eastAsia="宋体" w:hAnsi="宋体" w:cs="宋体"/>
                <w:b w:val="0"/>
                <w:i w:val="0"/>
                <w:color w:val="000000"/>
                <w:sz w:val="14"/>
              </w:rPr>
              <w:t xml:space="preserve">556.81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75.97</w:t>
            </w:r>
          </w:p>
        </w:tc>
        <w:tc>
          <w:tcPr>
            <w:tcW w:w="1160" w:type="dxa"/>
            <w:tcBorders/>
            <w:vAlign w:val="center"/>
          </w:tcPr>
          <w:p>
            <w:pPr>
              <w:jc w:val="right"/>
            </w:pPr>
            <w:r>
              <w:rPr>
                <w:rFonts w:ascii="宋体" w:eastAsia="宋体" w:hAnsi="宋体" w:cs="宋体"/>
                <w:b w:val="0"/>
                <w:i w:val="0"/>
                <w:color w:val="000000"/>
                <w:sz w:val="14"/>
              </w:rPr>
              <w:t xml:space="preserve">75.97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信访事务</w:t>
            </w:r>
          </w:p>
        </w:tc>
        <w:tc>
          <w:tcPr>
            <w:tcW w:w="1160" w:type="dxa"/>
            <w:tcBorders/>
            <w:vAlign w:val="center"/>
          </w:tcPr>
          <w:p>
            <w:pPr>
              <w:jc w:val="right"/>
            </w:pPr>
            <w:r>
              <w:rPr>
                <w:rFonts w:ascii="宋体" w:eastAsia="宋体" w:hAnsi="宋体" w:cs="宋体"/>
                <w:b w:val="0"/>
                <w:i w:val="0"/>
                <w:color w:val="000000"/>
                <w:sz w:val="14"/>
              </w:rPr>
              <w:t xml:space="preserve">210.45</w:t>
            </w:r>
          </w:p>
        </w:tc>
        <w:tc>
          <w:tcPr>
            <w:tcW w:w="1160" w:type="dxa"/>
            <w:tcBorders/>
            <w:vAlign w:val="center"/>
          </w:tcPr>
          <w:p>
            <w:pPr>
              <w:jc w:val="right"/>
            </w:pPr>
            <w:r>
              <w:rPr>
                <w:rFonts w:ascii="宋体" w:eastAsia="宋体" w:hAnsi="宋体" w:cs="宋体"/>
                <w:b w:val="0"/>
                <w:i w:val="0"/>
                <w:color w:val="000000"/>
                <w:sz w:val="14"/>
              </w:rPr>
              <w:t xml:space="preserve">210.45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20.78</w:t>
            </w:r>
          </w:p>
        </w:tc>
        <w:tc>
          <w:tcPr>
            <w:tcW w:w="1160" w:type="dxa"/>
            <w:tcBorders/>
            <w:vAlign w:val="center"/>
          </w:tcPr>
          <w:p>
            <w:pPr>
              <w:jc w:val="right"/>
            </w:pPr>
            <w:r>
              <w:rPr>
                <w:rFonts w:ascii="宋体" w:eastAsia="宋体" w:hAnsi="宋体" w:cs="宋体"/>
                <w:b w:val="0"/>
                <w:i w:val="0"/>
                <w:color w:val="000000"/>
                <w:sz w:val="14"/>
              </w:rPr>
              <w:t xml:space="preserve">20.78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其他政府办公厅（室）及相关机构事务支出</w:t>
            </w:r>
          </w:p>
        </w:tc>
        <w:tc>
          <w:tcPr>
            <w:tcW w:w="1160" w:type="dxa"/>
            <w:tcBorders/>
            <w:vAlign w:val="center"/>
          </w:tcPr>
          <w:p>
            <w:pPr>
              <w:jc w:val="right"/>
            </w:pPr>
            <w:r>
              <w:rPr>
                <w:rFonts w:ascii="宋体" w:eastAsia="宋体" w:hAnsi="宋体" w:cs="宋体"/>
                <w:b w:val="0"/>
                <w:i w:val="0"/>
                <w:color w:val="000000"/>
                <w:sz w:val="14"/>
              </w:rPr>
              <w:t xml:space="preserve">249.61</w:t>
            </w:r>
          </w:p>
        </w:tc>
        <w:tc>
          <w:tcPr>
            <w:tcW w:w="1160" w:type="dxa"/>
            <w:tcBorders/>
            <w:vAlign w:val="center"/>
          </w:tcPr>
          <w:p>
            <w:pPr>
              <w:jc w:val="right"/>
            </w:pPr>
            <w:r>
              <w:rPr>
                <w:rFonts w:ascii="宋体" w:eastAsia="宋体" w:hAnsi="宋体" w:cs="宋体"/>
                <w:b w:val="0"/>
                <w:i w:val="0"/>
                <w:color w:val="000000"/>
                <w:sz w:val="14"/>
              </w:rPr>
              <w:t xml:space="preserve">249.61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12.96</w:t>
            </w:r>
          </w:p>
        </w:tc>
        <w:tc>
          <w:tcPr>
            <w:tcW w:w="1160" w:type="dxa"/>
            <w:tcBorders/>
            <w:vAlign w:val="center"/>
          </w:tcPr>
          <w:p>
            <w:pPr>
              <w:jc w:val="right"/>
            </w:pPr>
            <w:r>
              <w:rPr>
                <w:rFonts w:ascii="宋体" w:eastAsia="宋体" w:hAnsi="宋体" w:cs="宋体"/>
                <w:b w:val="0"/>
                <w:i w:val="0"/>
                <w:color w:val="000000"/>
                <w:sz w:val="14"/>
              </w:rPr>
              <w:t xml:space="preserve">12.96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12.61</w:t>
            </w:r>
          </w:p>
        </w:tc>
        <w:tc>
          <w:tcPr>
            <w:tcW w:w="1160" w:type="dxa"/>
            <w:tcBorders/>
            <w:vAlign w:val="center"/>
          </w:tcPr>
          <w:p>
            <w:pPr>
              <w:jc w:val="right"/>
            </w:pPr>
            <w:r>
              <w:rPr>
                <w:rFonts w:ascii="宋体" w:eastAsia="宋体" w:hAnsi="宋体" w:cs="宋体"/>
                <w:b w:val="0"/>
                <w:i w:val="0"/>
                <w:color w:val="000000"/>
                <w:sz w:val="14"/>
              </w:rPr>
              <w:t xml:space="preserve">12.61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0.04</w:t>
            </w:r>
          </w:p>
        </w:tc>
        <w:tc>
          <w:tcPr>
            <w:tcW w:w="1160" w:type="dxa"/>
            <w:tcBorders/>
            <w:vAlign w:val="center"/>
          </w:tcPr>
          <w:p>
            <w:pPr>
              <w:jc w:val="right"/>
            </w:pPr>
            <w:r>
              <w:rPr>
                <w:rFonts w:ascii="宋体" w:eastAsia="宋体" w:hAnsi="宋体" w:cs="宋体"/>
                <w:b w:val="0"/>
                <w:i w:val="0"/>
                <w:color w:val="000000"/>
                <w:sz w:val="14"/>
              </w:rPr>
              <w:t xml:space="preserve">0.04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12.57</w:t>
            </w:r>
          </w:p>
        </w:tc>
        <w:tc>
          <w:tcPr>
            <w:tcW w:w="1160" w:type="dxa"/>
            <w:tcBorders/>
            <w:vAlign w:val="center"/>
          </w:tcPr>
          <w:p>
            <w:pPr>
              <w:jc w:val="right"/>
            </w:pPr>
            <w:r>
              <w:rPr>
                <w:rFonts w:ascii="宋体" w:eastAsia="宋体" w:hAnsi="宋体" w:cs="宋体"/>
                <w:b w:val="0"/>
                <w:i w:val="0"/>
                <w:color w:val="000000"/>
                <w:sz w:val="14"/>
              </w:rPr>
              <w:t xml:space="preserve">12.57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0.35</w:t>
            </w:r>
          </w:p>
        </w:tc>
        <w:tc>
          <w:tcPr>
            <w:tcW w:w="1160" w:type="dxa"/>
            <w:tcBorders/>
            <w:vAlign w:val="center"/>
          </w:tcPr>
          <w:p>
            <w:pPr>
              <w:jc w:val="right"/>
            </w:pPr>
            <w:r>
              <w:rPr>
                <w:rFonts w:ascii="宋体" w:eastAsia="宋体" w:hAnsi="宋体" w:cs="宋体"/>
                <w:b w:val="0"/>
                <w:i w:val="0"/>
                <w:color w:val="000000"/>
                <w:sz w:val="14"/>
              </w:rPr>
              <w:t xml:space="preserve">0.35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0.35</w:t>
            </w:r>
          </w:p>
        </w:tc>
        <w:tc>
          <w:tcPr>
            <w:tcW w:w="1160" w:type="dxa"/>
            <w:tcBorders/>
            <w:vAlign w:val="center"/>
          </w:tcPr>
          <w:p>
            <w:pPr>
              <w:jc w:val="right"/>
            </w:pPr>
            <w:r>
              <w:rPr>
                <w:rFonts w:ascii="宋体" w:eastAsia="宋体" w:hAnsi="宋体" w:cs="宋体"/>
                <w:b w:val="0"/>
                <w:i w:val="0"/>
                <w:color w:val="000000"/>
                <w:sz w:val="14"/>
              </w:rPr>
              <w:t xml:space="preserve">0.35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4.84</w:t>
            </w:r>
          </w:p>
        </w:tc>
        <w:tc>
          <w:tcPr>
            <w:tcW w:w="1160" w:type="dxa"/>
            <w:tcBorders/>
            <w:vAlign w:val="center"/>
          </w:tcPr>
          <w:p>
            <w:pPr>
              <w:jc w:val="right"/>
            </w:pPr>
            <w:r>
              <w:rPr>
                <w:rFonts w:ascii="宋体" w:eastAsia="宋体" w:hAnsi="宋体" w:cs="宋体"/>
                <w:b w:val="0"/>
                <w:i w:val="0"/>
                <w:color w:val="000000"/>
                <w:sz w:val="14"/>
              </w:rPr>
              <w:t xml:space="preserve">4.84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4.84</w:t>
            </w:r>
          </w:p>
        </w:tc>
        <w:tc>
          <w:tcPr>
            <w:tcW w:w="1160" w:type="dxa"/>
            <w:tcBorders/>
            <w:vAlign w:val="center"/>
          </w:tcPr>
          <w:p>
            <w:pPr>
              <w:jc w:val="right"/>
            </w:pPr>
            <w:r>
              <w:rPr>
                <w:rFonts w:ascii="宋体" w:eastAsia="宋体" w:hAnsi="宋体" w:cs="宋体"/>
                <w:b w:val="0"/>
                <w:i w:val="0"/>
                <w:color w:val="000000"/>
                <w:sz w:val="14"/>
              </w:rPr>
              <w:t xml:space="preserve">4.84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3.52</w:t>
            </w:r>
          </w:p>
        </w:tc>
        <w:tc>
          <w:tcPr>
            <w:tcW w:w="1160" w:type="dxa"/>
            <w:tcBorders/>
            <w:vAlign w:val="center"/>
          </w:tcPr>
          <w:p>
            <w:pPr>
              <w:jc w:val="right"/>
            </w:pPr>
            <w:r>
              <w:rPr>
                <w:rFonts w:ascii="宋体" w:eastAsia="宋体" w:hAnsi="宋体" w:cs="宋体"/>
                <w:b w:val="0"/>
                <w:i w:val="0"/>
                <w:color w:val="000000"/>
                <w:sz w:val="14"/>
              </w:rPr>
              <w:t xml:space="preserve">3.52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1.24</w:t>
            </w:r>
          </w:p>
        </w:tc>
        <w:tc>
          <w:tcPr>
            <w:tcW w:w="1160" w:type="dxa"/>
            <w:tcBorders/>
            <w:vAlign w:val="center"/>
          </w:tcPr>
          <w:p>
            <w:pPr>
              <w:jc w:val="right"/>
            </w:pPr>
            <w:r>
              <w:rPr>
                <w:rFonts w:ascii="宋体" w:eastAsia="宋体" w:hAnsi="宋体" w:cs="宋体"/>
                <w:b w:val="0"/>
                <w:i w:val="0"/>
                <w:color w:val="000000"/>
                <w:sz w:val="14"/>
              </w:rPr>
              <w:t xml:space="preserve">1.24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0.08</w:t>
            </w:r>
          </w:p>
        </w:tc>
        <w:tc>
          <w:tcPr>
            <w:tcW w:w="1160" w:type="dxa"/>
            <w:tcBorders/>
            <w:vAlign w:val="center"/>
          </w:tcPr>
          <w:p>
            <w:pPr>
              <w:jc w:val="right"/>
            </w:pPr>
            <w:r>
              <w:rPr>
                <w:rFonts w:ascii="宋体" w:eastAsia="宋体" w:hAnsi="宋体" w:cs="宋体"/>
                <w:b w:val="0"/>
                <w:i w:val="0"/>
                <w:color w:val="000000"/>
                <w:sz w:val="14"/>
              </w:rPr>
              <w:t xml:space="preserve">0.08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8.75</w:t>
            </w:r>
          </w:p>
        </w:tc>
        <w:tc>
          <w:tcPr>
            <w:tcW w:w="1160" w:type="dxa"/>
            <w:tcBorders/>
            <w:vAlign w:val="center"/>
          </w:tcPr>
          <w:p>
            <w:pPr>
              <w:jc w:val="right"/>
            </w:pPr>
            <w:r>
              <w:rPr>
                <w:rFonts w:ascii="宋体" w:eastAsia="宋体" w:hAnsi="宋体" w:cs="宋体"/>
                <w:b w:val="0"/>
                <w:i w:val="0"/>
                <w:color w:val="000000"/>
                <w:sz w:val="14"/>
              </w:rPr>
              <w:t xml:space="preserve">8.75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8.75</w:t>
            </w:r>
          </w:p>
        </w:tc>
        <w:tc>
          <w:tcPr>
            <w:tcW w:w="1160" w:type="dxa"/>
            <w:tcBorders/>
            <w:vAlign w:val="center"/>
          </w:tcPr>
          <w:p>
            <w:pPr>
              <w:jc w:val="right"/>
            </w:pPr>
            <w:r>
              <w:rPr>
                <w:rFonts w:ascii="宋体" w:eastAsia="宋体" w:hAnsi="宋体" w:cs="宋体"/>
                <w:b w:val="0"/>
                <w:i w:val="0"/>
                <w:color w:val="000000"/>
                <w:sz w:val="14"/>
              </w:rPr>
              <w:t xml:space="preserve">8.75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8.75</w:t>
            </w:r>
          </w:p>
        </w:tc>
        <w:tc>
          <w:tcPr>
            <w:tcW w:w="1160" w:type="dxa"/>
            <w:tcBorders/>
            <w:vAlign w:val="center"/>
          </w:tcPr>
          <w:p>
            <w:pPr>
              <w:jc w:val="right"/>
            </w:pPr>
            <w:r>
              <w:rPr>
                <w:rFonts w:ascii="宋体" w:eastAsia="宋体" w:hAnsi="宋体" w:cs="宋体"/>
                <w:b w:val="0"/>
                <w:i w:val="0"/>
                <w:color w:val="000000"/>
                <w:sz w:val="14"/>
              </w:rPr>
              <w:t xml:space="preserve">8.75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部门：中共辽宁省盘锦市双台子区委盘锦市双台子区人民政府信访局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583.35</w:t>
            </w:r>
          </w:p>
        </w:tc>
        <w:tc>
          <w:tcPr>
            <w:tcW w:w="1120" w:type="dxa"/>
            <w:tcBorders/>
            <w:vAlign w:val="center"/>
          </w:tcPr>
          <w:p>
            <w:pPr>
              <w:jc w:val="right"/>
            </w:pPr>
            <w:r>
              <w:rPr>
                <w:rFonts w:ascii="宋体" w:eastAsia="宋体" w:hAnsi="宋体" w:cs="宋体"/>
                <w:b/>
                <w:i w:val="0"/>
                <w:color w:val="000000"/>
                <w:sz w:val="16"/>
              </w:rPr>
              <w:t xml:space="preserve">123.29</w:t>
            </w:r>
          </w:p>
        </w:tc>
        <w:tc>
          <w:tcPr>
            <w:tcW w:w="1120" w:type="dxa"/>
            <w:tcBorders/>
            <w:vAlign w:val="center"/>
          </w:tcPr>
          <w:p>
            <w:pPr>
              <w:jc w:val="right"/>
            </w:pPr>
            <w:r>
              <w:rPr>
                <w:rFonts w:ascii="宋体" w:eastAsia="宋体" w:hAnsi="宋体" w:cs="宋体"/>
                <w:b/>
                <w:i w:val="0"/>
                <w:color w:val="000000"/>
                <w:sz w:val="16"/>
              </w:rPr>
              <w:t xml:space="preserve">460.06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556.81</w:t>
            </w:r>
          </w:p>
        </w:tc>
        <w:tc>
          <w:tcPr>
            <w:tcW w:w="1120" w:type="dxa"/>
            <w:tcBorders/>
            <w:vAlign w:val="center"/>
          </w:tcPr>
          <w:p>
            <w:pPr>
              <w:jc w:val="right"/>
            </w:pPr>
            <w:r>
              <w:rPr>
                <w:rFonts w:ascii="宋体" w:eastAsia="宋体" w:hAnsi="宋体" w:cs="宋体"/>
                <w:b w:val="0"/>
                <w:i w:val="0"/>
                <w:color w:val="000000"/>
                <w:sz w:val="16"/>
              </w:rPr>
              <w:t xml:space="preserve">96.75</w:t>
            </w:r>
          </w:p>
        </w:tc>
        <w:tc>
          <w:tcPr>
            <w:tcW w:w="1120" w:type="dxa"/>
            <w:tcBorders/>
            <w:vAlign w:val="center"/>
          </w:tcPr>
          <w:p>
            <w:pPr>
              <w:jc w:val="right"/>
            </w:pPr>
            <w:r>
              <w:rPr>
                <w:rFonts w:ascii="宋体" w:eastAsia="宋体" w:hAnsi="宋体" w:cs="宋体"/>
                <w:b w:val="0"/>
                <w:i w:val="0"/>
                <w:color w:val="000000"/>
                <w:sz w:val="16"/>
              </w:rPr>
              <w:t xml:space="preserve">460.06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556.81</w:t>
            </w:r>
          </w:p>
        </w:tc>
        <w:tc>
          <w:tcPr>
            <w:tcW w:w="1120" w:type="dxa"/>
            <w:tcBorders/>
            <w:vAlign w:val="center"/>
          </w:tcPr>
          <w:p>
            <w:pPr>
              <w:jc w:val="right"/>
            </w:pPr>
            <w:r>
              <w:rPr>
                <w:rFonts w:ascii="宋体" w:eastAsia="宋体" w:hAnsi="宋体" w:cs="宋体"/>
                <w:b w:val="0"/>
                <w:i w:val="0"/>
                <w:color w:val="000000"/>
                <w:sz w:val="16"/>
              </w:rPr>
              <w:t xml:space="preserve">96.75</w:t>
            </w:r>
          </w:p>
        </w:tc>
        <w:tc>
          <w:tcPr>
            <w:tcW w:w="1120" w:type="dxa"/>
            <w:tcBorders/>
            <w:vAlign w:val="center"/>
          </w:tcPr>
          <w:p>
            <w:pPr>
              <w:jc w:val="right"/>
            </w:pPr>
            <w:r>
              <w:rPr>
                <w:rFonts w:ascii="宋体" w:eastAsia="宋体" w:hAnsi="宋体" w:cs="宋体"/>
                <w:b w:val="0"/>
                <w:i w:val="0"/>
                <w:color w:val="000000"/>
                <w:sz w:val="16"/>
              </w:rPr>
              <w:t xml:space="preserve">460.06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75.97</w:t>
            </w:r>
          </w:p>
        </w:tc>
        <w:tc>
          <w:tcPr>
            <w:tcW w:w="1120" w:type="dxa"/>
            <w:tcBorders/>
            <w:vAlign w:val="center"/>
          </w:tcPr>
          <w:p>
            <w:pPr>
              <w:jc w:val="right"/>
            </w:pPr>
            <w:r>
              <w:rPr>
                <w:rFonts w:ascii="宋体" w:eastAsia="宋体" w:hAnsi="宋体" w:cs="宋体"/>
                <w:b w:val="0"/>
                <w:i w:val="0"/>
                <w:color w:val="000000"/>
                <w:sz w:val="16"/>
              </w:rPr>
              <w:t xml:space="preserve">75.97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信访事务</w:t>
            </w:r>
          </w:p>
        </w:tc>
        <w:tc>
          <w:tcPr>
            <w:tcW w:w="1120" w:type="dxa"/>
            <w:tcBorders/>
            <w:vAlign w:val="center"/>
          </w:tcPr>
          <w:p>
            <w:pPr>
              <w:jc w:val="right"/>
            </w:pPr>
            <w:r>
              <w:rPr>
                <w:rFonts w:ascii="宋体" w:eastAsia="宋体" w:hAnsi="宋体" w:cs="宋体"/>
                <w:b w:val="0"/>
                <w:i w:val="0"/>
                <w:color w:val="000000"/>
                <w:sz w:val="16"/>
              </w:rPr>
              <w:t xml:space="preserve">210.45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210.45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20.78</w:t>
            </w:r>
          </w:p>
        </w:tc>
        <w:tc>
          <w:tcPr>
            <w:tcW w:w="1120" w:type="dxa"/>
            <w:tcBorders/>
            <w:vAlign w:val="center"/>
          </w:tcPr>
          <w:p>
            <w:pPr>
              <w:jc w:val="right"/>
            </w:pPr>
            <w:r>
              <w:rPr>
                <w:rFonts w:ascii="宋体" w:eastAsia="宋体" w:hAnsi="宋体" w:cs="宋体"/>
                <w:b w:val="0"/>
                <w:i w:val="0"/>
                <w:color w:val="000000"/>
                <w:sz w:val="16"/>
              </w:rPr>
              <w:t xml:space="preserve">20.78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其他政府办公厅（室）及相关机构事务支出</w:t>
            </w:r>
          </w:p>
        </w:tc>
        <w:tc>
          <w:tcPr>
            <w:tcW w:w="1120" w:type="dxa"/>
            <w:tcBorders/>
            <w:vAlign w:val="center"/>
          </w:tcPr>
          <w:p>
            <w:pPr>
              <w:jc w:val="right"/>
            </w:pPr>
            <w:r>
              <w:rPr>
                <w:rFonts w:ascii="宋体" w:eastAsia="宋体" w:hAnsi="宋体" w:cs="宋体"/>
                <w:b w:val="0"/>
                <w:i w:val="0"/>
                <w:color w:val="000000"/>
                <w:sz w:val="16"/>
              </w:rPr>
              <w:t xml:space="preserve">249.61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249.61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12.96</w:t>
            </w:r>
          </w:p>
        </w:tc>
        <w:tc>
          <w:tcPr>
            <w:tcW w:w="1120" w:type="dxa"/>
            <w:tcBorders/>
            <w:vAlign w:val="center"/>
          </w:tcPr>
          <w:p>
            <w:pPr>
              <w:jc w:val="right"/>
            </w:pPr>
            <w:r>
              <w:rPr>
                <w:rFonts w:ascii="宋体" w:eastAsia="宋体" w:hAnsi="宋体" w:cs="宋体"/>
                <w:b w:val="0"/>
                <w:i w:val="0"/>
                <w:color w:val="000000"/>
                <w:sz w:val="16"/>
              </w:rPr>
              <w:t xml:space="preserve">12.96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12.61</w:t>
            </w:r>
          </w:p>
        </w:tc>
        <w:tc>
          <w:tcPr>
            <w:tcW w:w="1120" w:type="dxa"/>
            <w:tcBorders/>
            <w:vAlign w:val="center"/>
          </w:tcPr>
          <w:p>
            <w:pPr>
              <w:jc w:val="right"/>
            </w:pPr>
            <w:r>
              <w:rPr>
                <w:rFonts w:ascii="宋体" w:eastAsia="宋体" w:hAnsi="宋体" w:cs="宋体"/>
                <w:b w:val="0"/>
                <w:i w:val="0"/>
                <w:color w:val="000000"/>
                <w:sz w:val="16"/>
              </w:rPr>
              <w:t xml:space="preserve">12.61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0.04</w:t>
            </w:r>
          </w:p>
        </w:tc>
        <w:tc>
          <w:tcPr>
            <w:tcW w:w="1120" w:type="dxa"/>
            <w:tcBorders/>
            <w:vAlign w:val="center"/>
          </w:tcPr>
          <w:p>
            <w:pPr>
              <w:jc w:val="right"/>
            </w:pPr>
            <w:r>
              <w:rPr>
                <w:rFonts w:ascii="宋体" w:eastAsia="宋体" w:hAnsi="宋体" w:cs="宋体"/>
                <w:b w:val="0"/>
                <w:i w:val="0"/>
                <w:color w:val="000000"/>
                <w:sz w:val="16"/>
              </w:rPr>
              <w:t xml:space="preserve">0.04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12.57</w:t>
            </w:r>
          </w:p>
        </w:tc>
        <w:tc>
          <w:tcPr>
            <w:tcW w:w="1120" w:type="dxa"/>
            <w:tcBorders/>
            <w:vAlign w:val="center"/>
          </w:tcPr>
          <w:p>
            <w:pPr>
              <w:jc w:val="right"/>
            </w:pPr>
            <w:r>
              <w:rPr>
                <w:rFonts w:ascii="宋体" w:eastAsia="宋体" w:hAnsi="宋体" w:cs="宋体"/>
                <w:b w:val="0"/>
                <w:i w:val="0"/>
                <w:color w:val="000000"/>
                <w:sz w:val="16"/>
              </w:rPr>
              <w:t xml:space="preserve">12.57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0.35</w:t>
            </w:r>
          </w:p>
        </w:tc>
        <w:tc>
          <w:tcPr>
            <w:tcW w:w="1120" w:type="dxa"/>
            <w:tcBorders/>
            <w:vAlign w:val="center"/>
          </w:tcPr>
          <w:p>
            <w:pPr>
              <w:jc w:val="right"/>
            </w:pPr>
            <w:r>
              <w:rPr>
                <w:rFonts w:ascii="宋体" w:eastAsia="宋体" w:hAnsi="宋体" w:cs="宋体"/>
                <w:b w:val="0"/>
                <w:i w:val="0"/>
                <w:color w:val="000000"/>
                <w:sz w:val="16"/>
              </w:rPr>
              <w:t xml:space="preserve">0.35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0.35</w:t>
            </w:r>
          </w:p>
        </w:tc>
        <w:tc>
          <w:tcPr>
            <w:tcW w:w="1120" w:type="dxa"/>
            <w:tcBorders/>
            <w:vAlign w:val="center"/>
          </w:tcPr>
          <w:p>
            <w:pPr>
              <w:jc w:val="right"/>
            </w:pPr>
            <w:r>
              <w:rPr>
                <w:rFonts w:ascii="宋体" w:eastAsia="宋体" w:hAnsi="宋体" w:cs="宋体"/>
                <w:b w:val="0"/>
                <w:i w:val="0"/>
                <w:color w:val="000000"/>
                <w:sz w:val="16"/>
              </w:rPr>
              <w:t xml:space="preserve">0.35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4.84</w:t>
            </w:r>
          </w:p>
        </w:tc>
        <w:tc>
          <w:tcPr>
            <w:tcW w:w="1120" w:type="dxa"/>
            <w:tcBorders/>
            <w:vAlign w:val="center"/>
          </w:tcPr>
          <w:p>
            <w:pPr>
              <w:jc w:val="right"/>
            </w:pPr>
            <w:r>
              <w:rPr>
                <w:rFonts w:ascii="宋体" w:eastAsia="宋体" w:hAnsi="宋体" w:cs="宋体"/>
                <w:b w:val="0"/>
                <w:i w:val="0"/>
                <w:color w:val="000000"/>
                <w:sz w:val="16"/>
              </w:rPr>
              <w:t xml:space="preserve">4.84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4.84</w:t>
            </w:r>
          </w:p>
        </w:tc>
        <w:tc>
          <w:tcPr>
            <w:tcW w:w="1120" w:type="dxa"/>
            <w:tcBorders/>
            <w:vAlign w:val="center"/>
          </w:tcPr>
          <w:p>
            <w:pPr>
              <w:jc w:val="right"/>
            </w:pPr>
            <w:r>
              <w:rPr>
                <w:rFonts w:ascii="宋体" w:eastAsia="宋体" w:hAnsi="宋体" w:cs="宋体"/>
                <w:b w:val="0"/>
                <w:i w:val="0"/>
                <w:color w:val="000000"/>
                <w:sz w:val="16"/>
              </w:rPr>
              <w:t xml:space="preserve">4.84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3.52</w:t>
            </w:r>
          </w:p>
        </w:tc>
        <w:tc>
          <w:tcPr>
            <w:tcW w:w="1120" w:type="dxa"/>
            <w:tcBorders/>
            <w:vAlign w:val="center"/>
          </w:tcPr>
          <w:p>
            <w:pPr>
              <w:jc w:val="right"/>
            </w:pPr>
            <w:r>
              <w:rPr>
                <w:rFonts w:ascii="宋体" w:eastAsia="宋体" w:hAnsi="宋体" w:cs="宋体"/>
                <w:b w:val="0"/>
                <w:i w:val="0"/>
                <w:color w:val="000000"/>
                <w:sz w:val="16"/>
              </w:rPr>
              <w:t xml:space="preserve">3.52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1.24</w:t>
            </w:r>
          </w:p>
        </w:tc>
        <w:tc>
          <w:tcPr>
            <w:tcW w:w="1120" w:type="dxa"/>
            <w:tcBorders/>
            <w:vAlign w:val="center"/>
          </w:tcPr>
          <w:p>
            <w:pPr>
              <w:jc w:val="right"/>
            </w:pPr>
            <w:r>
              <w:rPr>
                <w:rFonts w:ascii="宋体" w:eastAsia="宋体" w:hAnsi="宋体" w:cs="宋体"/>
                <w:b w:val="0"/>
                <w:i w:val="0"/>
                <w:color w:val="000000"/>
                <w:sz w:val="16"/>
              </w:rPr>
              <w:t xml:space="preserve">1.24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0.08</w:t>
            </w:r>
          </w:p>
        </w:tc>
        <w:tc>
          <w:tcPr>
            <w:tcW w:w="1120" w:type="dxa"/>
            <w:tcBorders/>
            <w:vAlign w:val="center"/>
          </w:tcPr>
          <w:p>
            <w:pPr>
              <w:jc w:val="right"/>
            </w:pPr>
            <w:r>
              <w:rPr>
                <w:rFonts w:ascii="宋体" w:eastAsia="宋体" w:hAnsi="宋体" w:cs="宋体"/>
                <w:b w:val="0"/>
                <w:i w:val="0"/>
                <w:color w:val="000000"/>
                <w:sz w:val="16"/>
              </w:rPr>
              <w:t xml:space="preserve">0.08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8.75</w:t>
            </w:r>
          </w:p>
        </w:tc>
        <w:tc>
          <w:tcPr>
            <w:tcW w:w="1120" w:type="dxa"/>
            <w:tcBorders/>
            <w:vAlign w:val="center"/>
          </w:tcPr>
          <w:p>
            <w:pPr>
              <w:jc w:val="right"/>
            </w:pPr>
            <w:r>
              <w:rPr>
                <w:rFonts w:ascii="宋体" w:eastAsia="宋体" w:hAnsi="宋体" w:cs="宋体"/>
                <w:b w:val="0"/>
                <w:i w:val="0"/>
                <w:color w:val="000000"/>
                <w:sz w:val="16"/>
              </w:rPr>
              <w:t xml:space="preserve">8.75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8.75</w:t>
            </w:r>
          </w:p>
        </w:tc>
        <w:tc>
          <w:tcPr>
            <w:tcW w:w="1120" w:type="dxa"/>
            <w:tcBorders/>
            <w:vAlign w:val="center"/>
          </w:tcPr>
          <w:p>
            <w:pPr>
              <w:jc w:val="right"/>
            </w:pPr>
            <w:r>
              <w:rPr>
                <w:rFonts w:ascii="宋体" w:eastAsia="宋体" w:hAnsi="宋体" w:cs="宋体"/>
                <w:b w:val="0"/>
                <w:i w:val="0"/>
                <w:color w:val="000000"/>
                <w:sz w:val="16"/>
              </w:rPr>
              <w:t xml:space="preserve">8.75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8.75</w:t>
            </w:r>
          </w:p>
        </w:tc>
        <w:tc>
          <w:tcPr>
            <w:tcW w:w="1120" w:type="dxa"/>
            <w:tcBorders/>
            <w:vAlign w:val="center"/>
          </w:tcPr>
          <w:p>
            <w:pPr>
              <w:jc w:val="right"/>
            </w:pPr>
            <w:r>
              <w:rPr>
                <w:rFonts w:ascii="宋体" w:eastAsia="宋体" w:hAnsi="宋体" w:cs="宋体"/>
                <w:b w:val="0"/>
                <w:i w:val="0"/>
                <w:color w:val="000000"/>
                <w:sz w:val="16"/>
              </w:rPr>
              <w:t xml:space="preserve">8.75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部门：中共辽宁省盘锦市双台子区委盘锦市双台子区人民政府信访局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583.35</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556.81</w:t>
            </w:r>
          </w:p>
        </w:tc>
        <w:tc>
          <w:tcPr>
            <w:tcW w:w="1100" w:type="dxa"/>
            <w:tcBorders/>
            <w:vAlign w:val="center"/>
          </w:tcPr>
          <w:p>
            <w:pPr>
              <w:jc w:val="right"/>
            </w:pPr>
            <w:r>
              <w:rPr>
                <w:rFonts w:ascii="宋体" w:eastAsia="宋体" w:hAnsi="宋体" w:cs="宋体"/>
                <w:b w:val="0"/>
                <w:i w:val="0"/>
                <w:color w:val="000000"/>
                <w:sz w:val="14"/>
              </w:rPr>
              <w:t xml:space="preserve">556.81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12.96</w:t>
            </w:r>
          </w:p>
        </w:tc>
        <w:tc>
          <w:tcPr>
            <w:tcW w:w="1100" w:type="dxa"/>
            <w:tcBorders/>
            <w:vAlign w:val="center"/>
          </w:tcPr>
          <w:p>
            <w:pPr>
              <w:jc w:val="right"/>
            </w:pPr>
            <w:r>
              <w:rPr>
                <w:rFonts w:ascii="宋体" w:eastAsia="宋体" w:hAnsi="宋体" w:cs="宋体"/>
                <w:b w:val="0"/>
                <w:i w:val="0"/>
                <w:color w:val="000000"/>
                <w:sz w:val="14"/>
              </w:rPr>
              <w:t xml:space="preserve">12.96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4.83</w:t>
            </w:r>
          </w:p>
        </w:tc>
        <w:tc>
          <w:tcPr>
            <w:tcW w:w="1100" w:type="dxa"/>
            <w:tcBorders/>
            <w:vAlign w:val="center"/>
          </w:tcPr>
          <w:p>
            <w:pPr>
              <w:jc w:val="right"/>
            </w:pPr>
            <w:r>
              <w:rPr>
                <w:rFonts w:ascii="宋体" w:eastAsia="宋体" w:hAnsi="宋体" w:cs="宋体"/>
                <w:b w:val="0"/>
                <w:i w:val="0"/>
                <w:color w:val="000000"/>
                <w:sz w:val="14"/>
              </w:rPr>
              <w:t xml:space="preserve">4.83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8.75</w:t>
            </w:r>
          </w:p>
        </w:tc>
        <w:tc>
          <w:tcPr>
            <w:tcW w:w="1100" w:type="dxa"/>
            <w:tcBorders/>
            <w:vAlign w:val="center"/>
          </w:tcPr>
          <w:p>
            <w:pPr>
              <w:jc w:val="right"/>
            </w:pPr>
            <w:r>
              <w:rPr>
                <w:rFonts w:ascii="宋体" w:eastAsia="宋体" w:hAnsi="宋体" w:cs="宋体"/>
                <w:b w:val="0"/>
                <w:i w:val="0"/>
                <w:color w:val="000000"/>
                <w:sz w:val="14"/>
              </w:rPr>
              <w:t xml:space="preserve">8.75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583.35</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583.35</w:t>
            </w:r>
          </w:p>
        </w:tc>
        <w:tc>
          <w:tcPr>
            <w:tcW w:w="1100" w:type="dxa"/>
            <w:tcBorders/>
            <w:vAlign w:val="center"/>
          </w:tcPr>
          <w:p>
            <w:pPr>
              <w:jc w:val="right"/>
            </w:pPr>
            <w:r>
              <w:rPr>
                <w:rFonts w:ascii="宋体" w:eastAsia="宋体" w:hAnsi="宋体" w:cs="宋体"/>
                <w:b w:val="0"/>
                <w:i w:val="0"/>
                <w:color w:val="000000"/>
                <w:sz w:val="14"/>
              </w:rPr>
              <w:t xml:space="preserve">583.35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jc w:val="right"/>
            </w:pPr>
            <w:r>
              <w:rPr>
                <w:rFonts w:ascii="宋体" w:eastAsia="宋体" w:hAnsi="宋体" w:cs="宋体"/>
                <w:b w:val="0"/>
                <w:i w:val="0"/>
                <w:color w:val="000000"/>
                <w:sz w:val="14"/>
              </w:rPr>
              <w:t xml:space="preserve">0.01</w:t>
            </w: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jc w:val="right"/>
            </w:pPr>
            <w:r>
              <w:rPr>
                <w:rFonts w:ascii="宋体" w:eastAsia="宋体" w:hAnsi="宋体" w:cs="宋体"/>
                <w:b w:val="0"/>
                <w:i w:val="0"/>
                <w:color w:val="000000"/>
                <w:sz w:val="14"/>
              </w:rPr>
              <w:t xml:space="preserve">0.01</w:t>
            </w:r>
          </w:p>
        </w:tc>
        <w:tc>
          <w:tcPr>
            <w:tcW w:w="1100" w:type="dxa"/>
            <w:tcBorders/>
            <w:vAlign w:val="center"/>
          </w:tcPr>
          <w:p>
            <w:pPr>
              <w:jc w:val="right"/>
            </w:pPr>
            <w:r>
              <w:rPr>
                <w:rFonts w:ascii="宋体" w:eastAsia="宋体" w:hAnsi="宋体" w:cs="宋体"/>
                <w:b w:val="0"/>
                <w:i w:val="0"/>
                <w:color w:val="000000"/>
                <w:sz w:val="14"/>
              </w:rPr>
              <w:t xml:space="preserve">0.01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jc w:val="right"/>
            </w:pPr>
            <w:r>
              <w:rPr>
                <w:rFonts w:ascii="宋体" w:eastAsia="宋体" w:hAnsi="宋体" w:cs="宋体"/>
                <w:b w:val="0"/>
                <w:i w:val="0"/>
                <w:color w:val="000000"/>
                <w:sz w:val="14"/>
              </w:rPr>
              <w:t xml:space="preserve">0.01</w:t>
            </w: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583.36</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583.36</w:t>
            </w:r>
          </w:p>
        </w:tc>
        <w:tc>
          <w:tcPr>
            <w:tcW w:w="1100" w:type="dxa"/>
            <w:tcBorders/>
            <w:vAlign w:val="center"/>
          </w:tcPr>
          <w:p>
            <w:pPr>
              <w:jc w:val="right"/>
            </w:pPr>
            <w:r>
              <w:rPr>
                <w:rFonts w:ascii="宋体" w:eastAsia="宋体" w:hAnsi="宋体" w:cs="宋体"/>
                <w:b w:val="0"/>
                <w:i w:val="0"/>
                <w:color w:val="000000"/>
                <w:sz w:val="14"/>
              </w:rPr>
              <w:t xml:space="preserve">583.36</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部门：中共辽宁省盘锦市双台子区委盘锦市双台子区人民政府信访局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583.35</w:t>
            </w:r>
          </w:p>
        </w:tc>
        <w:tc>
          <w:tcPr>
            <w:tcW w:w="1980" w:type="dxa"/>
            <w:tcBorders/>
            <w:vAlign w:val="center"/>
          </w:tcPr>
          <w:p>
            <w:pPr>
              <w:jc w:val="right"/>
            </w:pPr>
            <w:r>
              <w:rPr>
                <w:rFonts w:ascii="宋体" w:eastAsia="宋体" w:hAnsi="宋体" w:cs="宋体"/>
                <w:b/>
                <w:i w:val="0"/>
                <w:color w:val="000000"/>
                <w:sz w:val="20"/>
              </w:rPr>
              <w:t xml:space="preserve">123.29</w:t>
            </w:r>
          </w:p>
        </w:tc>
        <w:tc>
          <w:tcPr>
            <w:tcW w:w="1952" w:type="dxa"/>
            <w:tcBorders/>
            <w:vAlign w:val="center"/>
          </w:tcPr>
          <w:p>
            <w:pPr>
              <w:jc w:val="right"/>
            </w:pPr>
            <w:r>
              <w:rPr>
                <w:rFonts w:ascii="宋体" w:eastAsia="宋体" w:hAnsi="宋体" w:cs="宋体"/>
                <w:b/>
                <w:i w:val="0"/>
                <w:color w:val="000000"/>
                <w:sz w:val="20"/>
              </w:rPr>
              <w:t xml:space="preserve">460.06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556.81</w:t>
            </w:r>
          </w:p>
        </w:tc>
        <w:tc>
          <w:tcPr>
            <w:tcW w:w="1980" w:type="dxa"/>
            <w:tcBorders/>
            <w:vAlign w:val="center"/>
          </w:tcPr>
          <w:p>
            <w:pPr>
              <w:jc w:val="right"/>
            </w:pPr>
            <w:r>
              <w:rPr>
                <w:rFonts w:ascii="宋体" w:eastAsia="宋体" w:hAnsi="宋体" w:cs="宋体"/>
                <w:b w:val="0"/>
                <w:i w:val="0"/>
                <w:color w:val="000000"/>
                <w:sz w:val="20"/>
              </w:rPr>
              <w:t xml:space="preserve">96.75</w:t>
            </w:r>
          </w:p>
        </w:tc>
        <w:tc>
          <w:tcPr>
            <w:tcW w:w="1952" w:type="dxa"/>
            <w:tcBorders/>
            <w:vAlign w:val="center"/>
          </w:tcPr>
          <w:p>
            <w:pPr>
              <w:jc w:val="right"/>
            </w:pPr>
            <w:r>
              <w:rPr>
                <w:rFonts w:ascii="宋体" w:eastAsia="宋体" w:hAnsi="宋体" w:cs="宋体"/>
                <w:b w:val="0"/>
                <w:i w:val="0"/>
                <w:color w:val="000000"/>
                <w:sz w:val="20"/>
              </w:rPr>
              <w:t xml:space="preserve">460.06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556.81</w:t>
            </w:r>
          </w:p>
        </w:tc>
        <w:tc>
          <w:tcPr>
            <w:tcW w:w="1980" w:type="dxa"/>
            <w:tcBorders/>
            <w:vAlign w:val="center"/>
          </w:tcPr>
          <w:p>
            <w:pPr>
              <w:jc w:val="right"/>
            </w:pPr>
            <w:r>
              <w:rPr>
                <w:rFonts w:ascii="宋体" w:eastAsia="宋体" w:hAnsi="宋体" w:cs="宋体"/>
                <w:b w:val="0"/>
                <w:i w:val="0"/>
                <w:color w:val="000000"/>
                <w:sz w:val="20"/>
              </w:rPr>
              <w:t xml:space="preserve">96.75</w:t>
            </w:r>
          </w:p>
        </w:tc>
        <w:tc>
          <w:tcPr>
            <w:tcW w:w="1952" w:type="dxa"/>
            <w:tcBorders/>
            <w:vAlign w:val="center"/>
          </w:tcPr>
          <w:p>
            <w:pPr>
              <w:jc w:val="right"/>
            </w:pPr>
            <w:r>
              <w:rPr>
                <w:rFonts w:ascii="宋体" w:eastAsia="宋体" w:hAnsi="宋体" w:cs="宋体"/>
                <w:b w:val="0"/>
                <w:i w:val="0"/>
                <w:color w:val="000000"/>
                <w:sz w:val="20"/>
              </w:rPr>
              <w:t xml:space="preserve">460.06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75.97</w:t>
            </w:r>
          </w:p>
        </w:tc>
        <w:tc>
          <w:tcPr>
            <w:tcW w:w="1980" w:type="dxa"/>
            <w:tcBorders/>
            <w:vAlign w:val="center"/>
          </w:tcPr>
          <w:p>
            <w:pPr>
              <w:jc w:val="right"/>
            </w:pPr>
            <w:r>
              <w:rPr>
                <w:rFonts w:ascii="宋体" w:eastAsia="宋体" w:hAnsi="宋体" w:cs="宋体"/>
                <w:b w:val="0"/>
                <w:i w:val="0"/>
                <w:color w:val="000000"/>
                <w:sz w:val="20"/>
              </w:rPr>
              <w:t xml:space="preserve">75.97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信访事务</w:t>
            </w:r>
          </w:p>
        </w:tc>
        <w:tc>
          <w:tcPr>
            <w:tcW w:w="1980" w:type="dxa"/>
            <w:tcBorders/>
            <w:vAlign w:val="center"/>
          </w:tcPr>
          <w:p>
            <w:pPr>
              <w:jc w:val="right"/>
            </w:pPr>
            <w:r>
              <w:rPr>
                <w:rFonts w:ascii="宋体" w:eastAsia="宋体" w:hAnsi="宋体" w:cs="宋体"/>
                <w:b w:val="0"/>
                <w:i w:val="0"/>
                <w:color w:val="000000"/>
                <w:sz w:val="20"/>
              </w:rPr>
              <w:t xml:space="preserve">210.45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210.45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20.78</w:t>
            </w:r>
          </w:p>
        </w:tc>
        <w:tc>
          <w:tcPr>
            <w:tcW w:w="1980" w:type="dxa"/>
            <w:tcBorders/>
            <w:vAlign w:val="center"/>
          </w:tcPr>
          <w:p>
            <w:pPr>
              <w:jc w:val="right"/>
            </w:pPr>
            <w:r>
              <w:rPr>
                <w:rFonts w:ascii="宋体" w:eastAsia="宋体" w:hAnsi="宋体" w:cs="宋体"/>
                <w:b w:val="0"/>
                <w:i w:val="0"/>
                <w:color w:val="000000"/>
                <w:sz w:val="20"/>
              </w:rPr>
              <w:t xml:space="preserve">20.78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其他政府办公厅（室）及相关机构事务支出</w:t>
            </w:r>
          </w:p>
        </w:tc>
        <w:tc>
          <w:tcPr>
            <w:tcW w:w="1980" w:type="dxa"/>
            <w:tcBorders/>
            <w:vAlign w:val="center"/>
          </w:tcPr>
          <w:p>
            <w:pPr>
              <w:jc w:val="right"/>
            </w:pPr>
            <w:r>
              <w:rPr>
                <w:rFonts w:ascii="宋体" w:eastAsia="宋体" w:hAnsi="宋体" w:cs="宋体"/>
                <w:b w:val="0"/>
                <w:i w:val="0"/>
                <w:color w:val="000000"/>
                <w:sz w:val="20"/>
              </w:rPr>
              <w:t xml:space="preserve">249.61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249.61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党委办公厅（室）及相关机构事务</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12.96</w:t>
            </w:r>
          </w:p>
        </w:tc>
        <w:tc>
          <w:tcPr>
            <w:tcW w:w="1980" w:type="dxa"/>
            <w:tcBorders/>
            <w:vAlign w:val="center"/>
          </w:tcPr>
          <w:p>
            <w:pPr>
              <w:jc w:val="right"/>
            </w:pPr>
            <w:r>
              <w:rPr>
                <w:rFonts w:ascii="宋体" w:eastAsia="宋体" w:hAnsi="宋体" w:cs="宋体"/>
                <w:b w:val="0"/>
                <w:i w:val="0"/>
                <w:color w:val="000000"/>
                <w:sz w:val="20"/>
              </w:rPr>
              <w:t xml:space="preserve">12.96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12.61</w:t>
            </w:r>
          </w:p>
        </w:tc>
        <w:tc>
          <w:tcPr>
            <w:tcW w:w="1980" w:type="dxa"/>
            <w:tcBorders/>
            <w:vAlign w:val="center"/>
          </w:tcPr>
          <w:p>
            <w:pPr>
              <w:jc w:val="right"/>
            </w:pPr>
            <w:r>
              <w:rPr>
                <w:rFonts w:ascii="宋体" w:eastAsia="宋体" w:hAnsi="宋体" w:cs="宋体"/>
                <w:b w:val="0"/>
                <w:i w:val="0"/>
                <w:color w:val="000000"/>
                <w:sz w:val="20"/>
              </w:rPr>
              <w:t xml:space="preserve">12.61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0.04</w:t>
            </w:r>
          </w:p>
        </w:tc>
        <w:tc>
          <w:tcPr>
            <w:tcW w:w="1980" w:type="dxa"/>
            <w:tcBorders/>
            <w:vAlign w:val="center"/>
          </w:tcPr>
          <w:p>
            <w:pPr>
              <w:jc w:val="right"/>
            </w:pPr>
            <w:r>
              <w:rPr>
                <w:rFonts w:ascii="宋体" w:eastAsia="宋体" w:hAnsi="宋体" w:cs="宋体"/>
                <w:b w:val="0"/>
                <w:i w:val="0"/>
                <w:color w:val="000000"/>
                <w:sz w:val="20"/>
              </w:rPr>
              <w:t xml:space="preserve">0.04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12.57</w:t>
            </w:r>
          </w:p>
        </w:tc>
        <w:tc>
          <w:tcPr>
            <w:tcW w:w="1980" w:type="dxa"/>
            <w:tcBorders/>
            <w:vAlign w:val="center"/>
          </w:tcPr>
          <w:p>
            <w:pPr>
              <w:jc w:val="right"/>
            </w:pPr>
            <w:r>
              <w:rPr>
                <w:rFonts w:ascii="宋体" w:eastAsia="宋体" w:hAnsi="宋体" w:cs="宋体"/>
                <w:b w:val="0"/>
                <w:i w:val="0"/>
                <w:color w:val="000000"/>
                <w:sz w:val="20"/>
              </w:rPr>
              <w:t xml:space="preserve">12.57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0.35</w:t>
            </w:r>
          </w:p>
        </w:tc>
        <w:tc>
          <w:tcPr>
            <w:tcW w:w="1980" w:type="dxa"/>
            <w:tcBorders/>
            <w:vAlign w:val="center"/>
          </w:tcPr>
          <w:p>
            <w:pPr>
              <w:jc w:val="right"/>
            </w:pPr>
            <w:r>
              <w:rPr>
                <w:rFonts w:ascii="宋体" w:eastAsia="宋体" w:hAnsi="宋体" w:cs="宋体"/>
                <w:b w:val="0"/>
                <w:i w:val="0"/>
                <w:color w:val="000000"/>
                <w:sz w:val="20"/>
              </w:rPr>
              <w:t xml:space="preserve">0.35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0.35</w:t>
            </w:r>
          </w:p>
        </w:tc>
        <w:tc>
          <w:tcPr>
            <w:tcW w:w="1980" w:type="dxa"/>
            <w:tcBorders/>
            <w:vAlign w:val="center"/>
          </w:tcPr>
          <w:p>
            <w:pPr>
              <w:jc w:val="right"/>
            </w:pPr>
            <w:r>
              <w:rPr>
                <w:rFonts w:ascii="宋体" w:eastAsia="宋体" w:hAnsi="宋体" w:cs="宋体"/>
                <w:b w:val="0"/>
                <w:i w:val="0"/>
                <w:color w:val="000000"/>
                <w:sz w:val="20"/>
              </w:rPr>
              <w:t xml:space="preserve">0.35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4.84</w:t>
            </w:r>
          </w:p>
        </w:tc>
        <w:tc>
          <w:tcPr>
            <w:tcW w:w="1980" w:type="dxa"/>
            <w:tcBorders/>
            <w:vAlign w:val="center"/>
          </w:tcPr>
          <w:p>
            <w:pPr>
              <w:jc w:val="right"/>
            </w:pPr>
            <w:r>
              <w:rPr>
                <w:rFonts w:ascii="宋体" w:eastAsia="宋体" w:hAnsi="宋体" w:cs="宋体"/>
                <w:b w:val="0"/>
                <w:i w:val="0"/>
                <w:color w:val="000000"/>
                <w:sz w:val="20"/>
              </w:rPr>
              <w:t xml:space="preserve">4.84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4.84</w:t>
            </w:r>
          </w:p>
        </w:tc>
        <w:tc>
          <w:tcPr>
            <w:tcW w:w="1980" w:type="dxa"/>
            <w:tcBorders/>
            <w:vAlign w:val="center"/>
          </w:tcPr>
          <w:p>
            <w:pPr>
              <w:jc w:val="right"/>
            </w:pPr>
            <w:r>
              <w:rPr>
                <w:rFonts w:ascii="宋体" w:eastAsia="宋体" w:hAnsi="宋体" w:cs="宋体"/>
                <w:b w:val="0"/>
                <w:i w:val="0"/>
                <w:color w:val="000000"/>
                <w:sz w:val="20"/>
              </w:rPr>
              <w:t xml:space="preserve">4.84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3.52</w:t>
            </w:r>
          </w:p>
        </w:tc>
        <w:tc>
          <w:tcPr>
            <w:tcW w:w="1980" w:type="dxa"/>
            <w:tcBorders/>
            <w:vAlign w:val="center"/>
          </w:tcPr>
          <w:p>
            <w:pPr>
              <w:jc w:val="right"/>
            </w:pPr>
            <w:r>
              <w:rPr>
                <w:rFonts w:ascii="宋体" w:eastAsia="宋体" w:hAnsi="宋体" w:cs="宋体"/>
                <w:b w:val="0"/>
                <w:i w:val="0"/>
                <w:color w:val="000000"/>
                <w:sz w:val="20"/>
              </w:rPr>
              <w:t xml:space="preserve">3.52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1.24</w:t>
            </w:r>
          </w:p>
        </w:tc>
        <w:tc>
          <w:tcPr>
            <w:tcW w:w="1980" w:type="dxa"/>
            <w:tcBorders/>
            <w:vAlign w:val="center"/>
          </w:tcPr>
          <w:p>
            <w:pPr>
              <w:jc w:val="right"/>
            </w:pPr>
            <w:r>
              <w:rPr>
                <w:rFonts w:ascii="宋体" w:eastAsia="宋体" w:hAnsi="宋体" w:cs="宋体"/>
                <w:b w:val="0"/>
                <w:i w:val="0"/>
                <w:color w:val="000000"/>
                <w:sz w:val="20"/>
              </w:rPr>
              <w:t xml:space="preserve">1.24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0.08</w:t>
            </w:r>
          </w:p>
        </w:tc>
        <w:tc>
          <w:tcPr>
            <w:tcW w:w="1980" w:type="dxa"/>
            <w:tcBorders/>
            <w:vAlign w:val="center"/>
          </w:tcPr>
          <w:p>
            <w:pPr>
              <w:jc w:val="right"/>
            </w:pPr>
            <w:r>
              <w:rPr>
                <w:rFonts w:ascii="宋体" w:eastAsia="宋体" w:hAnsi="宋体" w:cs="宋体"/>
                <w:b w:val="0"/>
                <w:i w:val="0"/>
                <w:color w:val="000000"/>
                <w:sz w:val="20"/>
              </w:rPr>
              <w:t xml:space="preserve">0.08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8.75</w:t>
            </w:r>
          </w:p>
        </w:tc>
        <w:tc>
          <w:tcPr>
            <w:tcW w:w="1980" w:type="dxa"/>
            <w:tcBorders/>
            <w:vAlign w:val="center"/>
          </w:tcPr>
          <w:p>
            <w:pPr>
              <w:jc w:val="right"/>
            </w:pPr>
            <w:r>
              <w:rPr>
                <w:rFonts w:ascii="宋体" w:eastAsia="宋体" w:hAnsi="宋体" w:cs="宋体"/>
                <w:b w:val="0"/>
                <w:i w:val="0"/>
                <w:color w:val="000000"/>
                <w:sz w:val="20"/>
              </w:rPr>
              <w:t xml:space="preserve">8.75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8.75</w:t>
            </w:r>
          </w:p>
        </w:tc>
        <w:tc>
          <w:tcPr>
            <w:tcW w:w="1980" w:type="dxa"/>
            <w:tcBorders/>
            <w:vAlign w:val="center"/>
          </w:tcPr>
          <w:p>
            <w:pPr>
              <w:jc w:val="right"/>
            </w:pPr>
            <w:r>
              <w:rPr>
                <w:rFonts w:ascii="宋体" w:eastAsia="宋体" w:hAnsi="宋体" w:cs="宋体"/>
                <w:b w:val="0"/>
                <w:i w:val="0"/>
                <w:color w:val="000000"/>
                <w:sz w:val="20"/>
              </w:rPr>
              <w:t xml:space="preserve">8.75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8.75</w:t>
            </w:r>
          </w:p>
        </w:tc>
        <w:tc>
          <w:tcPr>
            <w:tcW w:w="1980" w:type="dxa"/>
            <w:tcBorders/>
            <w:vAlign w:val="center"/>
          </w:tcPr>
          <w:p>
            <w:pPr>
              <w:jc w:val="right"/>
            </w:pPr>
            <w:r>
              <w:rPr>
                <w:rFonts w:ascii="宋体" w:eastAsia="宋体" w:hAnsi="宋体" w:cs="宋体"/>
                <w:b w:val="0"/>
                <w:i w:val="0"/>
                <w:color w:val="000000"/>
                <w:sz w:val="20"/>
              </w:rPr>
              <w:t xml:space="preserve">8.75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部门：中共辽宁省盘锦市双台子区委盘锦市双台子区人民政府信访局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113.63</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8.61</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41.91</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2.02</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25.53</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1.18</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17.03</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2.67</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12.57</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4.75</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0.42</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8.75</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1.05</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0.04</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1.00</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0.10</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0.04</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5.28</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114.68</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8.61</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部门：中共辽宁省盘锦市双台子区委盘锦市双台子区人民政府信访局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部门：中共辽宁省盘锦市双台子区委盘锦市双台子区人民政府信访局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部门：中共辽宁省盘锦市双台子区委盘锦市双台子区人民政府信访局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27"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0863"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