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辽宁省盘锦市双台子区建设街道办事处（本级）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辽宁省盘锦市双台子区建设街道办事处（本级）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辽宁省盘锦市双台子区建设街道办事处（本级）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辽宁省盘锦市双台子区建设街道办事处（本级）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辽宁省盘锦市双台子区建设街道办事处（本级）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辽宁省盘锦市双台子区建设街道办事处（本级）概况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1、宣传执行党的路线、方针、政策和国家法律、法规，保证区政府各项决议、决定的落实。</w:t>
        <w:br/>
        <w:t xml:space="preserve">    2、负责制定本街道社区（村）建设发展规划并组织实施，合理配置社区资源，组织和发动广大居民和驻街单位进行社区建设，完善社区服务设施。</w:t>
        <w:br/>
        <w:t xml:space="preserve">    3、指导社区居委会和村民委员会工作，发挥群众性自治组织的作用，及时向区政府反映社区居民的意见和要求，处理人民群众来信来访。</w:t>
        <w:br/>
        <w:t xml:space="preserve">    4、组织单位和居民开展爱国卫生运动，落实门前“四包”责任制。</w:t>
        <w:br/>
        <w:t xml:space="preserve">    5、负责辖区内安全生产、消防和燃气安全的指导、监督。</w:t>
        <w:br/>
        <w:t xml:space="preserve">    6、负责计划生育、劳动和社会保障、再就业、统计、城管、卫 生、食品安全等工作；积极开展群众性文化体育活动。</w:t>
        <w:br/>
        <w:t xml:space="preserve">    7、负责社会救济、优抚安置、社会保障、拥军优属、殡葬管理工作；做好民族、宗教、侨务、残联等项工作。</w:t>
        <w:br/>
        <w:t xml:space="preserve">    8、负责辖区内的维护稳定及社会管理综合治理工作，开展民事调解、法律服务，维护居民的合法权益。</w:t>
        <w:br/>
        <w:t xml:space="preserve">    9、协助武装部门做好国防动员、民兵训练和公民服兵役工作；配合有关部门做好防汛、防风、防火、防震、抢险和防灾工作。 </w:t>
        <w:br/>
        <w:t xml:space="preserve">    10.负责招商引资、零散税源税收等工作；</w:t>
        <w:br/>
        <w:t xml:space="preserve">    11.负责承担辖区统计调查和普查等相关事务性工作；</w:t>
        <w:br/>
        <w:t xml:space="preserve">    12.承办区政府交办的其他各项工作任务。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辽宁省盘锦市双台子区建设街道办事处（本级）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纳入盘锦市双台子区建设街道办事处2023年度部门决算编制范围的预算单位有1个：</w:t>
        <w:br/>
        <w:t xml:space="preserve">    1．建设街道办事处本级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1046.98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1046.98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1037.27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9.71</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减少246.11万元，降低19.03%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1046.98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933.63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89.17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工资福利支出914.29万元；商品和服务支出19.18万元；对个人和家庭的补助0.16万元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113.35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10.83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主要包括社区工作经费、党建经费、国有企业退休人员社会化管理经费、信访费用等业务支出。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减少246.11万元，降低19.03%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1046.98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933.63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113.35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减少246.11万元，降低19.03%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115.22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113.08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136.57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2023年度一般公共预算财政拨款支出1037.27万元。按支出功能分类科目分，包括：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1.一般公共服务支出324.42万元，具体包括：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（2）一般公共服务支出（类）政府办公厅（室）及相关机构事务（款）行政运行（项）278.07万元,主要是工资、津贴补贴等支出，完成年初预算的169.92%，决算数与年初预算数存在差异的主要原因是人员有变化。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37.52万元,主要是其他商品和服务等支出，完成年初预算的无%，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（4）一般公共服务支出（类）组织事务（款）其他组织事务支出（项）8.83万元,主要是党建经费等支出，完成年初预算的98.11%，决算数与年初预算数存在差异的主要原因是压缩经费。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2.社会保障和就业支出684.03万元，具体包括：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（1）社会保障和就业支出（类）民政管理事务（款）基层政权建设和社区治理（项）659.60万元,主要是社区人员工资、保险等支出，完成年初预算的104.96%，决算数与年初预算数存在差异的主要原因是人员增加。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（2）社会保障和就业支出（类）行政事业单位养老支出（款）行政单位离退休（项）0.16万元,主要是退休人员独生子女费等支出，完成年初预算的0%，决算数与年初预算数存在差异的主要原因是本年新增加。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23.23万元,主要是机关人员养老保险等支出，完成年初预算的106.46%，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0.47万元,主要是退休人员职业年金等支出，完成年初预算的无%，决算数与年初预算数存在差异的主要原因是支出科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0.57万元,主要是其他保险缴费等支出，完成年初预算的100%，决算数与年初预算数存在差异的主要原因是本年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（1）卫生健康支出（类）行政事业单位医疗（款）行政单位医疗（项）8.66万元,主要是医疗保险等支出，完成年初预算的89.8%，决算数与年初预算数存在差异的主要原因是支出科目更改。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（2）卫生健康支出（类）行政事业单位医疗（款）其他行政事业单位医疗支出（项）0.52万元,主要是大额保险等支出，完成年初预算的100%，决算数与年初预算数存在差异的主要原因是本年支付生育保险。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4.住房保障支出16.62万元，具体包括：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（1）住房保障支出（类）住房改革支出（款）住房公积金（项）16.62万元,主要是住房公积金等支出，完成年初预算的106.13%，决算数与年初预算数存在差异的主要原因是人员增加。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5.灾害防治及应急管理支出3.05万元，具体包括：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（1）灾害防治及应急管理支出（类）自然灾害救灾及恢复重建支出（款）自然灾害救灾补助（项）3.05万元,主要是民兵防汛等支出，完成年初预算的0%，决算数与年初预算数存在差异的主要原因是临时性支出。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2023年度国有资本经营预算财政拨款支出9.71万元。按支出功能分类科目分，包括：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1.国有资本经营预算支出9.71万元，具体包括：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9.71万元,主要是国有企业退休人员社会化管理等支出，完成年初预算的0%，决算数与年初预算数存在差异的主要原因是本年新增。</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933.63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914.45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19.18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19.18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比上年减少19.83万元，降低50.83%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双台子区建设街道办事处2024年应编制绩效目标的项目共3个，实际编制绩效目标的项目共3个，涉及资金83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保障工作正常运转。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1,037.27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324.41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9.71</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684.02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9.17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9.71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1,046.98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1,046.98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1,046.98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1,046.98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1,046.98</w:t>
            </w:r>
          </w:p>
        </w:tc>
        <w:tc>
          <w:tcPr>
            <w:tcW w:w="1160" w:type="dxa"/>
            <w:tcBorders/>
            <w:vAlign w:val="center"/>
          </w:tcPr>
          <w:p>
            <w:pPr>
              <w:jc w:val="right"/>
            </w:pPr>
            <w:r>
              <w:rPr>
                <w:rFonts w:ascii="宋体" w:eastAsia="宋体" w:hAnsi="宋体" w:cs="宋体"/>
                <w:b/>
                <w:i w:val="0"/>
                <w:color w:val="000000"/>
                <w:sz w:val="14"/>
              </w:rPr>
              <w:t xml:space="preserve">1,046.98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324.42</w:t>
            </w:r>
          </w:p>
        </w:tc>
        <w:tc>
          <w:tcPr>
            <w:tcW w:w="1160" w:type="dxa"/>
            <w:tcBorders/>
            <w:vAlign w:val="center"/>
          </w:tcPr>
          <w:p>
            <w:pPr>
              <w:jc w:val="right"/>
            </w:pPr>
            <w:r>
              <w:rPr>
                <w:rFonts w:ascii="宋体" w:eastAsia="宋体" w:hAnsi="宋体" w:cs="宋体"/>
                <w:b w:val="0"/>
                <w:i w:val="0"/>
                <w:color w:val="000000"/>
                <w:sz w:val="14"/>
              </w:rPr>
              <w:t xml:space="preserve">324.42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315.59</w:t>
            </w:r>
          </w:p>
        </w:tc>
        <w:tc>
          <w:tcPr>
            <w:tcW w:w="1160" w:type="dxa"/>
            <w:tcBorders/>
            <w:vAlign w:val="center"/>
          </w:tcPr>
          <w:p>
            <w:pPr>
              <w:jc w:val="right"/>
            </w:pPr>
            <w:r>
              <w:rPr>
                <w:rFonts w:ascii="宋体" w:eastAsia="宋体" w:hAnsi="宋体" w:cs="宋体"/>
                <w:b w:val="0"/>
                <w:i w:val="0"/>
                <w:color w:val="000000"/>
                <w:sz w:val="14"/>
              </w:rPr>
              <w:t xml:space="preserve">315.59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278.07</w:t>
            </w:r>
          </w:p>
        </w:tc>
        <w:tc>
          <w:tcPr>
            <w:tcW w:w="1160" w:type="dxa"/>
            <w:tcBorders/>
            <w:vAlign w:val="center"/>
          </w:tcPr>
          <w:p>
            <w:pPr>
              <w:jc w:val="right"/>
            </w:pPr>
            <w:r>
              <w:rPr>
                <w:rFonts w:ascii="宋体" w:eastAsia="宋体" w:hAnsi="宋体" w:cs="宋体"/>
                <w:b w:val="0"/>
                <w:i w:val="0"/>
                <w:color w:val="000000"/>
                <w:sz w:val="14"/>
              </w:rPr>
              <w:t xml:space="preserve">278.07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37.52</w:t>
            </w:r>
          </w:p>
        </w:tc>
        <w:tc>
          <w:tcPr>
            <w:tcW w:w="1160" w:type="dxa"/>
            <w:tcBorders/>
            <w:vAlign w:val="center"/>
          </w:tcPr>
          <w:p>
            <w:pPr>
              <w:jc w:val="right"/>
            </w:pPr>
            <w:r>
              <w:rPr>
                <w:rFonts w:ascii="宋体" w:eastAsia="宋体" w:hAnsi="宋体" w:cs="宋体"/>
                <w:b w:val="0"/>
                <w:i w:val="0"/>
                <w:color w:val="000000"/>
                <w:sz w:val="14"/>
              </w:rPr>
              <w:t xml:space="preserve">37.52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684.03</w:t>
            </w:r>
          </w:p>
        </w:tc>
        <w:tc>
          <w:tcPr>
            <w:tcW w:w="1160" w:type="dxa"/>
            <w:tcBorders/>
            <w:vAlign w:val="center"/>
          </w:tcPr>
          <w:p>
            <w:pPr>
              <w:jc w:val="right"/>
            </w:pPr>
            <w:r>
              <w:rPr>
                <w:rFonts w:ascii="宋体" w:eastAsia="宋体" w:hAnsi="宋体" w:cs="宋体"/>
                <w:b w:val="0"/>
                <w:i w:val="0"/>
                <w:color w:val="000000"/>
                <w:sz w:val="14"/>
              </w:rPr>
              <w:t xml:space="preserve">684.03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23.86</w:t>
            </w:r>
          </w:p>
        </w:tc>
        <w:tc>
          <w:tcPr>
            <w:tcW w:w="1160" w:type="dxa"/>
            <w:tcBorders/>
            <w:vAlign w:val="center"/>
          </w:tcPr>
          <w:p>
            <w:pPr>
              <w:jc w:val="right"/>
            </w:pPr>
            <w:r>
              <w:rPr>
                <w:rFonts w:ascii="宋体" w:eastAsia="宋体" w:hAnsi="宋体" w:cs="宋体"/>
                <w:b w:val="0"/>
                <w:i w:val="0"/>
                <w:color w:val="000000"/>
                <w:sz w:val="14"/>
              </w:rPr>
              <w:t xml:space="preserve">23.86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8.66</w:t>
            </w:r>
          </w:p>
        </w:tc>
        <w:tc>
          <w:tcPr>
            <w:tcW w:w="1160" w:type="dxa"/>
            <w:tcBorders/>
            <w:vAlign w:val="center"/>
          </w:tcPr>
          <w:p>
            <w:pPr>
              <w:jc w:val="right"/>
            </w:pPr>
            <w:r>
              <w:rPr>
                <w:rFonts w:ascii="宋体" w:eastAsia="宋体" w:hAnsi="宋体" w:cs="宋体"/>
                <w:b w:val="0"/>
                <w:i w:val="0"/>
                <w:color w:val="000000"/>
                <w:sz w:val="14"/>
              </w:rPr>
              <w:t xml:space="preserve">8.66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0.52</w:t>
            </w:r>
          </w:p>
        </w:tc>
        <w:tc>
          <w:tcPr>
            <w:tcW w:w="1160" w:type="dxa"/>
            <w:tcBorders/>
            <w:vAlign w:val="center"/>
          </w:tcPr>
          <w:p>
            <w:pPr>
              <w:jc w:val="right"/>
            </w:pPr>
            <w:r>
              <w:rPr>
                <w:rFonts w:ascii="宋体" w:eastAsia="宋体" w:hAnsi="宋体" w:cs="宋体"/>
                <w:b w:val="0"/>
                <w:i w:val="0"/>
                <w:color w:val="000000"/>
                <w:sz w:val="14"/>
              </w:rPr>
              <w:t xml:space="preserve">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1,046.98</w:t>
            </w:r>
          </w:p>
        </w:tc>
        <w:tc>
          <w:tcPr>
            <w:tcW w:w="1120" w:type="dxa"/>
            <w:tcBorders/>
            <w:vAlign w:val="center"/>
          </w:tcPr>
          <w:p>
            <w:pPr>
              <w:jc w:val="right"/>
            </w:pPr>
            <w:r>
              <w:rPr>
                <w:rFonts w:ascii="宋体" w:eastAsia="宋体" w:hAnsi="宋体" w:cs="宋体"/>
                <w:b/>
                <w:i w:val="0"/>
                <w:color w:val="000000"/>
                <w:sz w:val="16"/>
              </w:rPr>
              <w:t xml:space="preserve">933.63</w:t>
            </w:r>
          </w:p>
        </w:tc>
        <w:tc>
          <w:tcPr>
            <w:tcW w:w="1120" w:type="dxa"/>
            <w:tcBorders/>
            <w:vAlign w:val="center"/>
          </w:tcPr>
          <w:p>
            <w:pPr>
              <w:jc w:val="right"/>
            </w:pPr>
            <w:r>
              <w:rPr>
                <w:rFonts w:ascii="宋体" w:eastAsia="宋体" w:hAnsi="宋体" w:cs="宋体"/>
                <w:b/>
                <w:i w:val="0"/>
                <w:color w:val="000000"/>
                <w:sz w:val="16"/>
              </w:rPr>
              <w:t xml:space="preserve">113.35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324.42</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46.35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315.59</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684.03</w:t>
            </w:r>
          </w:p>
        </w:tc>
        <w:tc>
          <w:tcPr>
            <w:tcW w:w="1120" w:type="dxa"/>
            <w:tcBorders/>
            <w:vAlign w:val="center"/>
          </w:tcPr>
          <w:p>
            <w:pPr>
              <w:jc w:val="right"/>
            </w:pPr>
            <w:r>
              <w:rPr>
                <w:rFonts w:ascii="宋体" w:eastAsia="宋体" w:hAnsi="宋体" w:cs="宋体"/>
                <w:b w:val="0"/>
                <w:i w:val="0"/>
                <w:color w:val="000000"/>
                <w:sz w:val="16"/>
              </w:rPr>
              <w:t xml:space="preserve">630.10</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659.60</w:t>
            </w:r>
          </w:p>
        </w:tc>
        <w:tc>
          <w:tcPr>
            <w:tcW w:w="1120" w:type="dxa"/>
            <w:tcBorders/>
            <w:vAlign w:val="center"/>
          </w:tcPr>
          <w:p>
            <w:pPr>
              <w:jc w:val="right"/>
            </w:pPr>
            <w:r>
              <w:rPr>
                <w:rFonts w:ascii="宋体" w:eastAsia="宋体" w:hAnsi="宋体" w:cs="宋体"/>
                <w:b w:val="0"/>
                <w:i w:val="0"/>
                <w:color w:val="000000"/>
                <w:sz w:val="16"/>
              </w:rPr>
              <w:t xml:space="preserve">605.67</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659.60</w:t>
            </w:r>
          </w:p>
        </w:tc>
        <w:tc>
          <w:tcPr>
            <w:tcW w:w="1120" w:type="dxa"/>
            <w:tcBorders/>
            <w:vAlign w:val="center"/>
          </w:tcPr>
          <w:p>
            <w:pPr>
              <w:jc w:val="right"/>
            </w:pPr>
            <w:r>
              <w:rPr>
                <w:rFonts w:ascii="宋体" w:eastAsia="宋体" w:hAnsi="宋体" w:cs="宋体"/>
                <w:b w:val="0"/>
                <w:i w:val="0"/>
                <w:color w:val="000000"/>
                <w:sz w:val="16"/>
              </w:rPr>
              <w:t xml:space="preserve">605.67</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23.86</w:t>
            </w:r>
          </w:p>
        </w:tc>
        <w:tc>
          <w:tcPr>
            <w:tcW w:w="1120" w:type="dxa"/>
            <w:tcBorders/>
            <w:vAlign w:val="center"/>
          </w:tcPr>
          <w:p>
            <w:pPr>
              <w:jc w:val="right"/>
            </w:pPr>
            <w:r>
              <w:rPr>
                <w:rFonts w:ascii="宋体" w:eastAsia="宋体" w:hAnsi="宋体" w:cs="宋体"/>
                <w:b w:val="0"/>
                <w:i w:val="0"/>
                <w:color w:val="000000"/>
                <w:sz w:val="16"/>
              </w:rPr>
              <w:t xml:space="preserve">23.86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9.18</w:t>
            </w:r>
          </w:p>
        </w:tc>
        <w:tc>
          <w:tcPr>
            <w:tcW w:w="1120" w:type="dxa"/>
            <w:tcBorders/>
            <w:vAlign w:val="center"/>
          </w:tcPr>
          <w:p>
            <w:pPr>
              <w:jc w:val="right"/>
            </w:pPr>
            <w:r>
              <w:rPr>
                <w:rFonts w:ascii="宋体" w:eastAsia="宋体" w:hAnsi="宋体" w:cs="宋体"/>
                <w:b w:val="0"/>
                <w:i w:val="0"/>
                <w:color w:val="000000"/>
                <w:sz w:val="16"/>
              </w:rPr>
              <w:t xml:space="preserve">8.85</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9.18</w:t>
            </w:r>
          </w:p>
        </w:tc>
        <w:tc>
          <w:tcPr>
            <w:tcW w:w="1120" w:type="dxa"/>
            <w:tcBorders/>
            <w:vAlign w:val="center"/>
          </w:tcPr>
          <w:p>
            <w:pPr>
              <w:jc w:val="right"/>
            </w:pPr>
            <w:r>
              <w:rPr>
                <w:rFonts w:ascii="宋体" w:eastAsia="宋体" w:hAnsi="宋体" w:cs="宋体"/>
                <w:b w:val="0"/>
                <w:i w:val="0"/>
                <w:color w:val="000000"/>
                <w:sz w:val="16"/>
              </w:rPr>
              <w:t xml:space="preserve">8.85</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8.66</w:t>
            </w:r>
          </w:p>
        </w:tc>
        <w:tc>
          <w:tcPr>
            <w:tcW w:w="1120" w:type="dxa"/>
            <w:tcBorders/>
            <w:vAlign w:val="center"/>
          </w:tcPr>
          <w:p>
            <w:pPr>
              <w:jc w:val="right"/>
            </w:pPr>
            <w:r>
              <w:rPr>
                <w:rFonts w:ascii="宋体" w:eastAsia="宋体" w:hAnsi="宋体" w:cs="宋体"/>
                <w:b w:val="0"/>
                <w:i w:val="0"/>
                <w:color w:val="000000"/>
                <w:sz w:val="16"/>
              </w:rPr>
              <w:t xml:space="preserve">8.66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0.52</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1,037.27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324.41</w:t>
            </w:r>
          </w:p>
        </w:tc>
        <w:tc>
          <w:tcPr>
            <w:tcW w:w="1100" w:type="dxa"/>
            <w:tcBorders/>
            <w:vAlign w:val="center"/>
          </w:tcPr>
          <w:p>
            <w:pPr>
              <w:jc w:val="right"/>
            </w:pPr>
            <w:r>
              <w:rPr>
                <w:rFonts w:ascii="宋体" w:eastAsia="宋体" w:hAnsi="宋体" w:cs="宋体"/>
                <w:b w:val="0"/>
                <w:i w:val="0"/>
                <w:color w:val="000000"/>
                <w:sz w:val="14"/>
              </w:rPr>
              <w:t xml:space="preserve">324.41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9.71</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684.02</w:t>
            </w:r>
          </w:p>
        </w:tc>
        <w:tc>
          <w:tcPr>
            <w:tcW w:w="1100" w:type="dxa"/>
            <w:tcBorders/>
            <w:vAlign w:val="center"/>
          </w:tcPr>
          <w:p>
            <w:pPr>
              <w:jc w:val="right"/>
            </w:pPr>
            <w:r>
              <w:rPr>
                <w:rFonts w:ascii="宋体" w:eastAsia="宋体" w:hAnsi="宋体" w:cs="宋体"/>
                <w:b w:val="0"/>
                <w:i w:val="0"/>
                <w:color w:val="000000"/>
                <w:sz w:val="14"/>
              </w:rPr>
              <w:t xml:space="preserve">684.02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9.17</w:t>
            </w:r>
          </w:p>
        </w:tc>
        <w:tc>
          <w:tcPr>
            <w:tcW w:w="1100" w:type="dxa"/>
            <w:tcBorders/>
            <w:vAlign w:val="center"/>
          </w:tcPr>
          <w:p>
            <w:pPr>
              <w:jc w:val="right"/>
            </w:pPr>
            <w:r>
              <w:rPr>
                <w:rFonts w:ascii="宋体" w:eastAsia="宋体" w:hAnsi="宋体" w:cs="宋体"/>
                <w:b w:val="0"/>
                <w:i w:val="0"/>
                <w:color w:val="000000"/>
                <w:sz w:val="14"/>
              </w:rPr>
              <w:t xml:space="preserve">9.17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16.62</w:t>
            </w:r>
          </w:p>
        </w:tc>
        <w:tc>
          <w:tcPr>
            <w:tcW w:w="1100" w:type="dxa"/>
            <w:tcBorders/>
            <w:vAlign w:val="center"/>
          </w:tcPr>
          <w:p>
            <w:pPr>
              <w:jc w:val="right"/>
            </w:pPr>
            <w:r>
              <w:rPr>
                <w:rFonts w:ascii="宋体" w:eastAsia="宋体" w:hAnsi="宋体" w:cs="宋体"/>
                <w:b w:val="0"/>
                <w:i w:val="0"/>
                <w:color w:val="000000"/>
                <w:sz w:val="14"/>
              </w:rPr>
              <w:t xml:space="preserve">16.62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9.71</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3.05</w:t>
            </w:r>
          </w:p>
        </w:tc>
        <w:tc>
          <w:tcPr>
            <w:tcW w:w="1100" w:type="dxa"/>
            <w:tcBorders/>
            <w:vAlign w:val="center"/>
          </w:tcPr>
          <w:p>
            <w:pPr>
              <w:jc w:val="right"/>
            </w:pPr>
            <w:r>
              <w:rPr>
                <w:rFonts w:ascii="宋体" w:eastAsia="宋体" w:hAnsi="宋体" w:cs="宋体"/>
                <w:b w:val="0"/>
                <w:i w:val="0"/>
                <w:color w:val="000000"/>
                <w:sz w:val="14"/>
              </w:rPr>
              <w:t xml:space="preserve">3.05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1100" w:type="dxa"/>
            <w:tcBorders/>
            <w:vAlign w:val="center"/>
          </w:tcPr>
          <w:p>
            <w:pPr>
              <w:jc w:val="right"/>
            </w:pPr>
            <w:r>
              <w:rPr>
                <w:rFonts w:ascii="宋体" w:eastAsia="宋体" w:hAnsi="宋体" w:cs="宋体"/>
                <w:b w:val="0"/>
                <w:i w:val="0"/>
                <w:color w:val="000000"/>
                <w:sz w:val="14"/>
              </w:rPr>
              <w:t xml:space="preserve">1,037.27</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1100" w:type="dxa"/>
            <w:tcBorders/>
            <w:vAlign w:val="center"/>
          </w:tcPr>
          <w:p>
            <w:pPr>
              <w:jc w:val="right"/>
            </w:pPr>
            <w:r>
              <w:rPr>
                <w:rFonts w:ascii="宋体" w:eastAsia="宋体" w:hAnsi="宋体" w:cs="宋体"/>
                <w:b w:val="0"/>
                <w:i w:val="0"/>
                <w:color w:val="000000"/>
                <w:sz w:val="14"/>
              </w:rPr>
              <w:t xml:space="preserve">1,037.27</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1,037.27</w:t>
            </w:r>
          </w:p>
        </w:tc>
        <w:tc>
          <w:tcPr>
            <w:tcW w:w="1980" w:type="dxa"/>
            <w:tcBorders/>
            <w:vAlign w:val="center"/>
          </w:tcPr>
          <w:p>
            <w:pPr>
              <w:jc w:val="right"/>
            </w:pPr>
            <w:r>
              <w:rPr>
                <w:rFonts w:ascii="宋体" w:eastAsia="宋体" w:hAnsi="宋体" w:cs="宋体"/>
                <w:b/>
                <w:i w:val="0"/>
                <w:color w:val="000000"/>
                <w:sz w:val="20"/>
              </w:rPr>
              <w:t xml:space="preserve">933.63</w:t>
            </w:r>
          </w:p>
        </w:tc>
        <w:tc>
          <w:tcPr>
            <w:tcW w:w="1952" w:type="dxa"/>
            <w:tcBorders/>
            <w:vAlign w:val="center"/>
          </w:tcPr>
          <w:p>
            <w:pPr>
              <w:jc w:val="right"/>
            </w:pPr>
            <w:r>
              <w:rPr>
                <w:rFonts w:ascii="宋体" w:eastAsia="宋体" w:hAnsi="宋体" w:cs="宋体"/>
                <w:b/>
                <w:i w:val="0"/>
                <w:color w:val="000000"/>
                <w:sz w:val="20"/>
              </w:rPr>
              <w:t xml:space="preserve">103.64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324.42</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46.35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315.59</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37.52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37.52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684.03</w:t>
            </w:r>
          </w:p>
        </w:tc>
        <w:tc>
          <w:tcPr>
            <w:tcW w:w="1980" w:type="dxa"/>
            <w:tcBorders/>
            <w:vAlign w:val="center"/>
          </w:tcPr>
          <w:p>
            <w:pPr>
              <w:jc w:val="right"/>
            </w:pPr>
            <w:r>
              <w:rPr>
                <w:rFonts w:ascii="宋体" w:eastAsia="宋体" w:hAnsi="宋体" w:cs="宋体"/>
                <w:b w:val="0"/>
                <w:i w:val="0"/>
                <w:color w:val="000000"/>
                <w:sz w:val="20"/>
              </w:rPr>
              <w:t xml:space="preserve">630.10</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659.60</w:t>
            </w:r>
          </w:p>
        </w:tc>
        <w:tc>
          <w:tcPr>
            <w:tcW w:w="1980" w:type="dxa"/>
            <w:tcBorders/>
            <w:vAlign w:val="center"/>
          </w:tcPr>
          <w:p>
            <w:pPr>
              <w:jc w:val="right"/>
            </w:pPr>
            <w:r>
              <w:rPr>
                <w:rFonts w:ascii="宋体" w:eastAsia="宋体" w:hAnsi="宋体" w:cs="宋体"/>
                <w:b w:val="0"/>
                <w:i w:val="0"/>
                <w:color w:val="000000"/>
                <w:sz w:val="20"/>
              </w:rPr>
              <w:t xml:space="preserve">605.67</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659.60</w:t>
            </w:r>
          </w:p>
        </w:tc>
        <w:tc>
          <w:tcPr>
            <w:tcW w:w="1980" w:type="dxa"/>
            <w:tcBorders/>
            <w:vAlign w:val="center"/>
          </w:tcPr>
          <w:p>
            <w:pPr>
              <w:jc w:val="right"/>
            </w:pPr>
            <w:r>
              <w:rPr>
                <w:rFonts w:ascii="宋体" w:eastAsia="宋体" w:hAnsi="宋体" w:cs="宋体"/>
                <w:b w:val="0"/>
                <w:i w:val="0"/>
                <w:color w:val="000000"/>
                <w:sz w:val="20"/>
              </w:rPr>
              <w:t xml:space="preserve">605.67</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23.86</w:t>
            </w:r>
          </w:p>
        </w:tc>
        <w:tc>
          <w:tcPr>
            <w:tcW w:w="1980" w:type="dxa"/>
            <w:tcBorders/>
            <w:vAlign w:val="center"/>
          </w:tcPr>
          <w:p>
            <w:pPr>
              <w:jc w:val="right"/>
            </w:pPr>
            <w:r>
              <w:rPr>
                <w:rFonts w:ascii="宋体" w:eastAsia="宋体" w:hAnsi="宋体" w:cs="宋体"/>
                <w:b w:val="0"/>
                <w:i w:val="0"/>
                <w:color w:val="000000"/>
                <w:sz w:val="20"/>
              </w:rPr>
              <w:t xml:space="preserve">23.86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9.18</w:t>
            </w:r>
          </w:p>
        </w:tc>
        <w:tc>
          <w:tcPr>
            <w:tcW w:w="1980" w:type="dxa"/>
            <w:tcBorders/>
            <w:vAlign w:val="center"/>
          </w:tcPr>
          <w:p>
            <w:pPr>
              <w:jc w:val="right"/>
            </w:pPr>
            <w:r>
              <w:rPr>
                <w:rFonts w:ascii="宋体" w:eastAsia="宋体" w:hAnsi="宋体" w:cs="宋体"/>
                <w:b w:val="0"/>
                <w:i w:val="0"/>
                <w:color w:val="000000"/>
                <w:sz w:val="20"/>
              </w:rPr>
              <w:t xml:space="preserve">8.85</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9.18</w:t>
            </w:r>
          </w:p>
        </w:tc>
        <w:tc>
          <w:tcPr>
            <w:tcW w:w="1980" w:type="dxa"/>
            <w:tcBorders/>
            <w:vAlign w:val="center"/>
          </w:tcPr>
          <w:p>
            <w:pPr>
              <w:jc w:val="right"/>
            </w:pPr>
            <w:r>
              <w:rPr>
                <w:rFonts w:ascii="宋体" w:eastAsia="宋体" w:hAnsi="宋体" w:cs="宋体"/>
                <w:b w:val="0"/>
                <w:i w:val="0"/>
                <w:color w:val="000000"/>
                <w:sz w:val="20"/>
              </w:rPr>
              <w:t xml:space="preserve">8.85</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8.66</w:t>
            </w:r>
          </w:p>
        </w:tc>
        <w:tc>
          <w:tcPr>
            <w:tcW w:w="1980" w:type="dxa"/>
            <w:tcBorders/>
            <w:vAlign w:val="center"/>
          </w:tcPr>
          <w:p>
            <w:pPr>
              <w:jc w:val="right"/>
            </w:pPr>
            <w:r>
              <w:rPr>
                <w:rFonts w:ascii="宋体" w:eastAsia="宋体" w:hAnsi="宋体" w:cs="宋体"/>
                <w:b w:val="0"/>
                <w:i w:val="0"/>
                <w:color w:val="000000"/>
                <w:sz w:val="20"/>
              </w:rPr>
              <w:t xml:space="preserve">8.66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0.52</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914.29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19.18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167.89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64.31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26.69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23.23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4.12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8.66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16.62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605.67</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12.76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914.45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19.18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2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