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辽宁省盘锦市双台子区营商环境建设局(本级)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辽宁省盘锦市双台子区营商环境建设局(本级)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辽宁省盘锦市双台子区营商环境建设局(本级)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辽宁省盘锦市双台子区营商环境建设局(本级)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辽宁省盘锦市双台子区营商环境建设局(本级)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辽宁省盘锦市双台子区营商环境建设局(本级)概况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党中央、国务院、省委、省政府、市委、市政府关于加强和优化营商环境建设及推进行政审批制度改革的方针政策和相关法律法规及区委、区政府部署要求，组织起草区政府规章草案，组织贯彻落实《辽宁省优化营商环境条例》。</w:t>
        <w:br/>
        <w:t xml:space="preserve">    （二）拟订全区营商环境建设工作规划和年度计划，拟订加强和优化全区营商环境建设及行政审批的政策、措施和制度并组织实施，组织指导、统筹协调各部门营商环境建设工作及信息统计、数据分析等工作。</w:t>
        <w:br/>
        <w:t xml:space="preserve">    （三）负责全区营商环境建设及行政审批监督检查工作，受理相关投诉、举报，会同有关部门查处营商环境建设及行政审批中违法、违纪、违规行为。</w:t>
        <w:br/>
        <w:t xml:space="preserve">    （四）根据有关部署对全区贯彻落实区委、区政府关于优化营商环境建设工作情况进行考评。</w:t>
        <w:br/>
        <w:t xml:space="preserve">    （五）负责推进全区简政放权放管结合优化服务改革及行政审批制度改革工作，指导街（镇）简政放权放管结合优化服务改革及行政审批制度改革工作。</w:t>
        <w:br/>
        <w:t xml:space="preserve">    （六）负责规范区级行政审批行为，建立和完善政务服务体系及相应工作机制；负责对区级行政审批、行政服务事项进行流程再造、环节优化、压缩时限，并对办理情况进行跟踪督办，协调解决事项办理中出现的相关问题。</w:t>
        <w:br/>
        <w:t xml:space="preserve">    （七）负责制定全区政务服务运行规章制度、管理考核办法，并组织实施。负责对区行政审批服务中心相关业务工作进行管理和指导。负责对派驻的部门、垂管部门及市、区双重管理部门进驻服务中心政务服务事项的组织协调、监督管理、指导服务及考核。</w:t>
        <w:br/>
        <w:t xml:space="preserve">    （八）统筹负责“互联网+政务”建设推进及政务服务和8890服务平台的大数据管理和应用。负责8890非紧急类服务平台规划建设和日常运行监管工作。</w:t>
        <w:br/>
        <w:t xml:space="preserve">    （九）负责我区行政审批事项所涉及的现场勘查，专家评审、评估、联合验收的组织和协调工作。</w:t>
        <w:br/>
        <w:t xml:space="preserve">    （十）负责代办符合我区产业导向的外资、国资、民资的投资类项目的委托代办工作。</w:t>
        <w:br/>
        <w:t xml:space="preserve">    （十一）承担区营商环境建设工作领导小组、区行政审批制度改革工作领导小组日常工作；负责机关财务、安全、人才队伍建设与管理等工作。</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辽宁省盘锦市双台子区营商环境建设局(本级)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1.盘锦市双台子区政务服务中心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169.09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169.09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169.09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减少47.31万元，降低21.86%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169.09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167.69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99.17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工资福利支出155.31万元；商品和服务支出12.37万元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减少47.31万元，降低21.86%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169.09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167.69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减少47.31万元，降低21.86%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相关业务调整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86.54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92.96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9.33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2023年度一般公共预算财政拨款支出169.09万元。按支出功能分类科目分，包括：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1.一般公共服务支出124.67万元，具体包括：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123.27万元,主要是人员工资等支出，完成年初预算的63.09%，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1.40万元,主要是办公费等支出，完成年初预算的9.33%，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2.社会保障和就业支出26.38万元，具体包括：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16.15万元,主要是职工养老保险等支出，完成年初预算的86.82%，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9.82万元,主要是职业年金等支出，完成年初预算的4.78%，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0.41万元,主要是工伤保险等支出，完成年初预算的170.83%，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（1）卫生健康支出（类）行政事业单位医疗（款）行政单位医疗（项）5.98万元,主要是医疗等支出，完成年初预算的73.46%，决算数与年初预算数存在差异的主要原因是人员工资滚动基数变化。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（2）卫生健康支出（类）行政事业单位医疗（款）其他行政事业单位医疗支出（项）0.07万元,主要是大额医疗等支出，完成年初预算的87.5%，决算数与年初预算数存在差异的主要原因是人员工资滚动基数变化。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（1）住房保障支出（类）住房改革支出（款）住房公积金（项）12.00万元,主要是住房公积金等支出，完成年初预算的89.88%，决算数与年初预算数存在差异的主要原因是人员工资滚动基数变化。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167.68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155.31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12.37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12.37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比上年减少9.64万元，降低43.80%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相关业务调整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根据预算绩效管理要求，本部门组织对2023年度预算项目支出全面开展绩效自评，共涉及预算支出项目2个涉及资金15万元,自评覆盖率达到100%，自评平均分90分。</w:t>
        <w:br/>
        <w:t xml:space="preserve">    2.项目绩效自评结果。</w:t>
        <w:br/>
        <w:t xml:space="preserve">    本部门在2023年度省直部门决算中反映营商环境建设工作经费、修志、刊物、标准编制和征订经费（包括志书、综合年鉴、行业及部门标准、专业信息等），2个项目绩效自评结果。</w:t>
        <w:br/>
        <w:t xml:space="preserve">    （1）项目自评综述：根据年初设定的绩效目标，项目自评得分100分。项目全年预算数为15万元，执行数为1.4万元，完成预算的9.33%。项目绩效目标完成情况：基本完成。发现的主要问题及原因：认识不到位，重视程度不够。单位项目业务股室与财务股室没有形成有效合作机制，分管业务领导对预算绩效重视不够。下一步改进措施：提高预算绩效意识，主动加强绩效管理，不断增强绩效意识。</w:t>
        <w:br/>
        <w:t xml:space="preserve">    3.部门评价结果。</w:t>
        <w:br/>
        <w:t xml:space="preserve">    加大预算执行中对绩效指标的监控力度。</w:t>
        <w:br/>
        <w:t xml:space="preserve">    4.财政评价结果。</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169.09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124.67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169.09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169.09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169.09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169.09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169.09</w:t>
            </w:r>
          </w:p>
        </w:tc>
        <w:tc>
          <w:tcPr>
            <w:tcW w:w="1160" w:type="dxa"/>
            <w:tcBorders/>
            <w:vAlign w:val="center"/>
          </w:tcPr>
          <w:p>
            <w:pPr>
              <w:jc w:val="right"/>
            </w:pPr>
            <w:r>
              <w:rPr>
                <w:rFonts w:ascii="宋体" w:eastAsia="宋体" w:hAnsi="宋体" w:cs="宋体"/>
                <w:b/>
                <w:i w:val="0"/>
                <w:color w:val="000000"/>
                <w:sz w:val="14"/>
              </w:rPr>
              <w:t xml:space="preserve">169.09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124.67</w:t>
            </w:r>
          </w:p>
        </w:tc>
        <w:tc>
          <w:tcPr>
            <w:tcW w:w="1160" w:type="dxa"/>
            <w:tcBorders/>
            <w:vAlign w:val="center"/>
          </w:tcPr>
          <w:p>
            <w:pPr>
              <w:jc w:val="right"/>
            </w:pPr>
            <w:r>
              <w:rPr>
                <w:rFonts w:ascii="宋体" w:eastAsia="宋体" w:hAnsi="宋体" w:cs="宋体"/>
                <w:b w:val="0"/>
                <w:i w:val="0"/>
                <w:color w:val="000000"/>
                <w:sz w:val="14"/>
              </w:rPr>
              <w:t xml:space="preserve">124.67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124.67</w:t>
            </w:r>
          </w:p>
        </w:tc>
        <w:tc>
          <w:tcPr>
            <w:tcW w:w="1160" w:type="dxa"/>
            <w:tcBorders/>
            <w:vAlign w:val="center"/>
          </w:tcPr>
          <w:p>
            <w:pPr>
              <w:jc w:val="right"/>
            </w:pPr>
            <w:r>
              <w:rPr>
                <w:rFonts w:ascii="宋体" w:eastAsia="宋体" w:hAnsi="宋体" w:cs="宋体"/>
                <w:b w:val="0"/>
                <w:i w:val="0"/>
                <w:color w:val="000000"/>
                <w:sz w:val="14"/>
              </w:rPr>
              <w:t xml:space="preserve">124.67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123.27</w:t>
            </w:r>
          </w:p>
        </w:tc>
        <w:tc>
          <w:tcPr>
            <w:tcW w:w="1160" w:type="dxa"/>
            <w:tcBorders/>
            <w:vAlign w:val="center"/>
          </w:tcPr>
          <w:p>
            <w:pPr>
              <w:jc w:val="right"/>
            </w:pPr>
            <w:r>
              <w:rPr>
                <w:rFonts w:ascii="宋体" w:eastAsia="宋体" w:hAnsi="宋体" w:cs="宋体"/>
                <w:b w:val="0"/>
                <w:i w:val="0"/>
                <w:color w:val="000000"/>
                <w:sz w:val="14"/>
              </w:rPr>
              <w:t xml:space="preserve">123.27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25.97</w:t>
            </w:r>
          </w:p>
        </w:tc>
        <w:tc>
          <w:tcPr>
            <w:tcW w:w="1160" w:type="dxa"/>
            <w:tcBorders/>
            <w:vAlign w:val="center"/>
          </w:tcPr>
          <w:p>
            <w:pPr>
              <w:jc w:val="right"/>
            </w:pPr>
            <w:r>
              <w:rPr>
                <w:rFonts w:ascii="宋体" w:eastAsia="宋体" w:hAnsi="宋体" w:cs="宋体"/>
                <w:b w:val="0"/>
                <w:i w:val="0"/>
                <w:color w:val="000000"/>
                <w:sz w:val="14"/>
              </w:rPr>
              <w:t xml:space="preserve">25.97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16.15</w:t>
            </w:r>
          </w:p>
        </w:tc>
        <w:tc>
          <w:tcPr>
            <w:tcW w:w="1160" w:type="dxa"/>
            <w:tcBorders/>
            <w:vAlign w:val="center"/>
          </w:tcPr>
          <w:p>
            <w:pPr>
              <w:jc w:val="right"/>
            </w:pPr>
            <w:r>
              <w:rPr>
                <w:rFonts w:ascii="宋体" w:eastAsia="宋体" w:hAnsi="宋体" w:cs="宋体"/>
                <w:b w:val="0"/>
                <w:i w:val="0"/>
                <w:color w:val="000000"/>
                <w:sz w:val="14"/>
              </w:rPr>
              <w:t xml:space="preserve">16.15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jc w:val="right"/>
            </w:pPr>
            <w:r>
              <w:rPr>
                <w:rFonts w:ascii="宋体" w:eastAsia="宋体" w:hAnsi="宋体" w:cs="宋体"/>
                <w:b w:val="0"/>
                <w:i w:val="0"/>
                <w:color w:val="000000"/>
                <w:sz w:val="14"/>
              </w:rPr>
              <w:t xml:space="preserve">6.05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5.98</w:t>
            </w:r>
          </w:p>
        </w:tc>
        <w:tc>
          <w:tcPr>
            <w:tcW w:w="1160" w:type="dxa"/>
            <w:tcBorders/>
            <w:vAlign w:val="center"/>
          </w:tcPr>
          <w:p>
            <w:pPr>
              <w:jc w:val="right"/>
            </w:pPr>
            <w:r>
              <w:rPr>
                <w:rFonts w:ascii="宋体" w:eastAsia="宋体" w:hAnsi="宋体" w:cs="宋体"/>
                <w:b w:val="0"/>
                <w:i w:val="0"/>
                <w:color w:val="000000"/>
                <w:sz w:val="14"/>
              </w:rPr>
              <w:t xml:space="preserve">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169.09</w:t>
            </w:r>
          </w:p>
        </w:tc>
        <w:tc>
          <w:tcPr>
            <w:tcW w:w="1120" w:type="dxa"/>
            <w:tcBorders/>
            <w:vAlign w:val="center"/>
          </w:tcPr>
          <w:p>
            <w:pPr>
              <w:jc w:val="right"/>
            </w:pPr>
            <w:r>
              <w:rPr>
                <w:rFonts w:ascii="宋体" w:eastAsia="宋体" w:hAnsi="宋体" w:cs="宋体"/>
                <w:b/>
                <w:i w:val="0"/>
                <w:color w:val="000000"/>
                <w:sz w:val="16"/>
              </w:rPr>
              <w:t xml:space="preserve">167.69</w:t>
            </w:r>
          </w:p>
        </w:tc>
        <w:tc>
          <w:tcPr>
            <w:tcW w:w="1120" w:type="dxa"/>
            <w:tcBorders/>
            <w:vAlign w:val="center"/>
          </w:tcPr>
          <w:p>
            <w:pPr>
              <w:jc w:val="right"/>
            </w:pPr>
            <w:r>
              <w:rPr>
                <w:rFonts w:ascii="宋体" w:eastAsia="宋体" w:hAnsi="宋体" w:cs="宋体"/>
                <w:b/>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124.67</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124.67</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25.97</w:t>
            </w:r>
          </w:p>
        </w:tc>
        <w:tc>
          <w:tcPr>
            <w:tcW w:w="1120" w:type="dxa"/>
            <w:tcBorders/>
            <w:vAlign w:val="center"/>
          </w:tcPr>
          <w:p>
            <w:pPr>
              <w:jc w:val="right"/>
            </w:pPr>
            <w:r>
              <w:rPr>
                <w:rFonts w:ascii="宋体" w:eastAsia="宋体" w:hAnsi="宋体" w:cs="宋体"/>
                <w:b w:val="0"/>
                <w:i w:val="0"/>
                <w:color w:val="000000"/>
                <w:sz w:val="16"/>
              </w:rPr>
              <w:t xml:space="preserve">25.97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16.15</w:t>
            </w:r>
          </w:p>
        </w:tc>
        <w:tc>
          <w:tcPr>
            <w:tcW w:w="1120" w:type="dxa"/>
            <w:tcBorders/>
            <w:vAlign w:val="center"/>
          </w:tcPr>
          <w:p>
            <w:pPr>
              <w:jc w:val="right"/>
            </w:pPr>
            <w:r>
              <w:rPr>
                <w:rFonts w:ascii="宋体" w:eastAsia="宋体" w:hAnsi="宋体" w:cs="宋体"/>
                <w:b w:val="0"/>
                <w:i w:val="0"/>
                <w:color w:val="000000"/>
                <w:sz w:val="16"/>
              </w:rPr>
              <w:t xml:space="preserve">16.15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jc w:val="right"/>
            </w:pPr>
            <w:r>
              <w:rPr>
                <w:rFonts w:ascii="宋体" w:eastAsia="宋体" w:hAnsi="宋体" w:cs="宋体"/>
                <w:b w:val="0"/>
                <w:i w:val="0"/>
                <w:color w:val="000000"/>
                <w:sz w:val="16"/>
              </w:rPr>
              <w:t xml:space="preserve">6.05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5.98</w:t>
            </w:r>
          </w:p>
        </w:tc>
        <w:tc>
          <w:tcPr>
            <w:tcW w:w="1120" w:type="dxa"/>
            <w:tcBorders/>
            <w:vAlign w:val="center"/>
          </w:tcPr>
          <w:p>
            <w:pPr>
              <w:jc w:val="right"/>
            </w:pPr>
            <w:r>
              <w:rPr>
                <w:rFonts w:ascii="宋体" w:eastAsia="宋体" w:hAnsi="宋体" w:cs="宋体"/>
                <w:b w:val="0"/>
                <w:i w:val="0"/>
                <w:color w:val="000000"/>
                <w:sz w:val="16"/>
              </w:rPr>
              <w:t xml:space="preserve">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124.67</w:t>
            </w:r>
          </w:p>
        </w:tc>
        <w:tc>
          <w:tcPr>
            <w:tcW w:w="1100" w:type="dxa"/>
            <w:tcBorders/>
            <w:vAlign w:val="center"/>
          </w:tcPr>
          <w:p>
            <w:pPr>
              <w:jc w:val="right"/>
            </w:pPr>
            <w:r>
              <w:rPr>
                <w:rFonts w:ascii="宋体" w:eastAsia="宋体" w:hAnsi="宋体" w:cs="宋体"/>
                <w:b w:val="0"/>
                <w:i w:val="0"/>
                <w:color w:val="000000"/>
                <w:sz w:val="14"/>
              </w:rPr>
              <w:t xml:space="preserve">124.67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26.37</w:t>
            </w:r>
          </w:p>
        </w:tc>
        <w:tc>
          <w:tcPr>
            <w:tcW w:w="1100" w:type="dxa"/>
            <w:tcBorders/>
            <w:vAlign w:val="center"/>
          </w:tcPr>
          <w:p>
            <w:pPr>
              <w:jc w:val="right"/>
            </w:pPr>
            <w:r>
              <w:rPr>
                <w:rFonts w:ascii="宋体" w:eastAsia="宋体" w:hAnsi="宋体" w:cs="宋体"/>
                <w:b w:val="0"/>
                <w:i w:val="0"/>
                <w:color w:val="000000"/>
                <w:sz w:val="14"/>
              </w:rPr>
              <w:t xml:space="preserve">26.37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6.05</w:t>
            </w:r>
          </w:p>
        </w:tc>
        <w:tc>
          <w:tcPr>
            <w:tcW w:w="1100" w:type="dxa"/>
            <w:tcBorders/>
            <w:vAlign w:val="center"/>
          </w:tcPr>
          <w:p>
            <w:pPr>
              <w:jc w:val="right"/>
            </w:pPr>
            <w:r>
              <w:rPr>
                <w:rFonts w:ascii="宋体" w:eastAsia="宋体" w:hAnsi="宋体" w:cs="宋体"/>
                <w:b w:val="0"/>
                <w:i w:val="0"/>
                <w:color w:val="000000"/>
                <w:sz w:val="14"/>
              </w:rPr>
              <w:t xml:space="preserve">6.05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12.00</w:t>
            </w:r>
          </w:p>
        </w:tc>
        <w:tc>
          <w:tcPr>
            <w:tcW w:w="1100" w:type="dxa"/>
            <w:tcBorders/>
            <w:vAlign w:val="center"/>
          </w:tcPr>
          <w:p>
            <w:pPr>
              <w:jc w:val="right"/>
            </w:pPr>
            <w:r>
              <w:rPr>
                <w:rFonts w:ascii="宋体" w:eastAsia="宋体" w:hAnsi="宋体" w:cs="宋体"/>
                <w:b w:val="0"/>
                <w:i w:val="0"/>
                <w:color w:val="000000"/>
                <w:sz w:val="14"/>
              </w:rPr>
              <w:t xml:space="preserve">12.00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1100" w:type="dxa"/>
            <w:tcBorders/>
            <w:vAlign w:val="center"/>
          </w:tcPr>
          <w:p>
            <w:pPr>
              <w:jc w:val="right"/>
            </w:pPr>
            <w:r>
              <w:rPr>
                <w:rFonts w:ascii="宋体" w:eastAsia="宋体" w:hAnsi="宋体" w:cs="宋体"/>
                <w:b w:val="0"/>
                <w:i w:val="0"/>
                <w:color w:val="000000"/>
                <w:sz w:val="14"/>
              </w:rPr>
              <w:t xml:space="preserve">169.09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169.09</w:t>
            </w:r>
          </w:p>
        </w:tc>
        <w:tc>
          <w:tcPr>
            <w:tcW w:w="1980" w:type="dxa"/>
            <w:tcBorders/>
            <w:vAlign w:val="center"/>
          </w:tcPr>
          <w:p>
            <w:pPr>
              <w:jc w:val="right"/>
            </w:pPr>
            <w:r>
              <w:rPr>
                <w:rFonts w:ascii="宋体" w:eastAsia="宋体" w:hAnsi="宋体" w:cs="宋体"/>
                <w:b/>
                <w:i w:val="0"/>
                <w:color w:val="000000"/>
                <w:sz w:val="20"/>
              </w:rPr>
              <w:t xml:space="preserve">167.69</w:t>
            </w:r>
          </w:p>
        </w:tc>
        <w:tc>
          <w:tcPr>
            <w:tcW w:w="1952" w:type="dxa"/>
            <w:tcBorders/>
            <w:vAlign w:val="center"/>
          </w:tcPr>
          <w:p>
            <w:pPr>
              <w:jc w:val="right"/>
            </w:pPr>
            <w:r>
              <w:rPr>
                <w:rFonts w:ascii="宋体" w:eastAsia="宋体" w:hAnsi="宋体" w:cs="宋体"/>
                <w:b/>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124.67</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124.67</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26.38</w:t>
            </w:r>
          </w:p>
        </w:tc>
        <w:tc>
          <w:tcPr>
            <w:tcW w:w="1980" w:type="dxa"/>
            <w:tcBorders/>
            <w:vAlign w:val="center"/>
          </w:tcPr>
          <w:p>
            <w:pPr>
              <w:jc w:val="right"/>
            </w:pPr>
            <w:r>
              <w:rPr>
                <w:rFonts w:ascii="宋体" w:eastAsia="宋体" w:hAnsi="宋体" w:cs="宋体"/>
                <w:b w:val="0"/>
                <w:i w:val="0"/>
                <w:color w:val="000000"/>
                <w:sz w:val="20"/>
              </w:rPr>
              <w:t xml:space="preserve">26.38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25.97</w:t>
            </w:r>
          </w:p>
        </w:tc>
        <w:tc>
          <w:tcPr>
            <w:tcW w:w="1980" w:type="dxa"/>
            <w:tcBorders/>
            <w:vAlign w:val="center"/>
          </w:tcPr>
          <w:p>
            <w:pPr>
              <w:jc w:val="right"/>
            </w:pPr>
            <w:r>
              <w:rPr>
                <w:rFonts w:ascii="宋体" w:eastAsia="宋体" w:hAnsi="宋体" w:cs="宋体"/>
                <w:b w:val="0"/>
                <w:i w:val="0"/>
                <w:color w:val="000000"/>
                <w:sz w:val="20"/>
              </w:rPr>
              <w:t xml:space="preserve">25.97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16.15</w:t>
            </w:r>
          </w:p>
        </w:tc>
        <w:tc>
          <w:tcPr>
            <w:tcW w:w="1980" w:type="dxa"/>
            <w:tcBorders/>
            <w:vAlign w:val="center"/>
          </w:tcPr>
          <w:p>
            <w:pPr>
              <w:jc w:val="right"/>
            </w:pPr>
            <w:r>
              <w:rPr>
                <w:rFonts w:ascii="宋体" w:eastAsia="宋体" w:hAnsi="宋体" w:cs="宋体"/>
                <w:b w:val="0"/>
                <w:i w:val="0"/>
                <w:color w:val="000000"/>
                <w:sz w:val="20"/>
              </w:rPr>
              <w:t xml:space="preserve">16.15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9.82</w:t>
            </w:r>
          </w:p>
        </w:tc>
        <w:tc>
          <w:tcPr>
            <w:tcW w:w="1980" w:type="dxa"/>
            <w:tcBorders/>
            <w:vAlign w:val="center"/>
          </w:tcPr>
          <w:p>
            <w:pPr>
              <w:jc w:val="right"/>
            </w:pPr>
            <w:r>
              <w:rPr>
                <w:rFonts w:ascii="宋体" w:eastAsia="宋体" w:hAnsi="宋体" w:cs="宋体"/>
                <w:b w:val="0"/>
                <w:i w:val="0"/>
                <w:color w:val="000000"/>
                <w:sz w:val="20"/>
              </w:rPr>
              <w:t xml:space="preserve">9.82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80" w:type="dxa"/>
            <w:tcBorders/>
            <w:vAlign w:val="center"/>
          </w:tcPr>
          <w:p>
            <w:pPr>
              <w:jc w:val="right"/>
            </w:pPr>
            <w:r>
              <w:rPr>
                <w:rFonts w:ascii="宋体" w:eastAsia="宋体" w:hAnsi="宋体" w:cs="宋体"/>
                <w:b w:val="0"/>
                <w:i w:val="0"/>
                <w:color w:val="000000"/>
                <w:sz w:val="20"/>
              </w:rPr>
              <w:t xml:space="preserve">6.05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5.98</w:t>
            </w:r>
          </w:p>
        </w:tc>
        <w:tc>
          <w:tcPr>
            <w:tcW w:w="1980" w:type="dxa"/>
            <w:tcBorders/>
            <w:vAlign w:val="center"/>
          </w:tcPr>
          <w:p>
            <w:pPr>
              <w:jc w:val="right"/>
            </w:pPr>
            <w:r>
              <w:rPr>
                <w:rFonts w:ascii="宋体" w:eastAsia="宋体" w:hAnsi="宋体" w:cs="宋体"/>
                <w:b w:val="0"/>
                <w:i w:val="0"/>
                <w:color w:val="000000"/>
                <w:sz w:val="20"/>
              </w:rPr>
              <w:t xml:space="preserve">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155.31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12.37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53.12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28.68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29.10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16.15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9.82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5.98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12.00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155.31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12.37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单位：辽宁省盘锦市双台子区营商环境建设局(本级)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06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