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辽宁省盘锦市双台子区审计事务服务中心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辽宁省盘锦市双台子区审计事务服务中心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辽宁省盘锦市双台子区审计事务服务中心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辽宁省盘锦市双台子区审计事务服务中心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辽宁省盘锦市双台子区审计事务服务中心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辽宁省盘锦市双台子区审计事务服务中心概况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1.承担投资类、行政及企事业类、专项调查类等审计业务的事务性工作。</w:t>
        <w:br/>
        <w:t xml:space="preserve">    2.承担审计信息系统及审计领域网络的建设维护，为审计工作提供大数据技术支持，以及相关数据资料的采集、整理和分析等工作。</w:t>
        <w:br/>
        <w:t xml:space="preserve">    3.承担与审计工作相关的人才和技术服务，为审计事务发展提供服务保障。</w:t>
        <w:br/>
        <w:t xml:space="preserve">    4.配合区审计局开展审计理论研究、新闻信息、综合调研、政务公开等工作。</w:t>
        <w:br/>
        <w:t xml:space="preserve">    5.承担区审计局交办的其他工作。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辽宁省盘锦市双台子区审计事务服务中心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增加33.27万元，增长0.00%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2023年新成立的事业单位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工资福利支出30.47万元；商品和服务支出2.59万元；对个人和家庭的补助0.06万元；资本性支出0.15万元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增加33.27万元，增长0.00%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2023年新成立的事业单位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增加33.27万元，增长0.00%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2023年新成立的事业单位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2023年度一般公共预算财政拨款支出33.27万元。按支出功能分类科目分，包括：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1.一般公共服务支出25.95万元，具体包括：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审计事务（款）事业运行（项）25.95万元,主要是工资福利支出、商品和服务支出、对个人和家庭补助支出、资本性支出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3.39万元,主要是机关事业单位养老保险缴费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0.15万元,主要是失业保险和工伤保险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（1）卫生健康支出（类）行政事业单位医疗（款）事业单位医疗（项）1.36万元,主要是职工医疗保险等支出，完成年初预算的0%，决算数与年初预算数存在差异的主要原因是2023年新成立的事业单位，年初无预算。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（1）住房保障支出（类）住房改革支出（款）住房公积金（项）2.42万元,主要是住房公积金等支出，完成年初预算的0%，决算数与年初预算数存在差异的主要原因是2023年新成立的事业单位，年初无预算。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30.53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双台子区审计事务服务中心2023年应编制绩效目标的项目共0个，实际编制绩效目标的项目共0个，涉及资金0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33.27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25.95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33.27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33.27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33.27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33.27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33.27</w:t>
            </w:r>
          </w:p>
        </w:tc>
        <w:tc>
          <w:tcPr>
            <w:tcW w:w="1160" w:type="dxa"/>
            <w:tcBorders/>
            <w:vAlign w:val="center"/>
          </w:tcPr>
          <w:p>
            <w:pPr>
              <w:jc w:val="right"/>
            </w:pPr>
            <w:r>
              <w:rPr>
                <w:rFonts w:ascii="宋体" w:eastAsia="宋体" w:hAnsi="宋体" w:cs="宋体"/>
                <w:b/>
                <w:i w:val="0"/>
                <w:color w:val="000000"/>
                <w:sz w:val="14"/>
              </w:rPr>
              <w:t xml:space="preserve">33.27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jc w:val="right"/>
            </w:pPr>
            <w:r>
              <w:rPr>
                <w:rFonts w:ascii="宋体" w:eastAsia="宋体" w:hAnsi="宋体" w:cs="宋体"/>
                <w:b w:val="0"/>
                <w:i w:val="0"/>
                <w:color w:val="000000"/>
                <w:sz w:val="14"/>
              </w:rPr>
              <w:t xml:space="preserve">25.95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33.27</w:t>
            </w:r>
          </w:p>
        </w:tc>
        <w:tc>
          <w:tcPr>
            <w:tcW w:w="1120" w:type="dxa"/>
            <w:tcBorders/>
            <w:vAlign w:val="center"/>
          </w:tcPr>
          <w:p>
            <w:pPr>
              <w:jc w:val="right"/>
            </w:pPr>
            <w:r>
              <w:rPr>
                <w:rFonts w:ascii="宋体" w:eastAsia="宋体" w:hAnsi="宋体" w:cs="宋体"/>
                <w:b/>
                <w:i w:val="0"/>
                <w:color w:val="000000"/>
                <w:sz w:val="16"/>
              </w:rPr>
              <w:t xml:space="preserve">33.27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jc w:val="right"/>
            </w:pPr>
            <w:r>
              <w:rPr>
                <w:rFonts w:ascii="宋体" w:eastAsia="宋体" w:hAnsi="宋体" w:cs="宋体"/>
                <w:b w:val="0"/>
                <w:i w:val="0"/>
                <w:color w:val="000000"/>
                <w:sz w:val="16"/>
              </w:rPr>
              <w:t xml:space="preserve">25.95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jc w:val="right"/>
            </w:pPr>
            <w:r>
              <w:rPr>
                <w:rFonts w:ascii="宋体" w:eastAsia="宋体" w:hAnsi="宋体" w:cs="宋体"/>
                <w:b w:val="0"/>
                <w:i w:val="0"/>
                <w:color w:val="000000"/>
                <w:sz w:val="16"/>
              </w:rPr>
              <w:t xml:space="preserve">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25.95</w:t>
            </w:r>
          </w:p>
        </w:tc>
        <w:tc>
          <w:tcPr>
            <w:tcW w:w="1100" w:type="dxa"/>
            <w:tcBorders/>
            <w:vAlign w:val="center"/>
          </w:tcPr>
          <w:p>
            <w:pPr>
              <w:jc w:val="right"/>
            </w:pPr>
            <w:r>
              <w:rPr>
                <w:rFonts w:ascii="宋体" w:eastAsia="宋体" w:hAnsi="宋体" w:cs="宋体"/>
                <w:b w:val="0"/>
                <w:i w:val="0"/>
                <w:color w:val="000000"/>
                <w:sz w:val="14"/>
              </w:rPr>
              <w:t xml:space="preserve">25.95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3.54</w:t>
            </w:r>
          </w:p>
        </w:tc>
        <w:tc>
          <w:tcPr>
            <w:tcW w:w="1100" w:type="dxa"/>
            <w:tcBorders/>
            <w:vAlign w:val="center"/>
          </w:tcPr>
          <w:p>
            <w:pPr>
              <w:jc w:val="right"/>
            </w:pPr>
            <w:r>
              <w:rPr>
                <w:rFonts w:ascii="宋体" w:eastAsia="宋体" w:hAnsi="宋体" w:cs="宋体"/>
                <w:b w:val="0"/>
                <w:i w:val="0"/>
                <w:color w:val="000000"/>
                <w:sz w:val="14"/>
              </w:rPr>
              <w:t xml:space="preserve">3.54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1.36</w:t>
            </w:r>
          </w:p>
        </w:tc>
        <w:tc>
          <w:tcPr>
            <w:tcW w:w="1100" w:type="dxa"/>
            <w:tcBorders/>
            <w:vAlign w:val="center"/>
          </w:tcPr>
          <w:p>
            <w:pPr>
              <w:jc w:val="right"/>
            </w:pPr>
            <w:r>
              <w:rPr>
                <w:rFonts w:ascii="宋体" w:eastAsia="宋体" w:hAnsi="宋体" w:cs="宋体"/>
                <w:b w:val="0"/>
                <w:i w:val="0"/>
                <w:color w:val="000000"/>
                <w:sz w:val="14"/>
              </w:rPr>
              <w:t xml:space="preserve">1.36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1100" w:type="dxa"/>
            <w:tcBorders/>
            <w:vAlign w:val="center"/>
          </w:tcPr>
          <w:p>
            <w:pPr>
              <w:jc w:val="right"/>
            </w:pPr>
            <w:r>
              <w:rPr>
                <w:rFonts w:ascii="宋体" w:eastAsia="宋体" w:hAnsi="宋体" w:cs="宋体"/>
                <w:b w:val="0"/>
                <w:i w:val="0"/>
                <w:color w:val="000000"/>
                <w:sz w:val="14"/>
              </w:rPr>
              <w:t xml:space="preserve">33.27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33.27</w:t>
            </w:r>
          </w:p>
        </w:tc>
        <w:tc>
          <w:tcPr>
            <w:tcW w:w="1980" w:type="dxa"/>
            <w:tcBorders/>
            <w:vAlign w:val="center"/>
          </w:tcPr>
          <w:p>
            <w:pPr>
              <w:jc w:val="right"/>
            </w:pPr>
            <w:r>
              <w:rPr>
                <w:rFonts w:ascii="宋体" w:eastAsia="宋体" w:hAnsi="宋体" w:cs="宋体"/>
                <w:b/>
                <w:i w:val="0"/>
                <w:color w:val="000000"/>
                <w:sz w:val="20"/>
              </w:rPr>
              <w:t xml:space="preserve">33.27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80" w:type="dxa"/>
            <w:tcBorders/>
            <w:vAlign w:val="center"/>
          </w:tcPr>
          <w:p>
            <w:pPr>
              <w:jc w:val="right"/>
            </w:pPr>
            <w:r>
              <w:rPr>
                <w:rFonts w:ascii="宋体" w:eastAsia="宋体" w:hAnsi="宋体" w:cs="宋体"/>
                <w:b w:val="0"/>
                <w:i w:val="0"/>
                <w:color w:val="000000"/>
                <w:sz w:val="20"/>
              </w:rPr>
              <w:t xml:space="preserve">25.95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80" w:type="dxa"/>
            <w:tcBorders/>
            <w:vAlign w:val="center"/>
          </w:tcPr>
          <w:p>
            <w:pPr>
              <w:jc w:val="right"/>
            </w:pPr>
            <w:r>
              <w:rPr>
                <w:rFonts w:ascii="宋体" w:eastAsia="宋体" w:hAnsi="宋体" w:cs="宋体"/>
                <w:b w:val="0"/>
                <w:i w:val="0"/>
                <w:color w:val="000000"/>
                <w:sz w:val="20"/>
              </w:rPr>
              <w:t xml:space="preserve">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30.47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11.88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1.92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30.53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