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辽宁省盘锦市双台子区法律援助中心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辽宁省盘锦市双台子区法律援助中心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辽宁省盘锦市双台子区法律援助中心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辽宁省盘锦市双台子区法律援助中心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辽宁省盘锦市双台子区法律援助中心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辽宁省盘锦市双台子区法律援助中心概况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(一)负责组织实施全区法律援助等事务性工作。</w:t>
        <w:br/>
        <w:t xml:space="preserve">    (二)承担全区人民调解相关的事务性工作。</w:t>
        <w:br/>
        <w:t xml:space="preserve">    (三)承担全区公共法律服务平台日常管理工作。</w:t>
        <w:br/>
        <w:t xml:space="preserve">    (四)承担区司法局交办的其他工作。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辽宁省盘锦市双台子区法律援助中心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双台子区法律援助中心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8.81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增加8.81万元，增长0.00%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双台子区法律援助中心本年度独立核算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8.81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工资福利支出8.81万元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增加8.81万元，增长0.00%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双台子区法律援助中心本年度独立核算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年末没有结转和结余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增加8.81万元，增长0.00%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双台子区法律援助中心本年度独立核算</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2023年度一般公共预算财政拨款支出8.81万元。按支出功能分类科目分，包括：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1.公共安全支出6.85万元，具体包括：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事业运行（项）6.85万元,主要是基本工资、津贴补贴、绩效工资等支出，完成年初预算的0%，决算数与年初预算数存在差异的主要原因是双台子区法律援助中心本年度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0.83万元,主要是缴纳基本养老保险等支出，完成年初预算的0%，决算数与年初预算数存在差异的主要原因是双台子区法律援助中心本年度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0.04万元,主要是缴纳失业保险等支出，完成年初预算的0%，决算数与年初预算数存在差异的主要原因是双台子区法律援助中心本年度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0.38万元,主要是缴纳医疗保险等支出，完成年初预算的0%，决算数与年初预算数存在差异的主要原因是双台子区法律援助中心本年度独立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（1）住房保障支出（类）住房改革支出（款）住房公积金（项）0.71万元,主要是缴纳住房公积金等支出，完成年初预算的0%，决算数与年初预算数存在差异的主要原因是双台子区法律援助中心本年度独立核算。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8.81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8.81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6.85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0.71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8.81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8.81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8.81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8.81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8.81</w:t>
            </w:r>
          </w:p>
        </w:tc>
        <w:tc>
          <w:tcPr>
            <w:tcW w:w="1160" w:type="dxa"/>
            <w:tcBorders/>
            <w:vAlign w:val="center"/>
          </w:tcPr>
          <w:p>
            <w:pPr>
              <w:jc w:val="right"/>
            </w:pPr>
            <w:r>
              <w:rPr>
                <w:rFonts w:ascii="宋体" w:eastAsia="宋体" w:hAnsi="宋体" w:cs="宋体"/>
                <w:b/>
                <w:i w:val="0"/>
                <w:color w:val="000000"/>
                <w:sz w:val="14"/>
              </w:rPr>
              <w:t xml:space="preserve">8.81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jc w:val="right"/>
            </w:pPr>
            <w:r>
              <w:rPr>
                <w:rFonts w:ascii="宋体" w:eastAsia="宋体" w:hAnsi="宋体" w:cs="宋体"/>
                <w:b w:val="0"/>
                <w:i w:val="0"/>
                <w:color w:val="000000"/>
                <w:sz w:val="14"/>
              </w:rPr>
              <w:t xml:space="preserve">0.87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jc w:val="right"/>
            </w:pPr>
            <w:r>
              <w:rPr>
                <w:rFonts w:ascii="宋体" w:eastAsia="宋体" w:hAnsi="宋体" w:cs="宋体"/>
                <w:b w:val="0"/>
                <w:i w:val="0"/>
                <w:color w:val="000000"/>
                <w:sz w:val="14"/>
              </w:rPr>
              <w:t xml:space="preserve">0.38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8.81</w:t>
            </w:r>
          </w:p>
        </w:tc>
        <w:tc>
          <w:tcPr>
            <w:tcW w:w="1120" w:type="dxa"/>
            <w:tcBorders/>
            <w:vAlign w:val="center"/>
          </w:tcPr>
          <w:p>
            <w:pPr>
              <w:jc w:val="right"/>
            </w:pPr>
            <w:r>
              <w:rPr>
                <w:rFonts w:ascii="宋体" w:eastAsia="宋体" w:hAnsi="宋体" w:cs="宋体"/>
                <w:b/>
                <w:i w:val="0"/>
                <w:color w:val="000000"/>
                <w:sz w:val="16"/>
              </w:rPr>
              <w:t xml:space="preserve">8.81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jc w:val="right"/>
            </w:pPr>
            <w:r>
              <w:rPr>
                <w:rFonts w:ascii="宋体" w:eastAsia="宋体" w:hAnsi="宋体" w:cs="宋体"/>
                <w:b w:val="0"/>
                <w:i w:val="0"/>
                <w:color w:val="000000"/>
                <w:sz w:val="16"/>
              </w:rPr>
              <w:t xml:space="preserve">0.87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jc w:val="right"/>
            </w:pPr>
            <w:r>
              <w:rPr>
                <w:rFonts w:ascii="宋体" w:eastAsia="宋体" w:hAnsi="宋体" w:cs="宋体"/>
                <w:b w:val="0"/>
                <w:i w:val="0"/>
                <w:color w:val="000000"/>
                <w:sz w:val="16"/>
              </w:rPr>
              <w:t xml:space="preserve">0.38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8.81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6.85</w:t>
            </w:r>
          </w:p>
        </w:tc>
        <w:tc>
          <w:tcPr>
            <w:tcW w:w="1100" w:type="dxa"/>
            <w:tcBorders/>
            <w:vAlign w:val="center"/>
          </w:tcPr>
          <w:p>
            <w:pPr>
              <w:jc w:val="right"/>
            </w:pPr>
            <w:r>
              <w:rPr>
                <w:rFonts w:ascii="宋体" w:eastAsia="宋体" w:hAnsi="宋体" w:cs="宋体"/>
                <w:b w:val="0"/>
                <w:i w:val="0"/>
                <w:color w:val="000000"/>
                <w:sz w:val="14"/>
              </w:rPr>
              <w:t xml:space="preserve">6.85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0.87</w:t>
            </w:r>
          </w:p>
        </w:tc>
        <w:tc>
          <w:tcPr>
            <w:tcW w:w="1100" w:type="dxa"/>
            <w:tcBorders/>
            <w:vAlign w:val="center"/>
          </w:tcPr>
          <w:p>
            <w:pPr>
              <w:jc w:val="right"/>
            </w:pPr>
            <w:r>
              <w:rPr>
                <w:rFonts w:ascii="宋体" w:eastAsia="宋体" w:hAnsi="宋体" w:cs="宋体"/>
                <w:b w:val="0"/>
                <w:i w:val="0"/>
                <w:color w:val="000000"/>
                <w:sz w:val="14"/>
              </w:rPr>
              <w:t xml:space="preserve">0.87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0.38</w:t>
            </w:r>
          </w:p>
        </w:tc>
        <w:tc>
          <w:tcPr>
            <w:tcW w:w="1100" w:type="dxa"/>
            <w:tcBorders/>
            <w:vAlign w:val="center"/>
          </w:tcPr>
          <w:p>
            <w:pPr>
              <w:jc w:val="right"/>
            </w:pPr>
            <w:r>
              <w:rPr>
                <w:rFonts w:ascii="宋体" w:eastAsia="宋体" w:hAnsi="宋体" w:cs="宋体"/>
                <w:b w:val="0"/>
                <w:i w:val="0"/>
                <w:color w:val="000000"/>
                <w:sz w:val="14"/>
              </w:rPr>
              <w:t xml:space="preserve">0.38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0.71</w:t>
            </w:r>
          </w:p>
        </w:tc>
        <w:tc>
          <w:tcPr>
            <w:tcW w:w="1100" w:type="dxa"/>
            <w:tcBorders/>
            <w:vAlign w:val="center"/>
          </w:tcPr>
          <w:p>
            <w:pPr>
              <w:jc w:val="right"/>
            </w:pPr>
            <w:r>
              <w:rPr>
                <w:rFonts w:ascii="宋体" w:eastAsia="宋体" w:hAnsi="宋体" w:cs="宋体"/>
                <w:b w:val="0"/>
                <w:i w:val="0"/>
                <w:color w:val="000000"/>
                <w:sz w:val="14"/>
              </w:rPr>
              <w:t xml:space="preserve">0.71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8.81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8.81</w:t>
            </w:r>
          </w:p>
        </w:tc>
        <w:tc>
          <w:tcPr>
            <w:tcW w:w="1100" w:type="dxa"/>
            <w:tcBorders/>
            <w:vAlign w:val="center"/>
          </w:tcPr>
          <w:p>
            <w:pPr>
              <w:jc w:val="right"/>
            </w:pPr>
            <w:r>
              <w:rPr>
                <w:rFonts w:ascii="宋体" w:eastAsia="宋体" w:hAnsi="宋体" w:cs="宋体"/>
                <w:b w:val="0"/>
                <w:i w:val="0"/>
                <w:color w:val="000000"/>
                <w:sz w:val="14"/>
              </w:rPr>
              <w:t xml:space="preserve">8.81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8.81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8.81</w:t>
            </w:r>
          </w:p>
        </w:tc>
        <w:tc>
          <w:tcPr>
            <w:tcW w:w="1100" w:type="dxa"/>
            <w:tcBorders/>
            <w:vAlign w:val="center"/>
          </w:tcPr>
          <w:p>
            <w:pPr>
              <w:jc w:val="right"/>
            </w:pPr>
            <w:r>
              <w:rPr>
                <w:rFonts w:ascii="宋体" w:eastAsia="宋体" w:hAnsi="宋体" w:cs="宋体"/>
                <w:b w:val="0"/>
                <w:i w:val="0"/>
                <w:color w:val="000000"/>
                <w:sz w:val="14"/>
              </w:rPr>
              <w:t xml:space="preserve">8.81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8.81</w:t>
            </w:r>
          </w:p>
        </w:tc>
        <w:tc>
          <w:tcPr>
            <w:tcW w:w="1980" w:type="dxa"/>
            <w:tcBorders/>
            <w:vAlign w:val="center"/>
          </w:tcPr>
          <w:p>
            <w:pPr>
              <w:jc w:val="right"/>
            </w:pPr>
            <w:r>
              <w:rPr>
                <w:rFonts w:ascii="宋体" w:eastAsia="宋体" w:hAnsi="宋体" w:cs="宋体"/>
                <w:b/>
                <w:i w:val="0"/>
                <w:color w:val="000000"/>
                <w:sz w:val="20"/>
              </w:rPr>
              <w:t xml:space="preserve">8.81</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80" w:type="dxa"/>
            <w:tcBorders/>
            <w:vAlign w:val="center"/>
          </w:tcPr>
          <w:p>
            <w:pPr>
              <w:jc w:val="right"/>
            </w:pPr>
            <w:r>
              <w:rPr>
                <w:rFonts w:ascii="宋体" w:eastAsia="宋体" w:hAnsi="宋体" w:cs="宋体"/>
                <w:b w:val="0"/>
                <w:i w:val="0"/>
                <w:color w:val="000000"/>
                <w:sz w:val="20"/>
              </w:rPr>
              <w:t xml:space="preserve">0.87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80" w:type="dxa"/>
            <w:tcBorders/>
            <w:vAlign w:val="center"/>
          </w:tcPr>
          <w:p>
            <w:pPr>
              <w:jc w:val="right"/>
            </w:pPr>
            <w:r>
              <w:rPr>
                <w:rFonts w:ascii="宋体" w:eastAsia="宋体" w:hAnsi="宋体" w:cs="宋体"/>
                <w:b w:val="0"/>
                <w:i w:val="0"/>
                <w:color w:val="000000"/>
                <w:sz w:val="20"/>
              </w:rPr>
              <w:t xml:space="preserve">0.38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8.81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0.83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8.81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单位：辽宁省盘锦市双台子区法律援助中心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2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