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辽宁省盘锦市兴隆台区发展和改革局（本级）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辽宁省盘锦市兴隆台区发展和改革局（本级）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辽宁省盘锦市兴隆台区发展和改革局（本级）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辽宁省盘锦市兴隆台区发展和改革局（本级）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辽宁省盘锦市兴隆台区发展和改革局（本级）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辽宁省盘锦市兴隆台区发展和改革局（本级）概况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（一）根据《中共辽宁省委办公厅 辽宁省人民政府办公厅关于印发盘锦市县（市、区）机构改革方案的通知》（厅秘发〔2018〕259号），制定本规定。</w:t>
        <w:br/>
        <w:t xml:space="preserve">    （二）盘锦市兴隆台区发展和改革局是区政府工作部门，为正科级，加挂盘锦市兴隆台区粮食和物资储备局、盘锦市兴隆台区能源局牌子。</w:t>
        <w:br/>
        <w:t xml:space="preserve">    （三）盘锦市兴隆台区发展和改革局贯彻落实党中央、辽宁省委关于发展和改革工作的方针政策和决策部署，在履行职责过程中坚持和加强党对发展和改革工作的集中统一领导。主要职责是：</w:t>
        <w:br/>
        <w:t xml:space="preserve">    1.拟定并组织实施全区国民经济和社会发展战略、中长期规划及年度计划，统筹协调全区经济社会发展总体规划、专项规划和地方规划,衔接需要安排区政府投资和涉及重大项目的规划,建立健全科学制定、有效实施、及时评估和动态调整全区发展战略规划的制度机制。</w:t>
        <w:br/>
        <w:t xml:space="preserve">    2.衔接全市国民经济和社会发展、经济体制改革等 地方性法规、市政府规章草案,按规定指导、协调全区招投 标工作,建设全区统一规范的公共资源交易平台。</w:t>
        <w:br/>
        <w:t xml:space="preserve">    3.统筹协调全区经济社会发展,研判经济发展趋势,提出国民经济发展、价格总水平调控和优化重大经济结构的目标、政策,提出综合运用各种经济手段和政策的建议,受区政府委托向区人大提交全区国民经济和社会发展计划报告。综合协调全区宏观经济政策,会同相关部门完善宏观调控协调机制,推进宏观调控目标制定和政策手段运用机制化。</w:t>
        <w:br/>
        <w:t xml:space="preserve">    4.负责监测全区宏观经济和社会发展态势，承担预</w:t>
        <w:br/>
        <w:t xml:space="preserve">    测预警和信息引导的责任，研究宏观经济运行、总量平衡、经济安全和总体产业安全等重要问题并提出宏观调控政策建议及实施方案;研究并协调解决全区经济运行有关重大问题，衔接平衡各主要行业的专业规划。研究提出城镇化发展战略、规划和重大政策。</w:t>
        <w:br/>
        <w:t xml:space="preserve">    5.负责汇总分析全区财政、金融等方面情况,参与制定财政政策、金融发展政策、土地政策和价格政策，综合分析财政、金融、土地、价格政策的执行效果，会同有关部门负责全口径外债总量控制、结构优化和监测工作。负责全区社会信用体系建设和综合管理工作，推进社会信用体系建设。</w:t>
        <w:br/>
        <w:t xml:space="preserve">    6.承担指导推进和综合协调全区经济体制改革责任，研究经济体制改革重大问题，组织拟订综合性经济体制改革方案，协调有关专项经济体制改革方案，会同有关部门搞好重要专项经济体制改革之间的衔接。</w:t>
        <w:br/>
        <w:t xml:space="preserve">    7.承担全区固定资产投资综合管理职责,拟定全社会固定资产投资总规模和投资结构的调控目标、政策和措施。安排区本级基建资金,按权限审批、核准、审核跨地区、跨行业、跨领域和涉及综合平衡、重大布局的重大建设项目。审批、核准、备案重大外资项目和境外投资项目,参与外商投资安全审查有关工作,指导和监督国外贷款建设资金的使用,引导民间投资方向,研究提出全区利用外资和境外投资战略、规划、总量平衡和结构优化目标、政策及措施,指导协调矿产、能源、资源等领域重大项目的国际合作。牵头组织特重大自然灾害的灾后恢复重建规划编制,协调有关重大问题。指导工程咨询业发展。</w:t>
        <w:br/>
        <w:t xml:space="preserve">    8.推进全区经济结构战略性调整，组织拟订综合性产业政策，负责协调一二三次产业发展的重大问题并衔接平衡相关发展规划和重大政策，做好与全区国民经济和社会发展规划、计划的衔接平衡。协调全区农业和农村经济社会发展重大问题，会同有关部门拟订全区工业和服务业发展战略和重大政策，拟订现代物流业发展战略、规划,组织拟订高技术产业发展、产业技术进步战略、规划和重大政策,统筹推进战略性新兴产业发展,推进全区工业经济结构调整和产业升级。</w:t>
        <w:br/>
        <w:t xml:space="preserve">    9.组织实施全区区域协调发展及资源枯竭城市经济转型、老工业基地振兴、“五大区域”发展战略、规划和重大政策。研究提出全区社会事业发展规划，协调各项社会事业发展中的重大问题。负责协调推进全区参与“一带一路”建设工作。</w:t>
        <w:br/>
        <w:t xml:space="preserve">    10.研究分析国内外和市内外市场状况,负责重要商 品总量平衡和宏观调控相关工作,编制全区重要农产品、工 业品和原材料进出口总量计划并监督执行,根据经济运行情 况对进出口总量计划进行调整。</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辽宁省盘锦市兴隆台区发展和改革局（本级）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655.28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655.28</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655.28</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增加91.70万元，增长16.27%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一是增加了粮食奖励补贴资金；二是疫情物资采购费</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655.28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144.79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22.10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工资福利支出129.08万元；商品和服务支出13.01万元；对个人和家庭的补助2.04万元；资本性支出0.66万元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510.49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77.90</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主要包括疫情物资采购费、粮食奖励资金等业务支出。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增加91.70万元，增长16.27%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一是增加了粮食奖励补贴资金；二是疫情物资采购费</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2023年，兴隆台区发展和改革局（本级）未有结转和结余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655.28</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144.79</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510.49</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增加91.70万元，增长16.27%</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一是增加了粮食奖励补贴资金；二是疫情物资采购费</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315.61</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117.12</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607.73</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2023年度一般公共预算财政拨款支出655.28万元。按支出功能分类科目分，包括：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1.一般公共服务支出583.22万元，具体包括：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（1）一般公共服务支出（类）发展与改革事务（款）行政运行（项）112.73万元,主要是基本工资、津贴补贴等支出，完成年初预算的121.95%，决算数与年初预算数存在差异的主要原因是绩效工资剩余资金的发放。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发展与改革事务（款）一般行政管理事务（项）61.55万元,主要是项目等支出，完成年初预算的73.27%，决算数与年初预算数存在差异的主要原因是重点前期工作经费使用上级对口单位拨付的资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发展与改革事务（款）事业运行（项）0.00万元,主要是本单位无此类资金支出等支出，完成年初预算的本单位无此类资金支出%，决算数与年初预算数存在差异的主要原因是本单位无此类资金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一般公共服务支出（类）发展与改革事务（款）其他发展与改革事务支出（项）408.94万元,主要是疫情物资采购等支出，完成年初预算的0%，决算数与年初预算数存在差异的主要原因是此款项为一次性支出，未纳入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2.社会保障和就业支出14.51万元，具体包括：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1.90万元,主要是退休人员取暖费等支出，完成年初预算的86.36%，决算数与年初预算数存在差异的主要原因是有1位退休人员因出国未取得联系，将取暖费退回财政。</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12.61万元,主要是在职人员缴纳养老保险等支出，完成年初预算的100%，决算数与年初预算数存在差异的主要原因是未存在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3.卫生健康支出6.43万元，具体包括：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（1）卫生健康支出（类）行政事业单位医疗（款）行政单位医疗（项）4.79万元,主要是人员缴纳医疗保险等支出，完成年初预算的100%，决算数与年初预算数存在差异的主要原因是未存在差异。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（2）卫生健康支出（类）行政事业单位医疗（款）公务员医疗补助（项）1.34万元,主要是人员缴纳公务员医疗补助等支出，完成年初预算的100%，决算数与年初预算数存在差异的主要原因是未存在差异。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0.30万元,主要是人员大额医疗保险、工伤保险等支出，完成年初预算的214.28%，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4.住房保障支出11.12万元，具体包括：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（1）住房保障支出（类）住房改革支出（款）住房公积金（项）11.12万元,主要是人员缴纳住房公积金等支出，完成年初预算的109.02%，决算数与年初预算数存在差异的主要原因是人员变动。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5.粮油物资储备支出40.00万元，具体包括：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粮油物资储备支出（类）粮油物资事务（款）其他粮油物资事务支出（项）40.00万元,主要是粮食奖励补贴资金等支出，完成年初预算的0%，决算数与年初预算数存在差异的主要原因是此款项为上级对口单位拨付的专项经费。</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本单位无此类资金支出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本单位无此类资金支出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本单位无此类资金支出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本单位无此类资金支出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本单位无此类资金支出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本单位无此类资金支出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本单位无此类资金支出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144.79</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131.12</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13.67</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13.66</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比上年增加2.24万元，增长19.61%</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人员变动</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1.预算绩效管理工作开展情况。</w:t>
        <w:br/>
        <w:t xml:space="preserve">    （1）绩效自评情况。根据预算绩效管理要求，我单位组织对2023年度预算项目支出全面开展绩效自评，共涉及预算支出项目4个，涉及资金411.56万元，自评覆盖率（开展绩效自评的项目数/年初批复绩效目标的项目数）达到100%，自评平均分（开展绩效自评的项目分数总和/开展绩效自评的项目数）100分。组织对0个单位开展整体绩效自评，涉及资金0万元，自评平均分0分。</w:t>
        <w:br/>
        <w:t xml:space="preserve">    （2）部门评价情况。</w:t>
        <w:br/>
        <w:t xml:space="preserve">    2023年我单位未涉及相关评价工作。</w:t>
        <w:br/>
        <w:t xml:space="preserve">    2.部门决算中项目绩效自评结果。</w:t>
        <w:br/>
        <w:t xml:space="preserve">    （1）“疫情应急物资采购费”项目自评综述：根据年初设定的绩效目标，项目自评得分100分。项目全年预算数为408.94万元，执行数为408.94万元，完成预算的100%。项目绩效目标完成情况：已完成该项目。</w:t>
        <w:br/>
        <w:t xml:space="preserve">    （2）“油气管道专项经费”项目自评综述：根据年初设定的绩效目标，项目自评得分100分。项目全年预算数为1.63万元，执行数为1.63万元，完成预算的100%。项目绩效目标完成情况：已完成该项目。</w:t>
        <w:br/>
        <w:t xml:space="preserve">    （3）“涉粮工作经费”项目自评综述：根据年初设定的绩效目标，项目自评得分100分。项目全年预算数为0.07万元，执行数为0.07万元，完成预算的100%。项目绩效目标完成情况：已完成该项目。</w:t>
        <w:br/>
        <w:t xml:space="preserve">    （4）“综合业务费”项目自评综述：根据年初设定的绩效目标，项目自评得分100分。项目全年预算数为0.92万元，执行数为0.92万元，完成预算的100%。项目绩效目标完成情况：已完成该项目。</w:t>
        <w:br/>
        <w:t xml:space="preserve">    年初以来，我局严格按照绩效目标对应项目执行，在执行中做好指标使用管理，控制绩效目标较好。专项资金做到专款专用，按部门预算科学合理使用财政资金，充分发挥资金利用效率。</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单位：辽宁省盘锦市兴隆台区发展和改革局（本级）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655.28</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583.23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14.51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6.42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11.12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jc w:val="right"/>
            </w:pPr>
            <w:r>
              <w:rPr>
                <w:rFonts w:ascii="宋体" w:eastAsia="宋体" w:hAnsi="宋体" w:cs="宋体"/>
                <w:b w:val="0"/>
                <w:i w:val="0"/>
                <w:color w:val="000000"/>
                <w:sz w:val="18"/>
              </w:rPr>
              <w:t xml:space="preserve">40.00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655.28</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655.28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655.28</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655.28</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单位：辽宁省盘锦市兴隆台区发展和改革局（本级）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655.28</w:t>
            </w:r>
          </w:p>
        </w:tc>
        <w:tc>
          <w:tcPr>
            <w:tcW w:w="1160" w:type="dxa"/>
            <w:tcBorders/>
            <w:vAlign w:val="center"/>
          </w:tcPr>
          <w:p>
            <w:pPr>
              <w:jc w:val="right"/>
            </w:pPr>
            <w:r>
              <w:rPr>
                <w:rFonts w:ascii="宋体" w:eastAsia="宋体" w:hAnsi="宋体" w:cs="宋体"/>
                <w:b/>
                <w:i w:val="0"/>
                <w:color w:val="000000"/>
                <w:sz w:val="14"/>
              </w:rPr>
              <w:t xml:space="preserve">655.28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583.22</w:t>
            </w:r>
          </w:p>
        </w:tc>
        <w:tc>
          <w:tcPr>
            <w:tcW w:w="1160" w:type="dxa"/>
            <w:tcBorders/>
            <w:vAlign w:val="center"/>
          </w:tcPr>
          <w:p>
            <w:pPr>
              <w:jc w:val="right"/>
            </w:pPr>
            <w:r>
              <w:rPr>
                <w:rFonts w:ascii="宋体" w:eastAsia="宋体" w:hAnsi="宋体" w:cs="宋体"/>
                <w:b w:val="0"/>
                <w:i w:val="0"/>
                <w:color w:val="000000"/>
                <w:sz w:val="14"/>
              </w:rPr>
              <w:t xml:space="preserve">583.22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发展与改革事务</w:t>
            </w:r>
          </w:p>
        </w:tc>
        <w:tc>
          <w:tcPr>
            <w:tcW w:w="1160" w:type="dxa"/>
            <w:tcBorders/>
            <w:vAlign w:val="center"/>
          </w:tcPr>
          <w:p>
            <w:pPr>
              <w:jc w:val="right"/>
            </w:pPr>
            <w:r>
              <w:rPr>
                <w:rFonts w:ascii="宋体" w:eastAsia="宋体" w:hAnsi="宋体" w:cs="宋体"/>
                <w:b w:val="0"/>
                <w:i w:val="0"/>
                <w:color w:val="000000"/>
                <w:sz w:val="14"/>
              </w:rPr>
              <w:t xml:space="preserve">583.22</w:t>
            </w:r>
          </w:p>
        </w:tc>
        <w:tc>
          <w:tcPr>
            <w:tcW w:w="1160" w:type="dxa"/>
            <w:tcBorders/>
            <w:vAlign w:val="center"/>
          </w:tcPr>
          <w:p>
            <w:pPr>
              <w:jc w:val="right"/>
            </w:pPr>
            <w:r>
              <w:rPr>
                <w:rFonts w:ascii="宋体" w:eastAsia="宋体" w:hAnsi="宋体" w:cs="宋体"/>
                <w:b w:val="0"/>
                <w:i w:val="0"/>
                <w:color w:val="000000"/>
                <w:sz w:val="14"/>
              </w:rPr>
              <w:t xml:space="preserve">583.22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2010401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112.73</w:t>
            </w:r>
          </w:p>
        </w:tc>
        <w:tc>
          <w:tcPr>
            <w:tcW w:w="1160" w:type="dxa"/>
            <w:tcBorders/>
            <w:vAlign w:val="center"/>
          </w:tcPr>
          <w:p>
            <w:pPr>
              <w:jc w:val="right"/>
            </w:pPr>
            <w:r>
              <w:rPr>
                <w:rFonts w:ascii="宋体" w:eastAsia="宋体" w:hAnsi="宋体" w:cs="宋体"/>
                <w:b w:val="0"/>
                <w:i w:val="0"/>
                <w:color w:val="000000"/>
                <w:sz w:val="14"/>
              </w:rPr>
              <w:t xml:space="preserve">112.73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2010402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61.55</w:t>
            </w:r>
          </w:p>
        </w:tc>
        <w:tc>
          <w:tcPr>
            <w:tcW w:w="1160" w:type="dxa"/>
            <w:tcBorders/>
            <w:vAlign w:val="center"/>
          </w:tcPr>
          <w:p>
            <w:pPr>
              <w:jc w:val="right"/>
            </w:pPr>
            <w:r>
              <w:rPr>
                <w:rFonts w:ascii="宋体" w:eastAsia="宋体" w:hAnsi="宋体" w:cs="宋体"/>
                <w:b w:val="0"/>
                <w:i w:val="0"/>
                <w:color w:val="000000"/>
                <w:sz w:val="14"/>
              </w:rPr>
              <w:t xml:space="preserve">61.55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2010499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其他发展与改革事务支出</w:t>
            </w:r>
          </w:p>
        </w:tc>
        <w:tc>
          <w:tcPr>
            <w:tcW w:w="1160" w:type="dxa"/>
            <w:tcBorders/>
            <w:vAlign w:val="center"/>
          </w:tcPr>
          <w:p>
            <w:pPr>
              <w:jc w:val="right"/>
            </w:pPr>
            <w:r>
              <w:rPr>
                <w:rFonts w:ascii="宋体" w:eastAsia="宋体" w:hAnsi="宋体" w:cs="宋体"/>
                <w:b w:val="0"/>
                <w:i w:val="0"/>
                <w:color w:val="000000"/>
                <w:sz w:val="14"/>
              </w:rPr>
              <w:t xml:space="preserve">408.94</w:t>
            </w:r>
          </w:p>
        </w:tc>
        <w:tc>
          <w:tcPr>
            <w:tcW w:w="1160" w:type="dxa"/>
            <w:tcBorders/>
            <w:vAlign w:val="center"/>
          </w:tcPr>
          <w:p>
            <w:pPr>
              <w:jc w:val="right"/>
            </w:pPr>
            <w:r>
              <w:rPr>
                <w:rFonts w:ascii="宋体" w:eastAsia="宋体" w:hAnsi="宋体" w:cs="宋体"/>
                <w:b w:val="0"/>
                <w:i w:val="0"/>
                <w:color w:val="000000"/>
                <w:sz w:val="14"/>
              </w:rPr>
              <w:t xml:space="preserve">408.94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14.51</w:t>
            </w:r>
          </w:p>
        </w:tc>
        <w:tc>
          <w:tcPr>
            <w:tcW w:w="1160" w:type="dxa"/>
            <w:tcBorders/>
            <w:vAlign w:val="center"/>
          </w:tcPr>
          <w:p>
            <w:pPr>
              <w:jc w:val="right"/>
            </w:pPr>
            <w:r>
              <w:rPr>
                <w:rFonts w:ascii="宋体" w:eastAsia="宋体" w:hAnsi="宋体" w:cs="宋体"/>
                <w:b w:val="0"/>
                <w:i w:val="0"/>
                <w:color w:val="000000"/>
                <w:sz w:val="14"/>
              </w:rPr>
              <w:t xml:space="preserve">14.51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14.51</w:t>
            </w:r>
          </w:p>
        </w:tc>
        <w:tc>
          <w:tcPr>
            <w:tcW w:w="1160" w:type="dxa"/>
            <w:tcBorders/>
            <w:vAlign w:val="center"/>
          </w:tcPr>
          <w:p>
            <w:pPr>
              <w:jc w:val="right"/>
            </w:pPr>
            <w:r>
              <w:rPr>
                <w:rFonts w:ascii="宋体" w:eastAsia="宋体" w:hAnsi="宋体" w:cs="宋体"/>
                <w:b w:val="0"/>
                <w:i w:val="0"/>
                <w:color w:val="000000"/>
                <w:sz w:val="14"/>
              </w:rPr>
              <w:t xml:space="preserve">14.51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1.90</w:t>
            </w:r>
          </w:p>
        </w:tc>
        <w:tc>
          <w:tcPr>
            <w:tcW w:w="1160" w:type="dxa"/>
            <w:tcBorders/>
            <w:vAlign w:val="center"/>
          </w:tcPr>
          <w:p>
            <w:pPr>
              <w:jc w:val="right"/>
            </w:pPr>
            <w:r>
              <w:rPr>
                <w:rFonts w:ascii="宋体" w:eastAsia="宋体" w:hAnsi="宋体" w:cs="宋体"/>
                <w:b w:val="0"/>
                <w:i w:val="0"/>
                <w:color w:val="000000"/>
                <w:sz w:val="14"/>
              </w:rPr>
              <w:t xml:space="preserve">1.90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12.61</w:t>
            </w:r>
          </w:p>
        </w:tc>
        <w:tc>
          <w:tcPr>
            <w:tcW w:w="1160" w:type="dxa"/>
            <w:tcBorders/>
            <w:vAlign w:val="center"/>
          </w:tcPr>
          <w:p>
            <w:pPr>
              <w:jc w:val="right"/>
            </w:pPr>
            <w:r>
              <w:rPr>
                <w:rFonts w:ascii="宋体" w:eastAsia="宋体" w:hAnsi="宋体" w:cs="宋体"/>
                <w:b w:val="0"/>
                <w:i w:val="0"/>
                <w:color w:val="000000"/>
                <w:sz w:val="14"/>
              </w:rPr>
              <w:t xml:space="preserve">12.61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6.43</w:t>
            </w:r>
          </w:p>
        </w:tc>
        <w:tc>
          <w:tcPr>
            <w:tcW w:w="1160" w:type="dxa"/>
            <w:tcBorders/>
            <w:vAlign w:val="center"/>
          </w:tcPr>
          <w:p>
            <w:pPr>
              <w:jc w:val="right"/>
            </w:pPr>
            <w:r>
              <w:rPr>
                <w:rFonts w:ascii="宋体" w:eastAsia="宋体" w:hAnsi="宋体" w:cs="宋体"/>
                <w:b w:val="0"/>
                <w:i w:val="0"/>
                <w:color w:val="000000"/>
                <w:sz w:val="14"/>
              </w:rPr>
              <w:t xml:space="preserve">6.43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6.43</w:t>
            </w:r>
          </w:p>
        </w:tc>
        <w:tc>
          <w:tcPr>
            <w:tcW w:w="1160" w:type="dxa"/>
            <w:tcBorders/>
            <w:vAlign w:val="center"/>
          </w:tcPr>
          <w:p>
            <w:pPr>
              <w:jc w:val="right"/>
            </w:pPr>
            <w:r>
              <w:rPr>
                <w:rFonts w:ascii="宋体" w:eastAsia="宋体" w:hAnsi="宋体" w:cs="宋体"/>
                <w:b w:val="0"/>
                <w:i w:val="0"/>
                <w:color w:val="000000"/>
                <w:sz w:val="14"/>
              </w:rPr>
              <w:t xml:space="preserve">6.43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4.79</w:t>
            </w:r>
          </w:p>
        </w:tc>
        <w:tc>
          <w:tcPr>
            <w:tcW w:w="1160" w:type="dxa"/>
            <w:tcBorders/>
            <w:vAlign w:val="center"/>
          </w:tcPr>
          <w:p>
            <w:pPr>
              <w:jc w:val="right"/>
            </w:pPr>
            <w:r>
              <w:rPr>
                <w:rFonts w:ascii="宋体" w:eastAsia="宋体" w:hAnsi="宋体" w:cs="宋体"/>
                <w:b w:val="0"/>
                <w:i w:val="0"/>
                <w:color w:val="000000"/>
                <w:sz w:val="14"/>
              </w:rPr>
              <w:t xml:space="preserve">4.79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1.34</w:t>
            </w:r>
          </w:p>
        </w:tc>
        <w:tc>
          <w:tcPr>
            <w:tcW w:w="1160" w:type="dxa"/>
            <w:tcBorders/>
            <w:vAlign w:val="center"/>
          </w:tcPr>
          <w:p>
            <w:pPr>
              <w:jc w:val="right"/>
            </w:pPr>
            <w:r>
              <w:rPr>
                <w:rFonts w:ascii="宋体" w:eastAsia="宋体" w:hAnsi="宋体" w:cs="宋体"/>
                <w:b w:val="0"/>
                <w:i w:val="0"/>
                <w:color w:val="000000"/>
                <w:sz w:val="14"/>
              </w:rPr>
              <w:t xml:space="preserve">1.34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0.30</w:t>
            </w:r>
          </w:p>
        </w:tc>
        <w:tc>
          <w:tcPr>
            <w:tcW w:w="1160" w:type="dxa"/>
            <w:tcBorders/>
            <w:vAlign w:val="center"/>
          </w:tcPr>
          <w:p>
            <w:pPr>
              <w:jc w:val="right"/>
            </w:pPr>
            <w:r>
              <w:rPr>
                <w:rFonts w:ascii="宋体" w:eastAsia="宋体" w:hAnsi="宋体" w:cs="宋体"/>
                <w:b w:val="0"/>
                <w:i w:val="0"/>
                <w:color w:val="000000"/>
                <w:sz w:val="14"/>
              </w:rPr>
              <w:t xml:space="preserve">0.30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11.12</w:t>
            </w:r>
          </w:p>
        </w:tc>
        <w:tc>
          <w:tcPr>
            <w:tcW w:w="1160" w:type="dxa"/>
            <w:tcBorders/>
            <w:vAlign w:val="center"/>
          </w:tcPr>
          <w:p>
            <w:pPr>
              <w:jc w:val="right"/>
            </w:pPr>
            <w:r>
              <w:rPr>
                <w:rFonts w:ascii="宋体" w:eastAsia="宋体" w:hAnsi="宋体" w:cs="宋体"/>
                <w:b w:val="0"/>
                <w:i w:val="0"/>
                <w:color w:val="000000"/>
                <w:sz w:val="14"/>
              </w:rPr>
              <w:t xml:space="preserve">11.12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11.12</w:t>
            </w:r>
          </w:p>
        </w:tc>
        <w:tc>
          <w:tcPr>
            <w:tcW w:w="1160" w:type="dxa"/>
            <w:tcBorders/>
            <w:vAlign w:val="center"/>
          </w:tcPr>
          <w:p>
            <w:pPr>
              <w:jc w:val="right"/>
            </w:pPr>
            <w:r>
              <w:rPr>
                <w:rFonts w:ascii="宋体" w:eastAsia="宋体" w:hAnsi="宋体" w:cs="宋体"/>
                <w:b w:val="0"/>
                <w:i w:val="0"/>
                <w:color w:val="000000"/>
                <w:sz w:val="14"/>
              </w:rPr>
              <w:t xml:space="preserve">11.12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11.12</w:t>
            </w:r>
          </w:p>
        </w:tc>
        <w:tc>
          <w:tcPr>
            <w:tcW w:w="1160" w:type="dxa"/>
            <w:tcBorders/>
            <w:vAlign w:val="center"/>
          </w:tcPr>
          <w:p>
            <w:pPr>
              <w:jc w:val="right"/>
            </w:pPr>
            <w:r>
              <w:rPr>
                <w:rFonts w:ascii="宋体" w:eastAsia="宋体" w:hAnsi="宋体" w:cs="宋体"/>
                <w:b w:val="0"/>
                <w:i w:val="0"/>
                <w:color w:val="000000"/>
                <w:sz w:val="14"/>
              </w:rPr>
              <w:t xml:space="preserve">11.12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粮油物资储备支出</w:t>
            </w:r>
          </w:p>
        </w:tc>
        <w:tc>
          <w:tcPr>
            <w:tcW w:w="1160" w:type="dxa"/>
            <w:tcBorders/>
            <w:vAlign w:val="center"/>
          </w:tcPr>
          <w:p>
            <w:pPr>
              <w:jc w:val="right"/>
            </w:pPr>
            <w:r>
              <w:rPr>
                <w:rFonts w:ascii="宋体" w:eastAsia="宋体" w:hAnsi="宋体" w:cs="宋体"/>
                <w:b w:val="0"/>
                <w:i w:val="0"/>
                <w:color w:val="000000"/>
                <w:sz w:val="14"/>
              </w:rPr>
              <w:t xml:space="preserve">40.00</w:t>
            </w:r>
          </w:p>
        </w:tc>
        <w:tc>
          <w:tcPr>
            <w:tcW w:w="1160" w:type="dxa"/>
            <w:tcBorders/>
            <w:vAlign w:val="center"/>
          </w:tcPr>
          <w:p>
            <w:pPr>
              <w:jc w:val="right"/>
            </w:pPr>
            <w:r>
              <w:rPr>
                <w:rFonts w:ascii="宋体" w:eastAsia="宋体" w:hAnsi="宋体" w:cs="宋体"/>
                <w:b w:val="0"/>
                <w:i w:val="0"/>
                <w:color w:val="000000"/>
                <w:sz w:val="14"/>
              </w:rPr>
              <w:t xml:space="preserve">40.00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粮油物资事务</w:t>
            </w:r>
          </w:p>
        </w:tc>
        <w:tc>
          <w:tcPr>
            <w:tcW w:w="1160" w:type="dxa"/>
            <w:tcBorders/>
            <w:vAlign w:val="center"/>
          </w:tcPr>
          <w:p>
            <w:pPr>
              <w:jc w:val="right"/>
            </w:pPr>
            <w:r>
              <w:rPr>
                <w:rFonts w:ascii="宋体" w:eastAsia="宋体" w:hAnsi="宋体" w:cs="宋体"/>
                <w:b w:val="0"/>
                <w:i w:val="0"/>
                <w:color w:val="000000"/>
                <w:sz w:val="14"/>
              </w:rPr>
              <w:t xml:space="preserve">40.00</w:t>
            </w:r>
          </w:p>
        </w:tc>
        <w:tc>
          <w:tcPr>
            <w:tcW w:w="1160" w:type="dxa"/>
            <w:tcBorders/>
            <w:vAlign w:val="center"/>
          </w:tcPr>
          <w:p>
            <w:pPr>
              <w:jc w:val="right"/>
            </w:pPr>
            <w:r>
              <w:rPr>
                <w:rFonts w:ascii="宋体" w:eastAsia="宋体" w:hAnsi="宋体" w:cs="宋体"/>
                <w:b w:val="0"/>
                <w:i w:val="0"/>
                <w:color w:val="000000"/>
                <w:sz w:val="14"/>
              </w:rPr>
              <w:t xml:space="preserve">40.00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2220199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其他粮油物资事务支出</w:t>
            </w:r>
          </w:p>
        </w:tc>
        <w:tc>
          <w:tcPr>
            <w:tcW w:w="1160" w:type="dxa"/>
            <w:tcBorders/>
            <w:vAlign w:val="center"/>
          </w:tcPr>
          <w:p>
            <w:pPr>
              <w:jc w:val="right"/>
            </w:pPr>
            <w:r>
              <w:rPr>
                <w:rFonts w:ascii="宋体" w:eastAsia="宋体" w:hAnsi="宋体" w:cs="宋体"/>
                <w:b w:val="0"/>
                <w:i w:val="0"/>
                <w:color w:val="000000"/>
                <w:sz w:val="14"/>
              </w:rPr>
              <w:t xml:space="preserve">40.00</w:t>
            </w:r>
          </w:p>
        </w:tc>
        <w:tc>
          <w:tcPr>
            <w:tcW w:w="1160" w:type="dxa"/>
            <w:tcBorders/>
            <w:vAlign w:val="center"/>
          </w:tcPr>
          <w:p>
            <w:pPr>
              <w:jc w:val="right"/>
            </w:pPr>
            <w:r>
              <w:rPr>
                <w:rFonts w:ascii="宋体" w:eastAsia="宋体" w:hAnsi="宋体" w:cs="宋体"/>
                <w:b w:val="0"/>
                <w:i w:val="0"/>
                <w:color w:val="000000"/>
                <w:sz w:val="14"/>
              </w:rPr>
              <w:t xml:space="preserve">40.00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单位：辽宁省盘锦市兴隆台区发展和改革局（本级）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655.28</w:t>
            </w:r>
          </w:p>
        </w:tc>
        <w:tc>
          <w:tcPr>
            <w:tcW w:w="1120" w:type="dxa"/>
            <w:tcBorders/>
            <w:vAlign w:val="center"/>
          </w:tcPr>
          <w:p>
            <w:pPr>
              <w:jc w:val="right"/>
            </w:pPr>
            <w:r>
              <w:rPr>
                <w:rFonts w:ascii="宋体" w:eastAsia="宋体" w:hAnsi="宋体" w:cs="宋体"/>
                <w:b/>
                <w:i w:val="0"/>
                <w:color w:val="000000"/>
                <w:sz w:val="16"/>
              </w:rPr>
              <w:t xml:space="preserve">144.79</w:t>
            </w:r>
          </w:p>
        </w:tc>
        <w:tc>
          <w:tcPr>
            <w:tcW w:w="1120" w:type="dxa"/>
            <w:tcBorders/>
            <w:vAlign w:val="center"/>
          </w:tcPr>
          <w:p>
            <w:pPr>
              <w:jc w:val="right"/>
            </w:pPr>
            <w:r>
              <w:rPr>
                <w:rFonts w:ascii="宋体" w:eastAsia="宋体" w:hAnsi="宋体" w:cs="宋体"/>
                <w:b/>
                <w:i w:val="0"/>
                <w:color w:val="000000"/>
                <w:sz w:val="16"/>
              </w:rPr>
              <w:t xml:space="preserve">510.49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583.22</w:t>
            </w:r>
          </w:p>
        </w:tc>
        <w:tc>
          <w:tcPr>
            <w:tcW w:w="1120" w:type="dxa"/>
            <w:tcBorders/>
            <w:vAlign w:val="center"/>
          </w:tcPr>
          <w:p>
            <w:pPr>
              <w:jc w:val="right"/>
            </w:pPr>
            <w:r>
              <w:rPr>
                <w:rFonts w:ascii="宋体" w:eastAsia="宋体" w:hAnsi="宋体" w:cs="宋体"/>
                <w:b w:val="0"/>
                <w:i w:val="0"/>
                <w:color w:val="000000"/>
                <w:sz w:val="16"/>
              </w:rPr>
              <w:t xml:space="preserve">112.73</w:t>
            </w:r>
          </w:p>
        </w:tc>
        <w:tc>
          <w:tcPr>
            <w:tcW w:w="1120" w:type="dxa"/>
            <w:tcBorders/>
            <w:vAlign w:val="center"/>
          </w:tcPr>
          <w:p>
            <w:pPr>
              <w:jc w:val="right"/>
            </w:pPr>
            <w:r>
              <w:rPr>
                <w:rFonts w:ascii="宋体" w:eastAsia="宋体" w:hAnsi="宋体" w:cs="宋体"/>
                <w:b w:val="0"/>
                <w:i w:val="0"/>
                <w:color w:val="000000"/>
                <w:sz w:val="16"/>
              </w:rPr>
              <w:t xml:space="preserve">470.49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发展与改革事务</w:t>
            </w:r>
          </w:p>
        </w:tc>
        <w:tc>
          <w:tcPr>
            <w:tcW w:w="1120" w:type="dxa"/>
            <w:tcBorders/>
            <w:vAlign w:val="center"/>
          </w:tcPr>
          <w:p>
            <w:pPr>
              <w:jc w:val="right"/>
            </w:pPr>
            <w:r>
              <w:rPr>
                <w:rFonts w:ascii="宋体" w:eastAsia="宋体" w:hAnsi="宋体" w:cs="宋体"/>
                <w:b w:val="0"/>
                <w:i w:val="0"/>
                <w:color w:val="000000"/>
                <w:sz w:val="16"/>
              </w:rPr>
              <w:t xml:space="preserve">583.22</w:t>
            </w:r>
          </w:p>
        </w:tc>
        <w:tc>
          <w:tcPr>
            <w:tcW w:w="1120" w:type="dxa"/>
            <w:tcBorders/>
            <w:vAlign w:val="center"/>
          </w:tcPr>
          <w:p>
            <w:pPr>
              <w:jc w:val="right"/>
            </w:pPr>
            <w:r>
              <w:rPr>
                <w:rFonts w:ascii="宋体" w:eastAsia="宋体" w:hAnsi="宋体" w:cs="宋体"/>
                <w:b w:val="0"/>
                <w:i w:val="0"/>
                <w:color w:val="000000"/>
                <w:sz w:val="16"/>
              </w:rPr>
              <w:t xml:space="preserve">112.73</w:t>
            </w:r>
          </w:p>
        </w:tc>
        <w:tc>
          <w:tcPr>
            <w:tcW w:w="1120" w:type="dxa"/>
            <w:tcBorders/>
            <w:vAlign w:val="center"/>
          </w:tcPr>
          <w:p>
            <w:pPr>
              <w:jc w:val="right"/>
            </w:pPr>
            <w:r>
              <w:rPr>
                <w:rFonts w:ascii="宋体" w:eastAsia="宋体" w:hAnsi="宋体" w:cs="宋体"/>
                <w:b w:val="0"/>
                <w:i w:val="0"/>
                <w:color w:val="000000"/>
                <w:sz w:val="16"/>
              </w:rPr>
              <w:t xml:space="preserve">470.49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2010401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112.73</w:t>
            </w:r>
          </w:p>
        </w:tc>
        <w:tc>
          <w:tcPr>
            <w:tcW w:w="1120" w:type="dxa"/>
            <w:tcBorders/>
            <w:vAlign w:val="center"/>
          </w:tcPr>
          <w:p>
            <w:pPr>
              <w:jc w:val="right"/>
            </w:pPr>
            <w:r>
              <w:rPr>
                <w:rFonts w:ascii="宋体" w:eastAsia="宋体" w:hAnsi="宋体" w:cs="宋体"/>
                <w:b w:val="0"/>
                <w:i w:val="0"/>
                <w:color w:val="000000"/>
                <w:sz w:val="16"/>
              </w:rPr>
              <w:t xml:space="preserve">112.73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2010402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61.55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61.55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2010499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其他发展与改革事务支出</w:t>
            </w:r>
          </w:p>
        </w:tc>
        <w:tc>
          <w:tcPr>
            <w:tcW w:w="1120" w:type="dxa"/>
            <w:tcBorders/>
            <w:vAlign w:val="center"/>
          </w:tcPr>
          <w:p>
            <w:pPr>
              <w:jc w:val="right"/>
            </w:pPr>
            <w:r>
              <w:rPr>
                <w:rFonts w:ascii="宋体" w:eastAsia="宋体" w:hAnsi="宋体" w:cs="宋体"/>
                <w:b w:val="0"/>
                <w:i w:val="0"/>
                <w:color w:val="000000"/>
                <w:sz w:val="16"/>
              </w:rPr>
              <w:t xml:space="preserve">408.94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408.94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14.51</w:t>
            </w:r>
          </w:p>
        </w:tc>
        <w:tc>
          <w:tcPr>
            <w:tcW w:w="1120" w:type="dxa"/>
            <w:tcBorders/>
            <w:vAlign w:val="center"/>
          </w:tcPr>
          <w:p>
            <w:pPr>
              <w:jc w:val="right"/>
            </w:pPr>
            <w:r>
              <w:rPr>
                <w:rFonts w:ascii="宋体" w:eastAsia="宋体" w:hAnsi="宋体" w:cs="宋体"/>
                <w:b w:val="0"/>
                <w:i w:val="0"/>
                <w:color w:val="000000"/>
                <w:sz w:val="16"/>
              </w:rPr>
              <w:t xml:space="preserve">14.51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14.51</w:t>
            </w:r>
          </w:p>
        </w:tc>
        <w:tc>
          <w:tcPr>
            <w:tcW w:w="1120" w:type="dxa"/>
            <w:tcBorders/>
            <w:vAlign w:val="center"/>
          </w:tcPr>
          <w:p>
            <w:pPr>
              <w:jc w:val="right"/>
            </w:pPr>
            <w:r>
              <w:rPr>
                <w:rFonts w:ascii="宋体" w:eastAsia="宋体" w:hAnsi="宋体" w:cs="宋体"/>
                <w:b w:val="0"/>
                <w:i w:val="0"/>
                <w:color w:val="000000"/>
                <w:sz w:val="16"/>
              </w:rPr>
              <w:t xml:space="preserve">14.51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1.90</w:t>
            </w:r>
          </w:p>
        </w:tc>
        <w:tc>
          <w:tcPr>
            <w:tcW w:w="1120" w:type="dxa"/>
            <w:tcBorders/>
            <w:vAlign w:val="center"/>
          </w:tcPr>
          <w:p>
            <w:pPr>
              <w:jc w:val="right"/>
            </w:pPr>
            <w:r>
              <w:rPr>
                <w:rFonts w:ascii="宋体" w:eastAsia="宋体" w:hAnsi="宋体" w:cs="宋体"/>
                <w:b w:val="0"/>
                <w:i w:val="0"/>
                <w:color w:val="000000"/>
                <w:sz w:val="16"/>
              </w:rPr>
              <w:t xml:space="preserve">1.90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12.61</w:t>
            </w:r>
          </w:p>
        </w:tc>
        <w:tc>
          <w:tcPr>
            <w:tcW w:w="1120" w:type="dxa"/>
            <w:tcBorders/>
            <w:vAlign w:val="center"/>
          </w:tcPr>
          <w:p>
            <w:pPr>
              <w:jc w:val="right"/>
            </w:pPr>
            <w:r>
              <w:rPr>
                <w:rFonts w:ascii="宋体" w:eastAsia="宋体" w:hAnsi="宋体" w:cs="宋体"/>
                <w:b w:val="0"/>
                <w:i w:val="0"/>
                <w:color w:val="000000"/>
                <w:sz w:val="16"/>
              </w:rPr>
              <w:t xml:space="preserve">12.61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6.43</w:t>
            </w:r>
          </w:p>
        </w:tc>
        <w:tc>
          <w:tcPr>
            <w:tcW w:w="1120" w:type="dxa"/>
            <w:tcBorders/>
            <w:vAlign w:val="center"/>
          </w:tcPr>
          <w:p>
            <w:pPr>
              <w:jc w:val="right"/>
            </w:pPr>
            <w:r>
              <w:rPr>
                <w:rFonts w:ascii="宋体" w:eastAsia="宋体" w:hAnsi="宋体" w:cs="宋体"/>
                <w:b w:val="0"/>
                <w:i w:val="0"/>
                <w:color w:val="000000"/>
                <w:sz w:val="16"/>
              </w:rPr>
              <w:t xml:space="preserve">6.43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6.43</w:t>
            </w:r>
          </w:p>
        </w:tc>
        <w:tc>
          <w:tcPr>
            <w:tcW w:w="1120" w:type="dxa"/>
            <w:tcBorders/>
            <w:vAlign w:val="center"/>
          </w:tcPr>
          <w:p>
            <w:pPr>
              <w:jc w:val="right"/>
            </w:pPr>
            <w:r>
              <w:rPr>
                <w:rFonts w:ascii="宋体" w:eastAsia="宋体" w:hAnsi="宋体" w:cs="宋体"/>
                <w:b w:val="0"/>
                <w:i w:val="0"/>
                <w:color w:val="000000"/>
                <w:sz w:val="16"/>
              </w:rPr>
              <w:t xml:space="preserve">6.43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4.79</w:t>
            </w:r>
          </w:p>
        </w:tc>
        <w:tc>
          <w:tcPr>
            <w:tcW w:w="1120" w:type="dxa"/>
            <w:tcBorders/>
            <w:vAlign w:val="center"/>
          </w:tcPr>
          <w:p>
            <w:pPr>
              <w:jc w:val="right"/>
            </w:pPr>
            <w:r>
              <w:rPr>
                <w:rFonts w:ascii="宋体" w:eastAsia="宋体" w:hAnsi="宋体" w:cs="宋体"/>
                <w:b w:val="0"/>
                <w:i w:val="0"/>
                <w:color w:val="000000"/>
                <w:sz w:val="16"/>
              </w:rPr>
              <w:t xml:space="preserve">4.79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1.34</w:t>
            </w:r>
          </w:p>
        </w:tc>
        <w:tc>
          <w:tcPr>
            <w:tcW w:w="1120" w:type="dxa"/>
            <w:tcBorders/>
            <w:vAlign w:val="center"/>
          </w:tcPr>
          <w:p>
            <w:pPr>
              <w:jc w:val="right"/>
            </w:pPr>
            <w:r>
              <w:rPr>
                <w:rFonts w:ascii="宋体" w:eastAsia="宋体" w:hAnsi="宋体" w:cs="宋体"/>
                <w:b w:val="0"/>
                <w:i w:val="0"/>
                <w:color w:val="000000"/>
                <w:sz w:val="16"/>
              </w:rPr>
              <w:t xml:space="preserve">1.34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0.30</w:t>
            </w:r>
          </w:p>
        </w:tc>
        <w:tc>
          <w:tcPr>
            <w:tcW w:w="1120" w:type="dxa"/>
            <w:tcBorders/>
            <w:vAlign w:val="center"/>
          </w:tcPr>
          <w:p>
            <w:pPr>
              <w:jc w:val="right"/>
            </w:pPr>
            <w:r>
              <w:rPr>
                <w:rFonts w:ascii="宋体" w:eastAsia="宋体" w:hAnsi="宋体" w:cs="宋体"/>
                <w:b w:val="0"/>
                <w:i w:val="0"/>
                <w:color w:val="000000"/>
                <w:sz w:val="16"/>
              </w:rPr>
              <w:t xml:space="preserve">0.30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11.12</w:t>
            </w:r>
          </w:p>
        </w:tc>
        <w:tc>
          <w:tcPr>
            <w:tcW w:w="1120" w:type="dxa"/>
            <w:tcBorders/>
            <w:vAlign w:val="center"/>
          </w:tcPr>
          <w:p>
            <w:pPr>
              <w:jc w:val="right"/>
            </w:pPr>
            <w:r>
              <w:rPr>
                <w:rFonts w:ascii="宋体" w:eastAsia="宋体" w:hAnsi="宋体" w:cs="宋体"/>
                <w:b w:val="0"/>
                <w:i w:val="0"/>
                <w:color w:val="000000"/>
                <w:sz w:val="16"/>
              </w:rPr>
              <w:t xml:space="preserve">11.12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11.12</w:t>
            </w:r>
          </w:p>
        </w:tc>
        <w:tc>
          <w:tcPr>
            <w:tcW w:w="1120" w:type="dxa"/>
            <w:tcBorders/>
            <w:vAlign w:val="center"/>
          </w:tcPr>
          <w:p>
            <w:pPr>
              <w:jc w:val="right"/>
            </w:pPr>
            <w:r>
              <w:rPr>
                <w:rFonts w:ascii="宋体" w:eastAsia="宋体" w:hAnsi="宋体" w:cs="宋体"/>
                <w:b w:val="0"/>
                <w:i w:val="0"/>
                <w:color w:val="000000"/>
                <w:sz w:val="16"/>
              </w:rPr>
              <w:t xml:space="preserve">11.12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11.12</w:t>
            </w:r>
          </w:p>
        </w:tc>
        <w:tc>
          <w:tcPr>
            <w:tcW w:w="1120" w:type="dxa"/>
            <w:tcBorders/>
            <w:vAlign w:val="center"/>
          </w:tcPr>
          <w:p>
            <w:pPr>
              <w:jc w:val="right"/>
            </w:pPr>
            <w:r>
              <w:rPr>
                <w:rFonts w:ascii="宋体" w:eastAsia="宋体" w:hAnsi="宋体" w:cs="宋体"/>
                <w:b w:val="0"/>
                <w:i w:val="0"/>
                <w:color w:val="000000"/>
                <w:sz w:val="16"/>
              </w:rPr>
              <w:t xml:space="preserve">11.12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粮油物资储备支出</w:t>
            </w:r>
          </w:p>
        </w:tc>
        <w:tc>
          <w:tcPr>
            <w:tcW w:w="1120" w:type="dxa"/>
            <w:tcBorders/>
            <w:vAlign w:val="center"/>
          </w:tcPr>
          <w:p>
            <w:pPr>
              <w:jc w:val="right"/>
            </w:pPr>
            <w:r>
              <w:rPr>
                <w:rFonts w:ascii="宋体" w:eastAsia="宋体" w:hAnsi="宋体" w:cs="宋体"/>
                <w:b w:val="0"/>
                <w:i w:val="0"/>
                <w:color w:val="000000"/>
                <w:sz w:val="16"/>
              </w:rPr>
              <w:t xml:space="preserve">40.00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粮油物资事务</w:t>
            </w:r>
          </w:p>
        </w:tc>
        <w:tc>
          <w:tcPr>
            <w:tcW w:w="1120" w:type="dxa"/>
            <w:tcBorders/>
            <w:vAlign w:val="center"/>
          </w:tcPr>
          <w:p>
            <w:pPr>
              <w:jc w:val="right"/>
            </w:pPr>
            <w:r>
              <w:rPr>
                <w:rFonts w:ascii="宋体" w:eastAsia="宋体" w:hAnsi="宋体" w:cs="宋体"/>
                <w:b w:val="0"/>
                <w:i w:val="0"/>
                <w:color w:val="000000"/>
                <w:sz w:val="16"/>
              </w:rPr>
              <w:t xml:space="preserve">40.00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2220199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其他粮油物资事务支出</w:t>
            </w:r>
          </w:p>
        </w:tc>
        <w:tc>
          <w:tcPr>
            <w:tcW w:w="1120" w:type="dxa"/>
            <w:tcBorders/>
            <w:vAlign w:val="center"/>
          </w:tcPr>
          <w:p>
            <w:pPr>
              <w:jc w:val="right"/>
            </w:pPr>
            <w:r>
              <w:rPr>
                <w:rFonts w:ascii="宋体" w:eastAsia="宋体" w:hAnsi="宋体" w:cs="宋体"/>
                <w:b w:val="0"/>
                <w:i w:val="0"/>
                <w:color w:val="000000"/>
                <w:sz w:val="16"/>
              </w:rPr>
              <w:t xml:space="preserve">40.00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单位：辽宁省盘锦市兴隆台区发展和改革局（本级）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655.28</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583.23</w:t>
            </w:r>
          </w:p>
        </w:tc>
        <w:tc>
          <w:tcPr>
            <w:tcW w:w="1100" w:type="dxa"/>
            <w:tcBorders/>
            <w:vAlign w:val="center"/>
          </w:tcPr>
          <w:p>
            <w:pPr>
              <w:jc w:val="right"/>
            </w:pPr>
            <w:r>
              <w:rPr>
                <w:rFonts w:ascii="宋体" w:eastAsia="宋体" w:hAnsi="宋体" w:cs="宋体"/>
                <w:b w:val="0"/>
                <w:i w:val="0"/>
                <w:color w:val="000000"/>
                <w:sz w:val="14"/>
              </w:rPr>
              <w:t xml:space="preserve">583.23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14.51</w:t>
            </w:r>
          </w:p>
        </w:tc>
        <w:tc>
          <w:tcPr>
            <w:tcW w:w="1100" w:type="dxa"/>
            <w:tcBorders/>
            <w:vAlign w:val="center"/>
          </w:tcPr>
          <w:p>
            <w:pPr>
              <w:jc w:val="right"/>
            </w:pPr>
            <w:r>
              <w:rPr>
                <w:rFonts w:ascii="宋体" w:eastAsia="宋体" w:hAnsi="宋体" w:cs="宋体"/>
                <w:b w:val="0"/>
                <w:i w:val="0"/>
                <w:color w:val="000000"/>
                <w:sz w:val="14"/>
              </w:rPr>
              <w:t xml:space="preserve">14.51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6.42</w:t>
            </w:r>
          </w:p>
        </w:tc>
        <w:tc>
          <w:tcPr>
            <w:tcW w:w="1100" w:type="dxa"/>
            <w:tcBorders/>
            <w:vAlign w:val="center"/>
          </w:tcPr>
          <w:p>
            <w:pPr>
              <w:jc w:val="right"/>
            </w:pPr>
            <w:r>
              <w:rPr>
                <w:rFonts w:ascii="宋体" w:eastAsia="宋体" w:hAnsi="宋体" w:cs="宋体"/>
                <w:b w:val="0"/>
                <w:i w:val="0"/>
                <w:color w:val="000000"/>
                <w:sz w:val="14"/>
              </w:rPr>
              <w:t xml:space="preserve">6.42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11.12</w:t>
            </w:r>
          </w:p>
        </w:tc>
        <w:tc>
          <w:tcPr>
            <w:tcW w:w="1100" w:type="dxa"/>
            <w:tcBorders/>
            <w:vAlign w:val="center"/>
          </w:tcPr>
          <w:p>
            <w:pPr>
              <w:jc w:val="right"/>
            </w:pPr>
            <w:r>
              <w:rPr>
                <w:rFonts w:ascii="宋体" w:eastAsia="宋体" w:hAnsi="宋体" w:cs="宋体"/>
                <w:b w:val="0"/>
                <w:i w:val="0"/>
                <w:color w:val="000000"/>
                <w:sz w:val="14"/>
              </w:rPr>
              <w:t xml:space="preserve">11.12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jc w:val="right"/>
            </w:pPr>
            <w:r>
              <w:rPr>
                <w:rFonts w:ascii="宋体" w:eastAsia="宋体" w:hAnsi="宋体" w:cs="宋体"/>
                <w:b w:val="0"/>
                <w:i w:val="0"/>
                <w:color w:val="000000"/>
                <w:sz w:val="14"/>
              </w:rPr>
              <w:t xml:space="preserve">40.00</w:t>
            </w:r>
          </w:p>
        </w:tc>
        <w:tc>
          <w:tcPr>
            <w:tcW w:w="1100" w:type="dxa"/>
            <w:tcBorders/>
            <w:vAlign w:val="center"/>
          </w:tcPr>
          <w:p>
            <w:pPr>
              <w:jc w:val="right"/>
            </w:pPr>
            <w:r>
              <w:rPr>
                <w:rFonts w:ascii="宋体" w:eastAsia="宋体" w:hAnsi="宋体" w:cs="宋体"/>
                <w:b w:val="0"/>
                <w:i w:val="0"/>
                <w:color w:val="000000"/>
                <w:sz w:val="14"/>
              </w:rPr>
              <w:t xml:space="preserve">40.00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655.28</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655.28</w:t>
            </w:r>
          </w:p>
        </w:tc>
        <w:tc>
          <w:tcPr>
            <w:tcW w:w="1100" w:type="dxa"/>
            <w:tcBorders/>
            <w:vAlign w:val="center"/>
          </w:tcPr>
          <w:p>
            <w:pPr>
              <w:jc w:val="right"/>
            </w:pPr>
            <w:r>
              <w:rPr>
                <w:rFonts w:ascii="宋体" w:eastAsia="宋体" w:hAnsi="宋体" w:cs="宋体"/>
                <w:b w:val="0"/>
                <w:i w:val="0"/>
                <w:color w:val="000000"/>
                <w:sz w:val="14"/>
              </w:rPr>
              <w:t xml:space="preserve">655.28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655.28</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655.28</w:t>
            </w:r>
          </w:p>
        </w:tc>
        <w:tc>
          <w:tcPr>
            <w:tcW w:w="1100" w:type="dxa"/>
            <w:tcBorders/>
            <w:vAlign w:val="center"/>
          </w:tcPr>
          <w:p>
            <w:pPr>
              <w:jc w:val="right"/>
            </w:pPr>
            <w:r>
              <w:rPr>
                <w:rFonts w:ascii="宋体" w:eastAsia="宋体" w:hAnsi="宋体" w:cs="宋体"/>
                <w:b w:val="0"/>
                <w:i w:val="0"/>
                <w:color w:val="000000"/>
                <w:sz w:val="14"/>
              </w:rPr>
              <w:t xml:space="preserve">655.28</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单位：辽宁省盘锦市兴隆台区发展和改革局（本级）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655.28</w:t>
            </w:r>
          </w:p>
        </w:tc>
        <w:tc>
          <w:tcPr>
            <w:tcW w:w="1980" w:type="dxa"/>
            <w:tcBorders/>
            <w:vAlign w:val="center"/>
          </w:tcPr>
          <w:p>
            <w:pPr>
              <w:jc w:val="right"/>
            </w:pPr>
            <w:r>
              <w:rPr>
                <w:rFonts w:ascii="宋体" w:eastAsia="宋体" w:hAnsi="宋体" w:cs="宋体"/>
                <w:b/>
                <w:i w:val="0"/>
                <w:color w:val="000000"/>
                <w:sz w:val="20"/>
              </w:rPr>
              <w:t xml:space="preserve">144.79</w:t>
            </w:r>
          </w:p>
        </w:tc>
        <w:tc>
          <w:tcPr>
            <w:tcW w:w="1952" w:type="dxa"/>
            <w:tcBorders/>
            <w:vAlign w:val="center"/>
          </w:tcPr>
          <w:p>
            <w:pPr>
              <w:jc w:val="right"/>
            </w:pPr>
            <w:r>
              <w:rPr>
                <w:rFonts w:ascii="宋体" w:eastAsia="宋体" w:hAnsi="宋体" w:cs="宋体"/>
                <w:b/>
                <w:i w:val="0"/>
                <w:color w:val="000000"/>
                <w:sz w:val="20"/>
              </w:rPr>
              <w:t xml:space="preserve">510.49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583.22</w:t>
            </w:r>
          </w:p>
        </w:tc>
        <w:tc>
          <w:tcPr>
            <w:tcW w:w="1980" w:type="dxa"/>
            <w:tcBorders/>
            <w:vAlign w:val="center"/>
          </w:tcPr>
          <w:p>
            <w:pPr>
              <w:jc w:val="right"/>
            </w:pPr>
            <w:r>
              <w:rPr>
                <w:rFonts w:ascii="宋体" w:eastAsia="宋体" w:hAnsi="宋体" w:cs="宋体"/>
                <w:b w:val="0"/>
                <w:i w:val="0"/>
                <w:color w:val="000000"/>
                <w:sz w:val="20"/>
              </w:rPr>
              <w:t xml:space="preserve">112.73</w:t>
            </w:r>
          </w:p>
        </w:tc>
        <w:tc>
          <w:tcPr>
            <w:tcW w:w="1952" w:type="dxa"/>
            <w:tcBorders/>
            <w:vAlign w:val="center"/>
          </w:tcPr>
          <w:p>
            <w:pPr>
              <w:jc w:val="right"/>
            </w:pPr>
            <w:r>
              <w:rPr>
                <w:rFonts w:ascii="宋体" w:eastAsia="宋体" w:hAnsi="宋体" w:cs="宋体"/>
                <w:b w:val="0"/>
                <w:i w:val="0"/>
                <w:color w:val="000000"/>
                <w:sz w:val="20"/>
              </w:rPr>
              <w:t xml:space="preserve">470.49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发展与改革事务</w:t>
            </w:r>
          </w:p>
        </w:tc>
        <w:tc>
          <w:tcPr>
            <w:tcW w:w="1980" w:type="dxa"/>
            <w:tcBorders/>
            <w:vAlign w:val="center"/>
          </w:tcPr>
          <w:p>
            <w:pPr>
              <w:jc w:val="right"/>
            </w:pPr>
            <w:r>
              <w:rPr>
                <w:rFonts w:ascii="宋体" w:eastAsia="宋体" w:hAnsi="宋体" w:cs="宋体"/>
                <w:b w:val="0"/>
                <w:i w:val="0"/>
                <w:color w:val="000000"/>
                <w:sz w:val="20"/>
              </w:rPr>
              <w:t xml:space="preserve">583.22</w:t>
            </w:r>
          </w:p>
        </w:tc>
        <w:tc>
          <w:tcPr>
            <w:tcW w:w="1980" w:type="dxa"/>
            <w:tcBorders/>
            <w:vAlign w:val="center"/>
          </w:tcPr>
          <w:p>
            <w:pPr>
              <w:jc w:val="right"/>
            </w:pPr>
            <w:r>
              <w:rPr>
                <w:rFonts w:ascii="宋体" w:eastAsia="宋体" w:hAnsi="宋体" w:cs="宋体"/>
                <w:b w:val="0"/>
                <w:i w:val="0"/>
                <w:color w:val="000000"/>
                <w:sz w:val="20"/>
              </w:rPr>
              <w:t xml:space="preserve">112.73</w:t>
            </w:r>
          </w:p>
        </w:tc>
        <w:tc>
          <w:tcPr>
            <w:tcW w:w="1952" w:type="dxa"/>
            <w:tcBorders/>
            <w:vAlign w:val="center"/>
          </w:tcPr>
          <w:p>
            <w:pPr>
              <w:jc w:val="right"/>
            </w:pPr>
            <w:r>
              <w:rPr>
                <w:rFonts w:ascii="宋体" w:eastAsia="宋体" w:hAnsi="宋体" w:cs="宋体"/>
                <w:b w:val="0"/>
                <w:i w:val="0"/>
                <w:color w:val="000000"/>
                <w:sz w:val="20"/>
              </w:rPr>
              <w:t xml:space="preserve">470.49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2010401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112.73</w:t>
            </w:r>
          </w:p>
        </w:tc>
        <w:tc>
          <w:tcPr>
            <w:tcW w:w="1980" w:type="dxa"/>
            <w:tcBorders/>
            <w:vAlign w:val="center"/>
          </w:tcPr>
          <w:p>
            <w:pPr>
              <w:jc w:val="right"/>
            </w:pPr>
            <w:r>
              <w:rPr>
                <w:rFonts w:ascii="宋体" w:eastAsia="宋体" w:hAnsi="宋体" w:cs="宋体"/>
                <w:b w:val="0"/>
                <w:i w:val="0"/>
                <w:color w:val="000000"/>
                <w:sz w:val="20"/>
              </w:rPr>
              <w:t xml:space="preserve">112.73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2010402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61.55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61.55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2010450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2010499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其他发展与改革事务支出</w:t>
            </w:r>
          </w:p>
        </w:tc>
        <w:tc>
          <w:tcPr>
            <w:tcW w:w="1980" w:type="dxa"/>
            <w:tcBorders/>
            <w:vAlign w:val="center"/>
          </w:tcPr>
          <w:p>
            <w:pPr>
              <w:jc w:val="right"/>
            </w:pPr>
            <w:r>
              <w:rPr>
                <w:rFonts w:ascii="宋体" w:eastAsia="宋体" w:hAnsi="宋体" w:cs="宋体"/>
                <w:b w:val="0"/>
                <w:i w:val="0"/>
                <w:color w:val="000000"/>
                <w:sz w:val="20"/>
              </w:rPr>
              <w:t xml:space="preserve">408.94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408.94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14.51</w:t>
            </w:r>
          </w:p>
        </w:tc>
        <w:tc>
          <w:tcPr>
            <w:tcW w:w="1980" w:type="dxa"/>
            <w:tcBorders/>
            <w:vAlign w:val="center"/>
          </w:tcPr>
          <w:p>
            <w:pPr>
              <w:jc w:val="right"/>
            </w:pPr>
            <w:r>
              <w:rPr>
                <w:rFonts w:ascii="宋体" w:eastAsia="宋体" w:hAnsi="宋体" w:cs="宋体"/>
                <w:b w:val="0"/>
                <w:i w:val="0"/>
                <w:color w:val="000000"/>
                <w:sz w:val="20"/>
              </w:rPr>
              <w:t xml:space="preserve">14.51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14.51</w:t>
            </w:r>
          </w:p>
        </w:tc>
        <w:tc>
          <w:tcPr>
            <w:tcW w:w="1980" w:type="dxa"/>
            <w:tcBorders/>
            <w:vAlign w:val="center"/>
          </w:tcPr>
          <w:p>
            <w:pPr>
              <w:jc w:val="right"/>
            </w:pPr>
            <w:r>
              <w:rPr>
                <w:rFonts w:ascii="宋体" w:eastAsia="宋体" w:hAnsi="宋体" w:cs="宋体"/>
                <w:b w:val="0"/>
                <w:i w:val="0"/>
                <w:color w:val="000000"/>
                <w:sz w:val="20"/>
              </w:rPr>
              <w:t xml:space="preserve">14.51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1.90</w:t>
            </w:r>
          </w:p>
        </w:tc>
        <w:tc>
          <w:tcPr>
            <w:tcW w:w="1980" w:type="dxa"/>
            <w:tcBorders/>
            <w:vAlign w:val="center"/>
          </w:tcPr>
          <w:p>
            <w:pPr>
              <w:jc w:val="right"/>
            </w:pPr>
            <w:r>
              <w:rPr>
                <w:rFonts w:ascii="宋体" w:eastAsia="宋体" w:hAnsi="宋体" w:cs="宋体"/>
                <w:b w:val="0"/>
                <w:i w:val="0"/>
                <w:color w:val="000000"/>
                <w:sz w:val="20"/>
              </w:rPr>
              <w:t xml:space="preserve">1.90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12.61</w:t>
            </w:r>
          </w:p>
        </w:tc>
        <w:tc>
          <w:tcPr>
            <w:tcW w:w="1980" w:type="dxa"/>
            <w:tcBorders/>
            <w:vAlign w:val="center"/>
          </w:tcPr>
          <w:p>
            <w:pPr>
              <w:jc w:val="right"/>
            </w:pPr>
            <w:r>
              <w:rPr>
                <w:rFonts w:ascii="宋体" w:eastAsia="宋体" w:hAnsi="宋体" w:cs="宋体"/>
                <w:b w:val="0"/>
                <w:i w:val="0"/>
                <w:color w:val="000000"/>
                <w:sz w:val="20"/>
              </w:rPr>
              <w:t xml:space="preserve">12.61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6.43</w:t>
            </w:r>
          </w:p>
        </w:tc>
        <w:tc>
          <w:tcPr>
            <w:tcW w:w="1980" w:type="dxa"/>
            <w:tcBorders/>
            <w:vAlign w:val="center"/>
          </w:tcPr>
          <w:p>
            <w:pPr>
              <w:jc w:val="right"/>
            </w:pPr>
            <w:r>
              <w:rPr>
                <w:rFonts w:ascii="宋体" w:eastAsia="宋体" w:hAnsi="宋体" w:cs="宋体"/>
                <w:b w:val="0"/>
                <w:i w:val="0"/>
                <w:color w:val="000000"/>
                <w:sz w:val="20"/>
              </w:rPr>
              <w:t xml:space="preserve">6.43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6.43</w:t>
            </w:r>
          </w:p>
        </w:tc>
        <w:tc>
          <w:tcPr>
            <w:tcW w:w="1980" w:type="dxa"/>
            <w:tcBorders/>
            <w:vAlign w:val="center"/>
          </w:tcPr>
          <w:p>
            <w:pPr>
              <w:jc w:val="right"/>
            </w:pPr>
            <w:r>
              <w:rPr>
                <w:rFonts w:ascii="宋体" w:eastAsia="宋体" w:hAnsi="宋体" w:cs="宋体"/>
                <w:b w:val="0"/>
                <w:i w:val="0"/>
                <w:color w:val="000000"/>
                <w:sz w:val="20"/>
              </w:rPr>
              <w:t xml:space="preserve">6.43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4.79</w:t>
            </w:r>
          </w:p>
        </w:tc>
        <w:tc>
          <w:tcPr>
            <w:tcW w:w="1980" w:type="dxa"/>
            <w:tcBorders/>
            <w:vAlign w:val="center"/>
          </w:tcPr>
          <w:p>
            <w:pPr>
              <w:jc w:val="right"/>
            </w:pPr>
            <w:r>
              <w:rPr>
                <w:rFonts w:ascii="宋体" w:eastAsia="宋体" w:hAnsi="宋体" w:cs="宋体"/>
                <w:b w:val="0"/>
                <w:i w:val="0"/>
                <w:color w:val="000000"/>
                <w:sz w:val="20"/>
              </w:rPr>
              <w:t xml:space="preserve">4.79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1.34</w:t>
            </w:r>
          </w:p>
        </w:tc>
        <w:tc>
          <w:tcPr>
            <w:tcW w:w="1980" w:type="dxa"/>
            <w:tcBorders/>
            <w:vAlign w:val="center"/>
          </w:tcPr>
          <w:p>
            <w:pPr>
              <w:jc w:val="right"/>
            </w:pPr>
            <w:r>
              <w:rPr>
                <w:rFonts w:ascii="宋体" w:eastAsia="宋体" w:hAnsi="宋体" w:cs="宋体"/>
                <w:b w:val="0"/>
                <w:i w:val="0"/>
                <w:color w:val="000000"/>
                <w:sz w:val="20"/>
              </w:rPr>
              <w:t xml:space="preserve">1.34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0.30</w:t>
            </w:r>
          </w:p>
        </w:tc>
        <w:tc>
          <w:tcPr>
            <w:tcW w:w="1980" w:type="dxa"/>
            <w:tcBorders/>
            <w:vAlign w:val="center"/>
          </w:tcPr>
          <w:p>
            <w:pPr>
              <w:jc w:val="right"/>
            </w:pPr>
            <w:r>
              <w:rPr>
                <w:rFonts w:ascii="宋体" w:eastAsia="宋体" w:hAnsi="宋体" w:cs="宋体"/>
                <w:b w:val="0"/>
                <w:i w:val="0"/>
                <w:color w:val="000000"/>
                <w:sz w:val="20"/>
              </w:rPr>
              <w:t xml:space="preserve">0.30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11.12</w:t>
            </w:r>
          </w:p>
        </w:tc>
        <w:tc>
          <w:tcPr>
            <w:tcW w:w="1980" w:type="dxa"/>
            <w:tcBorders/>
            <w:vAlign w:val="center"/>
          </w:tcPr>
          <w:p>
            <w:pPr>
              <w:jc w:val="right"/>
            </w:pPr>
            <w:r>
              <w:rPr>
                <w:rFonts w:ascii="宋体" w:eastAsia="宋体" w:hAnsi="宋体" w:cs="宋体"/>
                <w:b w:val="0"/>
                <w:i w:val="0"/>
                <w:color w:val="000000"/>
                <w:sz w:val="20"/>
              </w:rPr>
              <w:t xml:space="preserve">11.12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11.12</w:t>
            </w:r>
          </w:p>
        </w:tc>
        <w:tc>
          <w:tcPr>
            <w:tcW w:w="1980" w:type="dxa"/>
            <w:tcBorders/>
            <w:vAlign w:val="center"/>
          </w:tcPr>
          <w:p>
            <w:pPr>
              <w:jc w:val="right"/>
            </w:pPr>
            <w:r>
              <w:rPr>
                <w:rFonts w:ascii="宋体" w:eastAsia="宋体" w:hAnsi="宋体" w:cs="宋体"/>
                <w:b w:val="0"/>
                <w:i w:val="0"/>
                <w:color w:val="000000"/>
                <w:sz w:val="20"/>
              </w:rPr>
              <w:t xml:space="preserve">11.12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11.12</w:t>
            </w:r>
          </w:p>
        </w:tc>
        <w:tc>
          <w:tcPr>
            <w:tcW w:w="1980" w:type="dxa"/>
            <w:tcBorders/>
            <w:vAlign w:val="center"/>
          </w:tcPr>
          <w:p>
            <w:pPr>
              <w:jc w:val="right"/>
            </w:pPr>
            <w:r>
              <w:rPr>
                <w:rFonts w:ascii="宋体" w:eastAsia="宋体" w:hAnsi="宋体" w:cs="宋体"/>
                <w:b w:val="0"/>
                <w:i w:val="0"/>
                <w:color w:val="000000"/>
                <w:sz w:val="20"/>
              </w:rPr>
              <w:t xml:space="preserve">11.12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粮油物资储备支出</w:t>
            </w:r>
          </w:p>
        </w:tc>
        <w:tc>
          <w:tcPr>
            <w:tcW w:w="1980" w:type="dxa"/>
            <w:tcBorders/>
            <w:vAlign w:val="center"/>
          </w:tcPr>
          <w:p>
            <w:pPr>
              <w:jc w:val="right"/>
            </w:pPr>
            <w:r>
              <w:rPr>
                <w:rFonts w:ascii="宋体" w:eastAsia="宋体" w:hAnsi="宋体" w:cs="宋体"/>
                <w:b w:val="0"/>
                <w:i w:val="0"/>
                <w:color w:val="000000"/>
                <w:sz w:val="20"/>
              </w:rPr>
              <w:t xml:space="preserve">40.00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粮油物资事务</w:t>
            </w:r>
          </w:p>
        </w:tc>
        <w:tc>
          <w:tcPr>
            <w:tcW w:w="1980" w:type="dxa"/>
            <w:tcBorders/>
            <w:vAlign w:val="center"/>
          </w:tcPr>
          <w:p>
            <w:pPr>
              <w:jc w:val="right"/>
            </w:pPr>
            <w:r>
              <w:rPr>
                <w:rFonts w:ascii="宋体" w:eastAsia="宋体" w:hAnsi="宋体" w:cs="宋体"/>
                <w:b w:val="0"/>
                <w:i w:val="0"/>
                <w:color w:val="000000"/>
                <w:sz w:val="20"/>
              </w:rPr>
              <w:t xml:space="preserve">40.00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2220199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其他粮油物资事务支出</w:t>
            </w:r>
          </w:p>
        </w:tc>
        <w:tc>
          <w:tcPr>
            <w:tcW w:w="1980" w:type="dxa"/>
            <w:tcBorders/>
            <w:vAlign w:val="center"/>
          </w:tcPr>
          <w:p>
            <w:pPr>
              <w:jc w:val="right"/>
            </w:pPr>
            <w:r>
              <w:rPr>
                <w:rFonts w:ascii="宋体" w:eastAsia="宋体" w:hAnsi="宋体" w:cs="宋体"/>
                <w:b w:val="0"/>
                <w:i w:val="0"/>
                <w:color w:val="000000"/>
                <w:sz w:val="20"/>
              </w:rPr>
              <w:t xml:space="preserve">40.00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单位：辽宁省盘锦市兴隆台区发展和改革局（本级）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129.08</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13.01</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39.07</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2.45</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28.56</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0.13</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31.30</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0.66</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0.66</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12.61</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0.43</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4.70</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1.34</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0.39</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0.11</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11.12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2.04</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1.90</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1.95</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0.11</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7.79</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0.13</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131.12</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13.67</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单位：辽宁省盘锦市兴隆台区发展和改革局（本级）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单位：辽宁省盘锦市兴隆台区发展和改革局（本级）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单位：辽宁省盘锦市兴隆台区发展和改革局（本级）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342011辽宁省盘锦市兴隆台区发展和改革局(本级)-211103000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103.14</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5.35</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15.13</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完成区委、区政府布置的各项工作，按时推进工作进度。预算资金严格按照运营管理和风险管理执行，改进预算绩效管理工作，积极稳妥的开展预算绩效评价工作。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服务对象满意度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服务企业满意度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社会公众满意度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安全生产知识宣传成果满意度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建立预算绩效管理机制</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建立机制</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63"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920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