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B5DF9">
      <w:pPr>
        <w:adjustRightInd w:val="0"/>
        <w:snapToGrid w:val="0"/>
        <w:spacing w:line="600" w:lineRule="exact"/>
        <w:ind w:firstLine="0" w:firstLineChars="0"/>
        <w:jc w:val="center"/>
        <w:rPr>
          <w:rFonts w:ascii="方正小标宋_GBK" w:hAnsi="方正小标宋_GBK" w:eastAsia="方正小标宋_GBK" w:cs="方正小标宋_GBK"/>
          <w:color w:val="000000" w:themeColor="text1"/>
          <w:kern w:val="0"/>
          <w:sz w:val="52"/>
          <w:szCs w:val="52"/>
        </w:rPr>
      </w:pPr>
    </w:p>
    <w:p w14:paraId="545848DF">
      <w:pPr>
        <w:adjustRightInd w:val="0"/>
        <w:snapToGrid w:val="0"/>
        <w:spacing w:line="600" w:lineRule="exact"/>
        <w:ind w:firstLine="0" w:firstLineChars="0"/>
        <w:jc w:val="center"/>
        <w:rPr>
          <w:rFonts w:ascii="方正小标宋_GBK" w:hAnsi="方正小标宋_GBK" w:eastAsia="方正小标宋_GBK" w:cs="方正小标宋_GBK"/>
          <w:color w:val="000000" w:themeColor="text1"/>
          <w:kern w:val="0"/>
          <w:sz w:val="52"/>
          <w:szCs w:val="52"/>
        </w:rPr>
      </w:pPr>
      <w:r>
        <w:rPr>
          <w:rFonts w:hint="eastAsia" w:ascii="方正小标宋_GBK" w:hAnsi="方正小标宋_GBK" w:eastAsia="方正小标宋_GBK" w:cs="方正小标宋_GBK"/>
          <w:color w:val="000000" w:themeColor="text1"/>
          <w:kern w:val="0"/>
          <w:sz w:val="52"/>
          <w:szCs w:val="52"/>
        </w:rPr>
        <w:t>盘山县国民经济和社会发展</w:t>
      </w:r>
    </w:p>
    <w:p w14:paraId="070A566B">
      <w:pPr>
        <w:adjustRightInd w:val="0"/>
        <w:snapToGrid w:val="0"/>
        <w:spacing w:line="600" w:lineRule="exact"/>
        <w:ind w:firstLine="0" w:firstLineChars="0"/>
        <w:jc w:val="center"/>
        <w:rPr>
          <w:rFonts w:ascii="方正小标宋_GBK" w:hAnsi="方正小标宋_GBK" w:eastAsia="方正小标宋_GBK" w:cs="方正小标宋_GBK"/>
          <w:color w:val="000000" w:themeColor="text1"/>
          <w:kern w:val="0"/>
          <w:sz w:val="52"/>
          <w:szCs w:val="52"/>
        </w:rPr>
      </w:pPr>
      <w:r>
        <w:rPr>
          <w:rFonts w:hint="eastAsia" w:ascii="方正小标宋_GBK" w:hAnsi="方正小标宋_GBK" w:eastAsia="方正小标宋_GBK" w:cs="方正小标宋_GBK"/>
          <w:color w:val="000000" w:themeColor="text1"/>
          <w:kern w:val="0"/>
          <w:sz w:val="52"/>
          <w:szCs w:val="52"/>
        </w:rPr>
        <w:t>第十四个五年规划和二○三五年</w:t>
      </w:r>
    </w:p>
    <w:p w14:paraId="6F0B0947">
      <w:pPr>
        <w:adjustRightInd w:val="0"/>
        <w:snapToGrid w:val="0"/>
        <w:spacing w:line="600" w:lineRule="exact"/>
        <w:ind w:firstLine="0" w:firstLineChars="0"/>
        <w:jc w:val="center"/>
        <w:rPr>
          <w:rFonts w:ascii="方正小标宋_GBK" w:hAnsi="方正小标宋_GBK" w:eastAsia="方正小标宋_GBK" w:cs="方正小标宋_GBK"/>
          <w:color w:val="000000" w:themeColor="text1"/>
          <w:kern w:val="0"/>
          <w:sz w:val="48"/>
          <w:szCs w:val="48"/>
        </w:rPr>
      </w:pPr>
      <w:r>
        <w:rPr>
          <w:rFonts w:hint="eastAsia" w:ascii="方正小标宋_GBK" w:hAnsi="方正小标宋_GBK" w:eastAsia="方正小标宋_GBK" w:cs="方正小标宋_GBK"/>
          <w:color w:val="000000" w:themeColor="text1"/>
          <w:kern w:val="0"/>
          <w:sz w:val="52"/>
          <w:szCs w:val="52"/>
        </w:rPr>
        <w:t>远景目标纲要</w:t>
      </w:r>
    </w:p>
    <w:p w14:paraId="004CCB2D">
      <w:pPr>
        <w:adjustRightInd w:val="0"/>
        <w:snapToGrid w:val="0"/>
        <w:spacing w:line="600" w:lineRule="exact"/>
        <w:ind w:firstLine="0" w:firstLineChars="0"/>
        <w:jc w:val="center"/>
        <w:rPr>
          <w:rFonts w:ascii="方正小标宋_GBK" w:hAnsi="方正小标宋_GBK" w:eastAsia="方正小标宋_GBK" w:cs="方正小标宋_GBK"/>
          <w:color w:val="000000" w:themeColor="text1"/>
          <w:kern w:val="0"/>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cols w:space="0" w:num="1"/>
          <w:docGrid w:type="linesAndChars" w:linePitch="585" w:charSpace="3031"/>
        </w:sectPr>
      </w:pPr>
      <w:bookmarkStart w:id="457" w:name="_GoBack"/>
      <w:bookmarkEnd w:id="457"/>
    </w:p>
    <w:p w14:paraId="4834873E">
      <w:pPr>
        <w:pStyle w:val="6"/>
        <w:spacing w:before="120" w:after="0" w:line="600" w:lineRule="exact"/>
        <w:ind w:firstLine="670"/>
        <w:jc w:val="center"/>
        <w:rPr>
          <w:color w:val="000000" w:themeColor="text1"/>
        </w:rPr>
      </w:pPr>
      <w:bookmarkStart w:id="0" w:name="_Toc20609"/>
      <w:bookmarkStart w:id="1" w:name="_Toc18393"/>
      <w:bookmarkStart w:id="2" w:name="_Toc15322"/>
      <w:bookmarkStart w:id="3" w:name="_Toc7551"/>
      <w:bookmarkStart w:id="4" w:name="_Toc4924"/>
      <w:bookmarkStart w:id="5" w:name="_Toc22353"/>
      <w:bookmarkStart w:id="6" w:name="_Toc11504"/>
      <w:bookmarkStart w:id="7" w:name="_Toc7848"/>
      <w:bookmarkStart w:id="8" w:name="_Toc32551"/>
      <w:bookmarkStart w:id="9" w:name="_Toc1127"/>
      <w:bookmarkStart w:id="10" w:name="_Toc10856"/>
      <w:bookmarkStart w:id="11" w:name="_Toc30997"/>
      <w:r>
        <w:rPr>
          <w:rFonts w:hint="eastAsia"/>
          <w:color w:val="000000" w:themeColor="text1"/>
        </w:rPr>
        <w:t>目  录</w:t>
      </w:r>
      <w:bookmarkEnd w:id="0"/>
      <w:bookmarkEnd w:id="1"/>
      <w:bookmarkEnd w:id="2"/>
      <w:bookmarkEnd w:id="3"/>
      <w:bookmarkEnd w:id="4"/>
      <w:bookmarkEnd w:id="5"/>
      <w:bookmarkEnd w:id="6"/>
      <w:bookmarkEnd w:id="7"/>
      <w:bookmarkEnd w:id="8"/>
      <w:bookmarkEnd w:id="9"/>
      <w:bookmarkEnd w:id="10"/>
      <w:bookmarkEnd w:id="11"/>
    </w:p>
    <w:sdt>
      <w:sdtPr>
        <w:rPr>
          <w:rFonts w:ascii="宋体" w:hAnsi="宋体" w:eastAsia="宋体" w:cs="Times New Roman"/>
          <w:color w:val="000000" w:themeColor="text1"/>
          <w:kern w:val="0"/>
          <w:sz w:val="21"/>
          <w:szCs w:val="20"/>
        </w:rPr>
        <w:id w:val="147481422"/>
        <w:docPartObj>
          <w:docPartGallery w:val="Table of Contents"/>
          <w:docPartUnique/>
        </w:docPartObj>
      </w:sdtPr>
      <w:sdtEndPr>
        <w:rPr>
          <w:rFonts w:ascii="宋体" w:hAnsi="宋体" w:eastAsia="宋体" w:cs="Times New Roman"/>
          <w:color w:val="000000" w:themeColor="text1"/>
          <w:kern w:val="0"/>
          <w:sz w:val="21"/>
          <w:szCs w:val="20"/>
        </w:rPr>
      </w:sdtEndPr>
      <w:sdtContent>
        <w:p w14:paraId="3062EFDD">
          <w:pPr>
            <w:spacing w:line="600" w:lineRule="exact"/>
            <w:ind w:firstLine="450"/>
            <w:rPr>
              <w:rFonts w:hint="eastAsia"/>
              <w:color w:val="000000" w:themeColor="text1"/>
            </w:rPr>
          </w:pPr>
          <w:bookmarkStart w:id="12" w:name="_Toc28851"/>
          <w:bookmarkStart w:id="13" w:name="_Toc355"/>
          <w:bookmarkStart w:id="14" w:name="_Toc11194"/>
          <w:bookmarkStart w:id="15" w:name="_Toc26442"/>
          <w:bookmarkStart w:id="16" w:name="_Toc23724"/>
          <w:bookmarkStart w:id="17" w:name="_Toc25978"/>
          <w:bookmarkStart w:id="18" w:name="_Toc17536"/>
          <w:bookmarkStart w:id="19" w:name="_Toc5140"/>
          <w:bookmarkStart w:id="20" w:name="_Toc21810"/>
          <w:bookmarkStart w:id="21" w:name="_Toc12395"/>
          <w:r>
            <w:rPr>
              <w:color w:val="000000" w:themeColor="text1"/>
            </w:rPr>
            <w:fldChar w:fldCharType="begin"/>
          </w:r>
          <w:r>
            <w:rPr>
              <w:color w:val="000000" w:themeColor="text1"/>
            </w:rPr>
            <w:instrText xml:space="preserve">TOC \o "1-2" \h \u </w:instrText>
          </w:r>
          <w:r>
            <w:rPr>
              <w:color w:val="000000" w:themeColor="text1"/>
            </w:rPr>
            <w:fldChar w:fldCharType="separate"/>
          </w:r>
        </w:p>
        <w:p w14:paraId="4A53EDA8">
          <w:pPr>
            <w:pStyle w:val="20"/>
            <w:tabs>
              <w:tab w:val="right" w:leader="dot" w:pos="9355"/>
            </w:tabs>
            <w:spacing w:beforeLines="20" w:afterLines="20" w:line="600" w:lineRule="exact"/>
            <w:ind w:left="590" w:firstLine="0" w:firstLineChars="0"/>
            <w:rPr>
              <w:rFonts w:ascii="黑体" w:hAnsi="黑体" w:cs="黑体"/>
              <w:color w:val="000000" w:themeColor="text1"/>
            </w:rPr>
          </w:pPr>
          <w:r>
            <w:fldChar w:fldCharType="begin"/>
          </w:r>
          <w:r>
            <w:instrText xml:space="preserve"> HYPERLINK \l "_Toc11757" </w:instrText>
          </w:r>
          <w:r>
            <w:fldChar w:fldCharType="separate"/>
          </w:r>
          <w:r>
            <w:rPr>
              <w:rFonts w:hint="eastAsia" w:ascii="黑体" w:hAnsi="黑体" w:cs="黑体"/>
              <w:color w:val="000000" w:themeColor="text1"/>
            </w:rPr>
            <w:t>序言</w:t>
          </w:r>
          <w:r>
            <w:rPr>
              <w:rFonts w:ascii="黑体" w:hAnsi="黑体" w:cs="黑体"/>
              <w:color w:val="000000" w:themeColor="text1"/>
            </w:rPr>
            <w:tab/>
          </w:r>
          <w:r>
            <w:rPr>
              <w:rFonts w:hint="eastAsia" w:ascii="黑体" w:hAnsi="黑体" w:cs="黑体"/>
              <w:color w:val="000000" w:themeColor="text1"/>
            </w:rPr>
            <w:fldChar w:fldCharType="begin"/>
          </w:r>
          <w:r>
            <w:rPr>
              <w:rFonts w:ascii="黑体" w:hAnsi="黑体" w:cs="黑体"/>
              <w:color w:val="000000" w:themeColor="text1"/>
            </w:rPr>
            <w:instrText xml:space="preserve"> PAGEREF _Toc11757 </w:instrText>
          </w:r>
          <w:r>
            <w:rPr>
              <w:rFonts w:hint="eastAsia" w:ascii="黑体" w:hAnsi="黑体" w:cs="黑体"/>
              <w:color w:val="000000" w:themeColor="text1"/>
            </w:rPr>
            <w:fldChar w:fldCharType="separate"/>
          </w:r>
          <w:r>
            <w:rPr>
              <w:rFonts w:ascii="黑体" w:hAnsi="黑体" w:cs="黑体"/>
              <w:color w:val="000000" w:themeColor="text1"/>
            </w:rPr>
            <w:t>- 1 -</w:t>
          </w:r>
          <w:r>
            <w:rPr>
              <w:rFonts w:hint="eastAsia" w:ascii="黑体" w:hAnsi="黑体" w:cs="黑体"/>
              <w:color w:val="000000" w:themeColor="text1"/>
            </w:rPr>
            <w:fldChar w:fldCharType="end"/>
          </w:r>
          <w:r>
            <w:rPr>
              <w:rFonts w:hint="eastAsia" w:ascii="黑体" w:hAnsi="黑体" w:cs="黑体"/>
              <w:color w:val="000000" w:themeColor="text1"/>
            </w:rPr>
            <w:fldChar w:fldCharType="end"/>
          </w:r>
        </w:p>
        <w:p w14:paraId="681BD14F">
          <w:pPr>
            <w:pStyle w:val="20"/>
            <w:tabs>
              <w:tab w:val="right" w:leader="dot" w:pos="9355"/>
            </w:tabs>
            <w:spacing w:beforeLines="20" w:afterLines="20" w:line="600" w:lineRule="exact"/>
            <w:ind w:left="590" w:firstLine="0" w:firstLineChars="0"/>
            <w:rPr>
              <w:rFonts w:hint="eastAsia"/>
              <w:color w:val="000000" w:themeColor="text1"/>
            </w:rPr>
          </w:pPr>
          <w:r>
            <w:fldChar w:fldCharType="begin"/>
          </w:r>
          <w:r>
            <w:instrText xml:space="preserve"> HYPERLINK \l "_Toc31344" </w:instrText>
          </w:r>
          <w:r>
            <w:fldChar w:fldCharType="separate"/>
          </w:r>
          <w:r>
            <w:rPr>
              <w:rFonts w:hint="eastAsia" w:ascii="黑体" w:hAnsi="黑体" w:cs="黑体"/>
              <w:color w:val="000000" w:themeColor="text1"/>
            </w:rPr>
            <w:t>第一章转型升级盘山县高质量发展的战略抉择</w:t>
          </w:r>
          <w:r>
            <w:rPr>
              <w:rFonts w:ascii="黑体" w:hAnsi="黑体" w:cs="黑体"/>
              <w:color w:val="000000" w:themeColor="text1"/>
            </w:rPr>
            <w:tab/>
          </w:r>
          <w:r>
            <w:rPr>
              <w:rFonts w:hint="eastAsia" w:ascii="黑体" w:hAnsi="黑体" w:cs="黑体"/>
              <w:color w:val="000000" w:themeColor="text1"/>
            </w:rPr>
            <w:fldChar w:fldCharType="begin"/>
          </w:r>
          <w:r>
            <w:rPr>
              <w:rFonts w:ascii="黑体" w:hAnsi="黑体" w:cs="黑体"/>
              <w:color w:val="000000" w:themeColor="text1"/>
            </w:rPr>
            <w:instrText xml:space="preserve"> PAGEREF _Toc31344 </w:instrText>
          </w:r>
          <w:r>
            <w:rPr>
              <w:rFonts w:hint="eastAsia" w:ascii="黑体" w:hAnsi="黑体" w:cs="黑体"/>
              <w:color w:val="000000" w:themeColor="text1"/>
            </w:rPr>
            <w:fldChar w:fldCharType="separate"/>
          </w:r>
          <w:r>
            <w:rPr>
              <w:rFonts w:ascii="黑体" w:hAnsi="黑体" w:cs="黑体"/>
              <w:color w:val="000000" w:themeColor="text1"/>
            </w:rPr>
            <w:t>- 1 -</w:t>
          </w:r>
          <w:r>
            <w:rPr>
              <w:rFonts w:hint="eastAsia" w:ascii="黑体" w:hAnsi="黑体" w:cs="黑体"/>
              <w:color w:val="000000" w:themeColor="text1"/>
            </w:rPr>
            <w:fldChar w:fldCharType="end"/>
          </w:r>
          <w:r>
            <w:rPr>
              <w:rFonts w:hint="eastAsia" w:ascii="黑体" w:hAnsi="黑体" w:cs="黑体"/>
              <w:color w:val="000000" w:themeColor="text1"/>
            </w:rPr>
            <w:fldChar w:fldCharType="end"/>
          </w:r>
        </w:p>
        <w:p w14:paraId="1AD39334">
          <w:pPr>
            <w:pStyle w:val="20"/>
            <w:tabs>
              <w:tab w:val="right" w:leader="dot" w:pos="9355"/>
            </w:tabs>
            <w:spacing w:line="600" w:lineRule="exact"/>
            <w:ind w:left="590" w:firstLine="590"/>
            <w:rPr>
              <w:rFonts w:ascii="楷体" w:hAnsi="楷体" w:eastAsia="楷体" w:cs="楷体"/>
              <w:color w:val="000000" w:themeColor="text1"/>
            </w:rPr>
          </w:pPr>
          <w:r>
            <w:fldChar w:fldCharType="begin"/>
          </w:r>
          <w:r>
            <w:instrText xml:space="preserve"> HYPERLINK \l "_Toc28767" </w:instrText>
          </w:r>
          <w:r>
            <w:fldChar w:fldCharType="separate"/>
          </w:r>
          <w:r>
            <w:rPr>
              <w:rFonts w:hint="eastAsia" w:ascii="楷体" w:hAnsi="楷体" w:eastAsia="楷体" w:cs="楷体"/>
              <w:color w:val="000000" w:themeColor="text1"/>
            </w:rPr>
            <w:t>第一节“十三五”发展成就</w:t>
          </w:r>
          <w:r>
            <w:rPr>
              <w:rFonts w:ascii="楷体" w:hAnsi="楷体" w:eastAsia="楷体" w:cs="楷体"/>
              <w:color w:val="000000" w:themeColor="text1"/>
            </w:rPr>
            <w:tab/>
          </w:r>
          <w:r>
            <w:rPr>
              <w:rFonts w:hint="eastAsia" w:ascii="楷体" w:hAnsi="楷体" w:eastAsia="楷体" w:cs="楷体"/>
              <w:color w:val="000000" w:themeColor="text1"/>
            </w:rPr>
            <w:fldChar w:fldCharType="begin"/>
          </w:r>
          <w:r>
            <w:rPr>
              <w:rFonts w:ascii="楷体" w:hAnsi="楷体" w:eastAsia="楷体" w:cs="楷体"/>
              <w:color w:val="000000" w:themeColor="text1"/>
            </w:rPr>
            <w:instrText xml:space="preserve"> PAGEREF _Toc28767 </w:instrText>
          </w:r>
          <w:r>
            <w:rPr>
              <w:rFonts w:hint="eastAsia" w:ascii="楷体" w:hAnsi="楷体" w:eastAsia="楷体" w:cs="楷体"/>
              <w:color w:val="000000" w:themeColor="text1"/>
            </w:rPr>
            <w:fldChar w:fldCharType="separate"/>
          </w:r>
          <w:r>
            <w:rPr>
              <w:rFonts w:ascii="楷体" w:hAnsi="楷体" w:eastAsia="楷体" w:cs="楷体"/>
              <w:color w:val="000000" w:themeColor="text1"/>
            </w:rPr>
            <w:t>- 1 -</w:t>
          </w:r>
          <w:r>
            <w:rPr>
              <w:rFonts w:hint="eastAsia" w:ascii="楷体" w:hAnsi="楷体" w:eastAsia="楷体" w:cs="楷体"/>
              <w:color w:val="000000" w:themeColor="text1"/>
            </w:rPr>
            <w:fldChar w:fldCharType="end"/>
          </w:r>
          <w:r>
            <w:rPr>
              <w:rFonts w:hint="eastAsia" w:ascii="楷体" w:hAnsi="楷体" w:eastAsia="楷体" w:cs="楷体"/>
              <w:color w:val="000000" w:themeColor="text1"/>
            </w:rPr>
            <w:fldChar w:fldCharType="end"/>
          </w:r>
        </w:p>
        <w:p w14:paraId="053DFE0B">
          <w:pPr>
            <w:pStyle w:val="20"/>
            <w:tabs>
              <w:tab w:val="right" w:leader="dot" w:pos="9355"/>
            </w:tabs>
            <w:spacing w:line="600" w:lineRule="exact"/>
            <w:ind w:left="590" w:firstLine="590"/>
            <w:rPr>
              <w:rFonts w:ascii="楷体" w:hAnsi="楷体" w:eastAsia="楷体" w:cs="楷体"/>
              <w:color w:val="000000" w:themeColor="text1"/>
            </w:rPr>
          </w:pPr>
          <w:r>
            <w:fldChar w:fldCharType="begin"/>
          </w:r>
          <w:r>
            <w:instrText xml:space="preserve"> HYPERLINK \l "_Toc28953" </w:instrText>
          </w:r>
          <w:r>
            <w:fldChar w:fldCharType="separate"/>
          </w:r>
          <w:r>
            <w:rPr>
              <w:rFonts w:hint="eastAsia" w:ascii="楷体" w:hAnsi="楷体" w:eastAsia="楷体" w:cs="楷体"/>
              <w:color w:val="000000" w:themeColor="text1"/>
            </w:rPr>
            <w:t>第二节“十四五”发展环境</w:t>
          </w:r>
          <w:r>
            <w:rPr>
              <w:rFonts w:ascii="楷体" w:hAnsi="楷体" w:eastAsia="楷体" w:cs="楷体"/>
              <w:color w:val="000000" w:themeColor="text1"/>
            </w:rPr>
            <w:tab/>
          </w:r>
          <w:r>
            <w:rPr>
              <w:rFonts w:hint="eastAsia" w:ascii="楷体" w:hAnsi="楷体" w:eastAsia="楷体" w:cs="楷体"/>
              <w:color w:val="000000" w:themeColor="text1"/>
            </w:rPr>
            <w:fldChar w:fldCharType="begin"/>
          </w:r>
          <w:r>
            <w:rPr>
              <w:rFonts w:ascii="楷体" w:hAnsi="楷体" w:eastAsia="楷体" w:cs="楷体"/>
              <w:color w:val="000000" w:themeColor="text1"/>
            </w:rPr>
            <w:instrText xml:space="preserve"> PAGEREF _Toc28953 </w:instrText>
          </w:r>
          <w:r>
            <w:rPr>
              <w:rFonts w:hint="eastAsia" w:ascii="楷体" w:hAnsi="楷体" w:eastAsia="楷体" w:cs="楷体"/>
              <w:color w:val="000000" w:themeColor="text1"/>
            </w:rPr>
            <w:fldChar w:fldCharType="separate"/>
          </w:r>
          <w:r>
            <w:rPr>
              <w:rFonts w:ascii="楷体" w:hAnsi="楷体" w:eastAsia="楷体" w:cs="楷体"/>
              <w:color w:val="000000" w:themeColor="text1"/>
            </w:rPr>
            <w:t>- 7 -</w:t>
          </w:r>
          <w:r>
            <w:rPr>
              <w:rFonts w:hint="eastAsia" w:ascii="楷体" w:hAnsi="楷体" w:eastAsia="楷体" w:cs="楷体"/>
              <w:color w:val="000000" w:themeColor="text1"/>
            </w:rPr>
            <w:fldChar w:fldCharType="end"/>
          </w:r>
          <w:r>
            <w:rPr>
              <w:rFonts w:hint="eastAsia" w:ascii="楷体" w:hAnsi="楷体" w:eastAsia="楷体" w:cs="楷体"/>
              <w:color w:val="000000" w:themeColor="text1"/>
            </w:rPr>
            <w:fldChar w:fldCharType="end"/>
          </w:r>
        </w:p>
        <w:p w14:paraId="724E630A">
          <w:pPr>
            <w:pStyle w:val="20"/>
            <w:tabs>
              <w:tab w:val="right" w:leader="dot" w:pos="9355"/>
            </w:tabs>
            <w:spacing w:line="600" w:lineRule="exact"/>
            <w:ind w:left="590" w:firstLine="590"/>
            <w:rPr>
              <w:rFonts w:hint="eastAsia"/>
              <w:color w:val="000000" w:themeColor="text1"/>
            </w:rPr>
          </w:pPr>
          <w:r>
            <w:fldChar w:fldCharType="begin"/>
          </w:r>
          <w:r>
            <w:instrText xml:space="preserve"> HYPERLINK \l "_Toc10376" </w:instrText>
          </w:r>
          <w:r>
            <w:fldChar w:fldCharType="separate"/>
          </w:r>
          <w:r>
            <w:rPr>
              <w:rFonts w:hint="eastAsia" w:ascii="楷体" w:hAnsi="楷体" w:eastAsia="楷体" w:cs="楷体"/>
              <w:color w:val="000000" w:themeColor="text1"/>
            </w:rPr>
            <w:t>第三节把握转型升级的战略基础</w:t>
          </w:r>
          <w:r>
            <w:rPr>
              <w:rFonts w:ascii="楷体" w:hAnsi="楷体" w:eastAsia="楷体" w:cs="楷体"/>
              <w:color w:val="000000" w:themeColor="text1"/>
            </w:rPr>
            <w:tab/>
          </w:r>
          <w:r>
            <w:rPr>
              <w:rFonts w:hint="eastAsia" w:ascii="楷体" w:hAnsi="楷体" w:eastAsia="楷体" w:cs="楷体"/>
              <w:color w:val="000000" w:themeColor="text1"/>
            </w:rPr>
            <w:fldChar w:fldCharType="begin"/>
          </w:r>
          <w:r>
            <w:rPr>
              <w:rFonts w:ascii="楷体" w:hAnsi="楷体" w:eastAsia="楷体" w:cs="楷体"/>
              <w:color w:val="000000" w:themeColor="text1"/>
            </w:rPr>
            <w:instrText xml:space="preserve"> PAGEREF _Toc10376 </w:instrText>
          </w:r>
          <w:r>
            <w:rPr>
              <w:rFonts w:hint="eastAsia" w:ascii="楷体" w:hAnsi="楷体" w:eastAsia="楷体" w:cs="楷体"/>
              <w:color w:val="000000" w:themeColor="text1"/>
            </w:rPr>
            <w:fldChar w:fldCharType="separate"/>
          </w:r>
          <w:r>
            <w:rPr>
              <w:rFonts w:ascii="楷体" w:hAnsi="楷体" w:eastAsia="楷体" w:cs="楷体"/>
              <w:color w:val="000000" w:themeColor="text1"/>
            </w:rPr>
            <w:t>- 8 -</w:t>
          </w:r>
          <w:r>
            <w:rPr>
              <w:rFonts w:hint="eastAsia" w:ascii="楷体" w:hAnsi="楷体" w:eastAsia="楷体" w:cs="楷体"/>
              <w:color w:val="000000" w:themeColor="text1"/>
            </w:rPr>
            <w:fldChar w:fldCharType="end"/>
          </w:r>
          <w:r>
            <w:rPr>
              <w:rFonts w:hint="eastAsia" w:ascii="楷体" w:hAnsi="楷体" w:eastAsia="楷体" w:cs="楷体"/>
              <w:color w:val="000000" w:themeColor="text1"/>
            </w:rPr>
            <w:fldChar w:fldCharType="end"/>
          </w:r>
        </w:p>
        <w:p w14:paraId="7E898337">
          <w:pPr>
            <w:pStyle w:val="20"/>
            <w:tabs>
              <w:tab w:val="right" w:leader="dot" w:pos="9355"/>
            </w:tabs>
            <w:spacing w:beforeLines="20" w:afterLines="20" w:line="600" w:lineRule="exact"/>
            <w:ind w:left="590" w:firstLine="0" w:firstLineChars="0"/>
            <w:rPr>
              <w:rFonts w:ascii="黑体" w:hAnsi="黑体" w:cs="黑体"/>
              <w:color w:val="000000" w:themeColor="text1"/>
            </w:rPr>
          </w:pPr>
          <w:r>
            <w:fldChar w:fldCharType="begin"/>
          </w:r>
          <w:r>
            <w:instrText xml:space="preserve"> HYPERLINK \l "_Toc29141" </w:instrText>
          </w:r>
          <w:r>
            <w:fldChar w:fldCharType="separate"/>
          </w:r>
          <w:r>
            <w:rPr>
              <w:rFonts w:hint="eastAsia" w:ascii="黑体" w:hAnsi="黑体" w:cs="黑体"/>
              <w:color w:val="000000" w:themeColor="text1"/>
            </w:rPr>
            <w:t>第二章攻坚克难全面开创社会主义现代化建设新局面</w:t>
          </w:r>
          <w:r>
            <w:rPr>
              <w:rFonts w:ascii="黑体" w:hAnsi="黑体" w:cs="黑体"/>
              <w:color w:val="000000" w:themeColor="text1"/>
            </w:rPr>
            <w:tab/>
          </w:r>
          <w:r>
            <w:rPr>
              <w:rFonts w:hint="eastAsia" w:ascii="黑体" w:hAnsi="黑体" w:cs="黑体"/>
              <w:color w:val="000000" w:themeColor="text1"/>
            </w:rPr>
            <w:fldChar w:fldCharType="begin"/>
          </w:r>
          <w:r>
            <w:rPr>
              <w:rFonts w:ascii="黑体" w:hAnsi="黑体" w:cs="黑体"/>
              <w:color w:val="000000" w:themeColor="text1"/>
            </w:rPr>
            <w:instrText xml:space="preserve"> PAGEREF _Toc29141 </w:instrText>
          </w:r>
          <w:r>
            <w:rPr>
              <w:rFonts w:hint="eastAsia" w:ascii="黑体" w:hAnsi="黑体" w:cs="黑体"/>
              <w:color w:val="000000" w:themeColor="text1"/>
            </w:rPr>
            <w:fldChar w:fldCharType="separate"/>
          </w:r>
          <w:r>
            <w:rPr>
              <w:rFonts w:ascii="黑体" w:hAnsi="黑体" w:cs="黑体"/>
              <w:color w:val="000000" w:themeColor="text1"/>
            </w:rPr>
            <w:t>- 12 -</w:t>
          </w:r>
          <w:r>
            <w:rPr>
              <w:rFonts w:hint="eastAsia" w:ascii="黑体" w:hAnsi="黑体" w:cs="黑体"/>
              <w:color w:val="000000" w:themeColor="text1"/>
            </w:rPr>
            <w:fldChar w:fldCharType="end"/>
          </w:r>
          <w:r>
            <w:rPr>
              <w:rFonts w:hint="eastAsia" w:ascii="黑体" w:hAnsi="黑体" w:cs="黑体"/>
              <w:color w:val="000000" w:themeColor="text1"/>
            </w:rPr>
            <w:fldChar w:fldCharType="end"/>
          </w:r>
        </w:p>
        <w:p w14:paraId="388F7D9F">
          <w:pPr>
            <w:pStyle w:val="20"/>
            <w:tabs>
              <w:tab w:val="right" w:leader="dot" w:pos="9355"/>
            </w:tabs>
            <w:spacing w:line="600" w:lineRule="exact"/>
            <w:ind w:left="590" w:firstLine="590"/>
            <w:rPr>
              <w:rFonts w:ascii="楷体" w:hAnsi="楷体" w:eastAsia="楷体" w:cs="楷体"/>
              <w:color w:val="000000" w:themeColor="text1"/>
            </w:rPr>
          </w:pPr>
          <w:r>
            <w:fldChar w:fldCharType="begin"/>
          </w:r>
          <w:r>
            <w:instrText xml:space="preserve"> HYPERLINK \l "_Toc12750" </w:instrText>
          </w:r>
          <w:r>
            <w:fldChar w:fldCharType="separate"/>
          </w:r>
          <w:r>
            <w:rPr>
              <w:rFonts w:hint="eastAsia" w:ascii="楷体" w:hAnsi="楷体" w:eastAsia="楷体" w:cs="楷体"/>
              <w:color w:val="000000" w:themeColor="text1"/>
            </w:rPr>
            <w:t>第一节指导思想</w:t>
          </w:r>
          <w:r>
            <w:rPr>
              <w:rFonts w:ascii="楷体" w:hAnsi="楷体" w:eastAsia="楷体" w:cs="楷体"/>
              <w:color w:val="000000" w:themeColor="text1"/>
            </w:rPr>
            <w:tab/>
          </w:r>
          <w:r>
            <w:rPr>
              <w:rFonts w:ascii="楷体" w:hAnsi="楷体" w:eastAsia="楷体" w:cs="楷体"/>
              <w:color w:val="000000" w:themeColor="text1"/>
            </w:rPr>
            <w:fldChar w:fldCharType="begin"/>
          </w:r>
          <w:r>
            <w:rPr>
              <w:rFonts w:ascii="楷体" w:hAnsi="楷体" w:eastAsia="楷体" w:cs="楷体"/>
              <w:color w:val="000000" w:themeColor="text1"/>
            </w:rPr>
            <w:instrText xml:space="preserve"> PAGEREF _Toc12750 </w:instrText>
          </w:r>
          <w:r>
            <w:rPr>
              <w:rFonts w:ascii="楷体" w:hAnsi="楷体" w:eastAsia="楷体" w:cs="楷体"/>
              <w:color w:val="000000" w:themeColor="text1"/>
            </w:rPr>
            <w:fldChar w:fldCharType="separate"/>
          </w:r>
          <w:r>
            <w:rPr>
              <w:rFonts w:ascii="楷体" w:hAnsi="楷体" w:eastAsia="楷体" w:cs="楷体"/>
              <w:color w:val="000000" w:themeColor="text1"/>
            </w:rPr>
            <w:t>- 12 -</w:t>
          </w:r>
          <w:r>
            <w:rPr>
              <w:rFonts w:ascii="楷体" w:hAnsi="楷体" w:eastAsia="楷体" w:cs="楷体"/>
              <w:color w:val="000000" w:themeColor="text1"/>
            </w:rPr>
            <w:fldChar w:fldCharType="end"/>
          </w:r>
          <w:r>
            <w:rPr>
              <w:rFonts w:ascii="楷体" w:hAnsi="楷体" w:eastAsia="楷体" w:cs="楷体"/>
              <w:color w:val="000000" w:themeColor="text1"/>
            </w:rPr>
            <w:fldChar w:fldCharType="end"/>
          </w:r>
        </w:p>
        <w:p w14:paraId="56D9B1B8">
          <w:pPr>
            <w:pStyle w:val="20"/>
            <w:tabs>
              <w:tab w:val="right" w:leader="dot" w:pos="9355"/>
            </w:tabs>
            <w:spacing w:line="600" w:lineRule="exact"/>
            <w:ind w:left="590" w:firstLine="590"/>
            <w:rPr>
              <w:rFonts w:ascii="楷体" w:hAnsi="楷体" w:eastAsia="楷体" w:cs="楷体"/>
              <w:color w:val="000000" w:themeColor="text1"/>
            </w:rPr>
          </w:pPr>
          <w:r>
            <w:fldChar w:fldCharType="begin"/>
          </w:r>
          <w:r>
            <w:instrText xml:space="preserve"> HYPERLINK \l "_Toc7732" </w:instrText>
          </w:r>
          <w:r>
            <w:fldChar w:fldCharType="separate"/>
          </w:r>
          <w:r>
            <w:rPr>
              <w:rFonts w:hint="eastAsia" w:ascii="楷体" w:hAnsi="楷体" w:eastAsia="楷体" w:cs="楷体"/>
              <w:color w:val="000000" w:themeColor="text1"/>
            </w:rPr>
            <w:t>第二节基本原则</w:t>
          </w:r>
          <w:r>
            <w:rPr>
              <w:rFonts w:ascii="楷体" w:hAnsi="楷体" w:eastAsia="楷体" w:cs="楷体"/>
              <w:color w:val="000000" w:themeColor="text1"/>
            </w:rPr>
            <w:tab/>
          </w:r>
          <w:r>
            <w:rPr>
              <w:rFonts w:ascii="楷体" w:hAnsi="楷体" w:eastAsia="楷体" w:cs="楷体"/>
              <w:color w:val="000000" w:themeColor="text1"/>
            </w:rPr>
            <w:fldChar w:fldCharType="begin"/>
          </w:r>
          <w:r>
            <w:rPr>
              <w:rFonts w:ascii="楷体" w:hAnsi="楷体" w:eastAsia="楷体" w:cs="楷体"/>
              <w:color w:val="000000" w:themeColor="text1"/>
            </w:rPr>
            <w:instrText xml:space="preserve"> PAGEREF _Toc7732 </w:instrText>
          </w:r>
          <w:r>
            <w:rPr>
              <w:rFonts w:ascii="楷体" w:hAnsi="楷体" w:eastAsia="楷体" w:cs="楷体"/>
              <w:color w:val="000000" w:themeColor="text1"/>
            </w:rPr>
            <w:fldChar w:fldCharType="separate"/>
          </w:r>
          <w:r>
            <w:rPr>
              <w:rFonts w:ascii="楷体" w:hAnsi="楷体" w:eastAsia="楷体" w:cs="楷体"/>
              <w:color w:val="000000" w:themeColor="text1"/>
            </w:rPr>
            <w:t>- 12 -</w:t>
          </w:r>
          <w:r>
            <w:rPr>
              <w:rFonts w:ascii="楷体" w:hAnsi="楷体" w:eastAsia="楷体" w:cs="楷体"/>
              <w:color w:val="000000" w:themeColor="text1"/>
            </w:rPr>
            <w:fldChar w:fldCharType="end"/>
          </w:r>
          <w:r>
            <w:rPr>
              <w:rFonts w:ascii="楷体" w:hAnsi="楷体" w:eastAsia="楷体" w:cs="楷体"/>
              <w:color w:val="000000" w:themeColor="text1"/>
            </w:rPr>
            <w:fldChar w:fldCharType="end"/>
          </w:r>
        </w:p>
        <w:p w14:paraId="5BF55EB3">
          <w:pPr>
            <w:pStyle w:val="20"/>
            <w:tabs>
              <w:tab w:val="right" w:leader="dot" w:pos="9355"/>
            </w:tabs>
            <w:spacing w:line="600" w:lineRule="exact"/>
            <w:ind w:left="590" w:firstLine="590"/>
            <w:rPr>
              <w:rFonts w:hint="eastAsia"/>
              <w:color w:val="000000" w:themeColor="text1"/>
            </w:rPr>
          </w:pPr>
          <w:r>
            <w:fldChar w:fldCharType="begin"/>
          </w:r>
          <w:r>
            <w:instrText xml:space="preserve"> HYPERLINK \l "_Toc5180" </w:instrText>
          </w:r>
          <w:r>
            <w:fldChar w:fldCharType="separate"/>
          </w:r>
          <w:r>
            <w:rPr>
              <w:rFonts w:hint="eastAsia" w:ascii="楷体" w:hAnsi="楷体" w:eastAsia="楷体" w:cs="楷体"/>
              <w:color w:val="000000" w:themeColor="text1"/>
            </w:rPr>
            <w:t>第三节奋斗目标</w:t>
          </w:r>
          <w:r>
            <w:rPr>
              <w:rFonts w:ascii="楷体" w:hAnsi="楷体" w:eastAsia="楷体" w:cs="楷体"/>
              <w:color w:val="000000" w:themeColor="text1"/>
            </w:rPr>
            <w:tab/>
          </w:r>
          <w:r>
            <w:rPr>
              <w:rFonts w:ascii="楷体" w:hAnsi="楷体" w:eastAsia="楷体" w:cs="楷体"/>
              <w:color w:val="000000" w:themeColor="text1"/>
            </w:rPr>
            <w:fldChar w:fldCharType="begin"/>
          </w:r>
          <w:r>
            <w:rPr>
              <w:rFonts w:ascii="楷体" w:hAnsi="楷体" w:eastAsia="楷体" w:cs="楷体"/>
              <w:color w:val="000000" w:themeColor="text1"/>
            </w:rPr>
            <w:instrText xml:space="preserve"> PAGEREF _Toc5180 </w:instrText>
          </w:r>
          <w:r>
            <w:rPr>
              <w:rFonts w:ascii="楷体" w:hAnsi="楷体" w:eastAsia="楷体" w:cs="楷体"/>
              <w:color w:val="000000" w:themeColor="text1"/>
            </w:rPr>
            <w:fldChar w:fldCharType="separate"/>
          </w:r>
          <w:r>
            <w:rPr>
              <w:rFonts w:ascii="楷体" w:hAnsi="楷体" w:eastAsia="楷体" w:cs="楷体"/>
              <w:color w:val="000000" w:themeColor="text1"/>
            </w:rPr>
            <w:t>- 13 -</w:t>
          </w:r>
          <w:r>
            <w:rPr>
              <w:rFonts w:ascii="楷体" w:hAnsi="楷体" w:eastAsia="楷体" w:cs="楷体"/>
              <w:color w:val="000000" w:themeColor="text1"/>
            </w:rPr>
            <w:fldChar w:fldCharType="end"/>
          </w:r>
          <w:r>
            <w:rPr>
              <w:rFonts w:ascii="楷体" w:hAnsi="楷体" w:eastAsia="楷体" w:cs="楷体"/>
              <w:color w:val="000000" w:themeColor="text1"/>
            </w:rPr>
            <w:fldChar w:fldCharType="end"/>
          </w:r>
        </w:p>
        <w:p w14:paraId="2C2511D1">
          <w:pPr>
            <w:pStyle w:val="20"/>
            <w:tabs>
              <w:tab w:val="right" w:leader="dot" w:pos="9355"/>
            </w:tabs>
            <w:spacing w:beforeLines="20" w:afterLines="20" w:line="600" w:lineRule="exact"/>
            <w:ind w:left="590" w:firstLine="0" w:firstLineChars="0"/>
            <w:rPr>
              <w:rFonts w:ascii="黑体" w:hAnsi="黑体" w:cs="黑体"/>
              <w:color w:val="000000" w:themeColor="text1"/>
            </w:rPr>
          </w:pPr>
          <w:r>
            <w:fldChar w:fldCharType="begin"/>
          </w:r>
          <w:r>
            <w:instrText xml:space="preserve"> HYPERLINK \l "_Toc32746" </w:instrText>
          </w:r>
          <w:r>
            <w:fldChar w:fldCharType="separate"/>
          </w:r>
          <w:r>
            <w:rPr>
              <w:rFonts w:hint="eastAsia" w:ascii="黑体" w:hAnsi="黑体" w:cs="黑体"/>
              <w:color w:val="000000" w:themeColor="text1"/>
            </w:rPr>
            <w:t>第三章创新驱动培育高质量发展新动能</w:t>
          </w:r>
          <w:r>
            <w:rPr>
              <w:rFonts w:ascii="黑体" w:hAnsi="黑体" w:cs="黑体"/>
              <w:color w:val="000000" w:themeColor="text1"/>
            </w:rPr>
            <w:tab/>
          </w:r>
          <w:r>
            <w:rPr>
              <w:rFonts w:hint="eastAsia" w:ascii="黑体" w:hAnsi="黑体" w:cs="黑体"/>
              <w:color w:val="000000" w:themeColor="text1"/>
            </w:rPr>
            <w:fldChar w:fldCharType="begin"/>
          </w:r>
          <w:r>
            <w:rPr>
              <w:rFonts w:ascii="黑体" w:hAnsi="黑体" w:cs="黑体"/>
              <w:color w:val="000000" w:themeColor="text1"/>
            </w:rPr>
            <w:instrText xml:space="preserve"> PAGEREF _Toc32746 </w:instrText>
          </w:r>
          <w:r>
            <w:rPr>
              <w:rFonts w:hint="eastAsia" w:ascii="黑体" w:hAnsi="黑体" w:cs="黑体"/>
              <w:color w:val="000000" w:themeColor="text1"/>
            </w:rPr>
            <w:fldChar w:fldCharType="separate"/>
          </w:r>
          <w:r>
            <w:rPr>
              <w:rFonts w:ascii="黑体" w:hAnsi="黑体" w:cs="黑体"/>
              <w:color w:val="000000" w:themeColor="text1"/>
            </w:rPr>
            <w:t>- 19 -</w:t>
          </w:r>
          <w:r>
            <w:rPr>
              <w:rFonts w:hint="eastAsia" w:ascii="黑体" w:hAnsi="黑体" w:cs="黑体"/>
              <w:color w:val="000000" w:themeColor="text1"/>
            </w:rPr>
            <w:fldChar w:fldCharType="end"/>
          </w:r>
          <w:r>
            <w:rPr>
              <w:rFonts w:hint="eastAsia" w:ascii="黑体" w:hAnsi="黑体" w:cs="黑体"/>
              <w:color w:val="000000" w:themeColor="text1"/>
            </w:rPr>
            <w:fldChar w:fldCharType="end"/>
          </w:r>
        </w:p>
        <w:p w14:paraId="675B04F3">
          <w:pPr>
            <w:pStyle w:val="20"/>
            <w:tabs>
              <w:tab w:val="right" w:leader="dot" w:pos="9355"/>
            </w:tabs>
            <w:spacing w:line="600" w:lineRule="exact"/>
            <w:ind w:left="590" w:firstLine="590"/>
            <w:rPr>
              <w:rFonts w:ascii="楷体" w:hAnsi="楷体" w:eastAsia="楷体" w:cs="楷体"/>
              <w:color w:val="000000" w:themeColor="text1"/>
            </w:rPr>
          </w:pPr>
          <w:r>
            <w:fldChar w:fldCharType="begin"/>
          </w:r>
          <w:r>
            <w:instrText xml:space="preserve"> HYPERLINK \l "_Toc5441" </w:instrText>
          </w:r>
          <w:r>
            <w:fldChar w:fldCharType="separate"/>
          </w:r>
          <w:r>
            <w:rPr>
              <w:rFonts w:hint="eastAsia" w:ascii="楷体" w:hAnsi="楷体" w:eastAsia="楷体" w:cs="楷体"/>
              <w:color w:val="000000" w:themeColor="text1"/>
            </w:rPr>
            <w:t>第一节完善产业科技创新生态系统</w:t>
          </w:r>
          <w:r>
            <w:rPr>
              <w:rFonts w:ascii="楷体" w:hAnsi="楷体" w:eastAsia="楷体" w:cs="楷体"/>
              <w:color w:val="000000" w:themeColor="text1"/>
            </w:rPr>
            <w:tab/>
          </w:r>
          <w:r>
            <w:rPr>
              <w:rFonts w:ascii="楷体" w:hAnsi="楷体" w:eastAsia="楷体" w:cs="楷体"/>
              <w:color w:val="000000" w:themeColor="text1"/>
            </w:rPr>
            <w:fldChar w:fldCharType="begin"/>
          </w:r>
          <w:r>
            <w:rPr>
              <w:rFonts w:ascii="楷体" w:hAnsi="楷体" w:eastAsia="楷体" w:cs="楷体"/>
              <w:color w:val="000000" w:themeColor="text1"/>
            </w:rPr>
            <w:instrText xml:space="preserve"> PAGEREF _Toc5441 </w:instrText>
          </w:r>
          <w:r>
            <w:rPr>
              <w:rFonts w:ascii="楷体" w:hAnsi="楷体" w:eastAsia="楷体" w:cs="楷体"/>
              <w:color w:val="000000" w:themeColor="text1"/>
            </w:rPr>
            <w:fldChar w:fldCharType="separate"/>
          </w:r>
          <w:r>
            <w:rPr>
              <w:rFonts w:ascii="楷体" w:hAnsi="楷体" w:eastAsia="楷体" w:cs="楷体"/>
              <w:color w:val="000000" w:themeColor="text1"/>
            </w:rPr>
            <w:t>- 19 -</w:t>
          </w:r>
          <w:r>
            <w:rPr>
              <w:rFonts w:ascii="楷体" w:hAnsi="楷体" w:eastAsia="楷体" w:cs="楷体"/>
              <w:color w:val="000000" w:themeColor="text1"/>
            </w:rPr>
            <w:fldChar w:fldCharType="end"/>
          </w:r>
          <w:r>
            <w:rPr>
              <w:rFonts w:ascii="楷体" w:hAnsi="楷体" w:eastAsia="楷体" w:cs="楷体"/>
              <w:color w:val="000000" w:themeColor="text1"/>
            </w:rPr>
            <w:fldChar w:fldCharType="end"/>
          </w:r>
        </w:p>
        <w:p w14:paraId="31B579AF">
          <w:pPr>
            <w:pStyle w:val="20"/>
            <w:tabs>
              <w:tab w:val="right" w:leader="dot" w:pos="9355"/>
            </w:tabs>
            <w:spacing w:line="600" w:lineRule="exact"/>
            <w:ind w:left="590" w:firstLine="590"/>
            <w:rPr>
              <w:rFonts w:ascii="楷体" w:hAnsi="楷体" w:eastAsia="楷体" w:cs="楷体"/>
              <w:color w:val="000000" w:themeColor="text1"/>
            </w:rPr>
          </w:pPr>
          <w:r>
            <w:fldChar w:fldCharType="begin"/>
          </w:r>
          <w:r>
            <w:instrText xml:space="preserve"> HYPERLINK \l "_Toc18182" </w:instrText>
          </w:r>
          <w:r>
            <w:fldChar w:fldCharType="separate"/>
          </w:r>
          <w:r>
            <w:rPr>
              <w:rFonts w:hint="eastAsia" w:ascii="楷体" w:hAnsi="楷体" w:eastAsia="楷体" w:cs="楷体"/>
              <w:color w:val="000000" w:themeColor="text1"/>
            </w:rPr>
            <w:t>第二节培育创新引领型企业</w:t>
          </w:r>
          <w:r>
            <w:rPr>
              <w:rFonts w:ascii="楷体" w:hAnsi="楷体" w:eastAsia="楷体" w:cs="楷体"/>
              <w:color w:val="000000" w:themeColor="text1"/>
            </w:rPr>
            <w:tab/>
          </w:r>
          <w:r>
            <w:rPr>
              <w:rFonts w:ascii="楷体" w:hAnsi="楷体" w:eastAsia="楷体" w:cs="楷体"/>
              <w:color w:val="000000" w:themeColor="text1"/>
            </w:rPr>
            <w:fldChar w:fldCharType="begin"/>
          </w:r>
          <w:r>
            <w:rPr>
              <w:rFonts w:ascii="楷体" w:hAnsi="楷体" w:eastAsia="楷体" w:cs="楷体"/>
              <w:color w:val="000000" w:themeColor="text1"/>
            </w:rPr>
            <w:instrText xml:space="preserve"> PAGEREF _Toc18182 </w:instrText>
          </w:r>
          <w:r>
            <w:rPr>
              <w:rFonts w:ascii="楷体" w:hAnsi="楷体" w:eastAsia="楷体" w:cs="楷体"/>
              <w:color w:val="000000" w:themeColor="text1"/>
            </w:rPr>
            <w:fldChar w:fldCharType="separate"/>
          </w:r>
          <w:r>
            <w:rPr>
              <w:rFonts w:ascii="楷体" w:hAnsi="楷体" w:eastAsia="楷体" w:cs="楷体"/>
              <w:color w:val="000000" w:themeColor="text1"/>
            </w:rPr>
            <w:t>- 22 -</w:t>
          </w:r>
          <w:r>
            <w:rPr>
              <w:rFonts w:ascii="楷体" w:hAnsi="楷体" w:eastAsia="楷体" w:cs="楷体"/>
              <w:color w:val="000000" w:themeColor="text1"/>
            </w:rPr>
            <w:fldChar w:fldCharType="end"/>
          </w:r>
          <w:r>
            <w:rPr>
              <w:rFonts w:ascii="楷体" w:hAnsi="楷体" w:eastAsia="楷体" w:cs="楷体"/>
              <w:color w:val="000000" w:themeColor="text1"/>
            </w:rPr>
            <w:fldChar w:fldCharType="end"/>
          </w:r>
        </w:p>
        <w:p w14:paraId="79B33665">
          <w:pPr>
            <w:pStyle w:val="20"/>
            <w:tabs>
              <w:tab w:val="right" w:leader="dot" w:pos="9355"/>
            </w:tabs>
            <w:spacing w:line="600" w:lineRule="exact"/>
            <w:ind w:left="590" w:firstLine="590"/>
            <w:rPr>
              <w:rFonts w:hint="eastAsia"/>
              <w:color w:val="000000" w:themeColor="text1"/>
            </w:rPr>
          </w:pPr>
          <w:r>
            <w:fldChar w:fldCharType="begin"/>
          </w:r>
          <w:r>
            <w:instrText xml:space="preserve"> HYPERLINK \l "_Toc11145" </w:instrText>
          </w:r>
          <w:r>
            <w:fldChar w:fldCharType="separate"/>
          </w:r>
          <w:r>
            <w:rPr>
              <w:rFonts w:hint="eastAsia" w:ascii="楷体" w:hAnsi="楷体" w:eastAsia="楷体" w:cs="楷体"/>
              <w:color w:val="000000" w:themeColor="text1"/>
            </w:rPr>
            <w:t>第三节打造创新创业人才新高地</w:t>
          </w:r>
          <w:r>
            <w:rPr>
              <w:rFonts w:ascii="楷体" w:hAnsi="楷体" w:eastAsia="楷体" w:cs="楷体"/>
              <w:color w:val="000000" w:themeColor="text1"/>
            </w:rPr>
            <w:tab/>
          </w:r>
          <w:r>
            <w:rPr>
              <w:rFonts w:ascii="楷体" w:hAnsi="楷体" w:eastAsia="楷体" w:cs="楷体"/>
              <w:color w:val="000000" w:themeColor="text1"/>
            </w:rPr>
            <w:fldChar w:fldCharType="begin"/>
          </w:r>
          <w:r>
            <w:rPr>
              <w:rFonts w:ascii="楷体" w:hAnsi="楷体" w:eastAsia="楷体" w:cs="楷体"/>
              <w:color w:val="000000" w:themeColor="text1"/>
            </w:rPr>
            <w:instrText xml:space="preserve"> PAGEREF _Toc11145 </w:instrText>
          </w:r>
          <w:r>
            <w:rPr>
              <w:rFonts w:ascii="楷体" w:hAnsi="楷体" w:eastAsia="楷体" w:cs="楷体"/>
              <w:color w:val="000000" w:themeColor="text1"/>
            </w:rPr>
            <w:fldChar w:fldCharType="separate"/>
          </w:r>
          <w:r>
            <w:rPr>
              <w:rFonts w:ascii="楷体" w:hAnsi="楷体" w:eastAsia="楷体" w:cs="楷体"/>
              <w:color w:val="000000" w:themeColor="text1"/>
            </w:rPr>
            <w:t>- 24 -</w:t>
          </w:r>
          <w:r>
            <w:rPr>
              <w:rFonts w:ascii="楷体" w:hAnsi="楷体" w:eastAsia="楷体" w:cs="楷体"/>
              <w:color w:val="000000" w:themeColor="text1"/>
            </w:rPr>
            <w:fldChar w:fldCharType="end"/>
          </w:r>
          <w:r>
            <w:rPr>
              <w:rFonts w:ascii="楷体" w:hAnsi="楷体" w:eastAsia="楷体" w:cs="楷体"/>
              <w:color w:val="000000" w:themeColor="text1"/>
            </w:rPr>
            <w:fldChar w:fldCharType="end"/>
          </w:r>
        </w:p>
        <w:p w14:paraId="3677684C">
          <w:pPr>
            <w:pStyle w:val="20"/>
            <w:tabs>
              <w:tab w:val="right" w:leader="dot" w:pos="9355"/>
            </w:tabs>
            <w:spacing w:beforeLines="20" w:afterLines="20" w:line="600" w:lineRule="exact"/>
            <w:ind w:left="590" w:firstLine="0" w:firstLineChars="0"/>
            <w:rPr>
              <w:rFonts w:ascii="黑体" w:hAnsi="黑体" w:cs="黑体"/>
              <w:color w:val="000000" w:themeColor="text1"/>
            </w:rPr>
          </w:pPr>
          <w:r>
            <w:fldChar w:fldCharType="begin"/>
          </w:r>
          <w:r>
            <w:instrText xml:space="preserve"> HYPERLINK \l "_Toc25340" </w:instrText>
          </w:r>
          <w:r>
            <w:fldChar w:fldCharType="separate"/>
          </w:r>
          <w:r>
            <w:rPr>
              <w:rFonts w:hint="eastAsia" w:ascii="黑体" w:hAnsi="黑体" w:cs="黑体"/>
              <w:color w:val="000000" w:themeColor="text1"/>
            </w:rPr>
            <w:t>第四章扩量升级构建现代化工业新势能</w:t>
          </w:r>
          <w:r>
            <w:rPr>
              <w:rFonts w:ascii="黑体" w:hAnsi="黑体" w:cs="黑体"/>
              <w:color w:val="000000" w:themeColor="text1"/>
            </w:rPr>
            <w:tab/>
          </w:r>
          <w:r>
            <w:rPr>
              <w:rFonts w:hint="eastAsia" w:ascii="黑体" w:hAnsi="黑体" w:cs="黑体"/>
              <w:color w:val="000000" w:themeColor="text1"/>
            </w:rPr>
            <w:fldChar w:fldCharType="begin"/>
          </w:r>
          <w:r>
            <w:rPr>
              <w:rFonts w:ascii="黑体" w:hAnsi="黑体" w:cs="黑体"/>
              <w:color w:val="000000" w:themeColor="text1"/>
            </w:rPr>
            <w:instrText xml:space="preserve"> PAGEREF _Toc25340 </w:instrText>
          </w:r>
          <w:r>
            <w:rPr>
              <w:rFonts w:hint="eastAsia" w:ascii="黑体" w:hAnsi="黑体" w:cs="黑体"/>
              <w:color w:val="000000" w:themeColor="text1"/>
            </w:rPr>
            <w:fldChar w:fldCharType="separate"/>
          </w:r>
          <w:r>
            <w:rPr>
              <w:rFonts w:ascii="黑体" w:hAnsi="黑体" w:cs="黑体"/>
              <w:color w:val="000000" w:themeColor="text1"/>
            </w:rPr>
            <w:t>- 27 -</w:t>
          </w:r>
          <w:r>
            <w:rPr>
              <w:rFonts w:hint="eastAsia" w:ascii="黑体" w:hAnsi="黑体" w:cs="黑体"/>
              <w:color w:val="000000" w:themeColor="text1"/>
            </w:rPr>
            <w:fldChar w:fldCharType="end"/>
          </w:r>
          <w:r>
            <w:rPr>
              <w:rFonts w:hint="eastAsia" w:ascii="黑体" w:hAnsi="黑体" w:cs="黑体"/>
              <w:color w:val="000000" w:themeColor="text1"/>
            </w:rPr>
            <w:fldChar w:fldCharType="end"/>
          </w:r>
        </w:p>
        <w:p w14:paraId="3B13BC95">
          <w:pPr>
            <w:pStyle w:val="20"/>
            <w:tabs>
              <w:tab w:val="right" w:leader="dot" w:pos="9355"/>
            </w:tabs>
            <w:spacing w:line="600" w:lineRule="exact"/>
            <w:ind w:left="590" w:firstLine="590"/>
            <w:rPr>
              <w:rFonts w:ascii="楷体" w:hAnsi="楷体" w:eastAsia="楷体" w:cs="楷体"/>
              <w:color w:val="000000" w:themeColor="text1"/>
            </w:rPr>
          </w:pPr>
          <w:r>
            <w:fldChar w:fldCharType="begin"/>
          </w:r>
          <w:r>
            <w:instrText xml:space="preserve"> HYPERLINK \l "_Toc22114" </w:instrText>
          </w:r>
          <w:r>
            <w:fldChar w:fldCharType="separate"/>
          </w:r>
          <w:r>
            <w:rPr>
              <w:rFonts w:hint="eastAsia" w:ascii="楷体" w:hAnsi="楷体" w:eastAsia="楷体" w:cs="楷体"/>
              <w:color w:val="000000" w:themeColor="text1"/>
            </w:rPr>
            <w:t>第一节打造绿色石化产业集群</w:t>
          </w:r>
          <w:r>
            <w:rPr>
              <w:rFonts w:ascii="楷体" w:hAnsi="楷体" w:eastAsia="楷体" w:cs="楷体"/>
              <w:color w:val="000000" w:themeColor="text1"/>
            </w:rPr>
            <w:tab/>
          </w:r>
          <w:r>
            <w:rPr>
              <w:rFonts w:ascii="楷体" w:hAnsi="楷体" w:eastAsia="楷体" w:cs="楷体"/>
              <w:color w:val="000000" w:themeColor="text1"/>
            </w:rPr>
            <w:fldChar w:fldCharType="begin"/>
          </w:r>
          <w:r>
            <w:rPr>
              <w:rFonts w:ascii="楷体" w:hAnsi="楷体" w:eastAsia="楷体" w:cs="楷体"/>
              <w:color w:val="000000" w:themeColor="text1"/>
            </w:rPr>
            <w:instrText xml:space="preserve"> PAGEREF _Toc22114 </w:instrText>
          </w:r>
          <w:r>
            <w:rPr>
              <w:rFonts w:ascii="楷体" w:hAnsi="楷体" w:eastAsia="楷体" w:cs="楷体"/>
              <w:color w:val="000000" w:themeColor="text1"/>
            </w:rPr>
            <w:fldChar w:fldCharType="separate"/>
          </w:r>
          <w:r>
            <w:rPr>
              <w:rFonts w:ascii="楷体" w:hAnsi="楷体" w:eastAsia="楷体" w:cs="楷体"/>
              <w:color w:val="000000" w:themeColor="text1"/>
            </w:rPr>
            <w:t>- 27 -</w:t>
          </w:r>
          <w:r>
            <w:rPr>
              <w:rFonts w:ascii="楷体" w:hAnsi="楷体" w:eastAsia="楷体" w:cs="楷体"/>
              <w:color w:val="000000" w:themeColor="text1"/>
            </w:rPr>
            <w:fldChar w:fldCharType="end"/>
          </w:r>
          <w:r>
            <w:rPr>
              <w:rFonts w:ascii="楷体" w:hAnsi="楷体" w:eastAsia="楷体" w:cs="楷体"/>
              <w:color w:val="000000" w:themeColor="text1"/>
            </w:rPr>
            <w:fldChar w:fldCharType="end"/>
          </w:r>
        </w:p>
        <w:p w14:paraId="1ED3EFAA">
          <w:pPr>
            <w:pStyle w:val="20"/>
            <w:tabs>
              <w:tab w:val="right" w:leader="dot" w:pos="9355"/>
            </w:tabs>
            <w:spacing w:line="600" w:lineRule="exact"/>
            <w:ind w:left="590" w:firstLine="590"/>
            <w:rPr>
              <w:rFonts w:ascii="楷体" w:hAnsi="楷体" w:eastAsia="楷体" w:cs="楷体"/>
              <w:color w:val="000000" w:themeColor="text1"/>
            </w:rPr>
          </w:pPr>
          <w:r>
            <w:fldChar w:fldCharType="begin"/>
          </w:r>
          <w:r>
            <w:instrText xml:space="preserve"> HYPERLINK \l "_Toc5342" </w:instrText>
          </w:r>
          <w:r>
            <w:fldChar w:fldCharType="separate"/>
          </w:r>
          <w:r>
            <w:rPr>
              <w:rFonts w:hint="eastAsia" w:ascii="楷体" w:hAnsi="楷体" w:eastAsia="楷体" w:cs="楷体"/>
              <w:color w:val="000000" w:themeColor="text1"/>
            </w:rPr>
            <w:t>第二节积极培育战略性新兴产业</w:t>
          </w:r>
          <w:r>
            <w:rPr>
              <w:rFonts w:ascii="楷体" w:hAnsi="楷体" w:eastAsia="楷体" w:cs="楷体"/>
              <w:color w:val="000000" w:themeColor="text1"/>
            </w:rPr>
            <w:tab/>
          </w:r>
          <w:r>
            <w:rPr>
              <w:rFonts w:ascii="楷体" w:hAnsi="楷体" w:eastAsia="楷体" w:cs="楷体"/>
              <w:color w:val="000000" w:themeColor="text1"/>
            </w:rPr>
            <w:fldChar w:fldCharType="begin"/>
          </w:r>
          <w:r>
            <w:rPr>
              <w:rFonts w:ascii="楷体" w:hAnsi="楷体" w:eastAsia="楷体" w:cs="楷体"/>
              <w:color w:val="000000" w:themeColor="text1"/>
            </w:rPr>
            <w:instrText xml:space="preserve"> PAGEREF _Toc5342 </w:instrText>
          </w:r>
          <w:r>
            <w:rPr>
              <w:rFonts w:ascii="楷体" w:hAnsi="楷体" w:eastAsia="楷体" w:cs="楷体"/>
              <w:color w:val="000000" w:themeColor="text1"/>
            </w:rPr>
            <w:fldChar w:fldCharType="separate"/>
          </w:r>
          <w:r>
            <w:rPr>
              <w:rFonts w:ascii="楷体" w:hAnsi="楷体" w:eastAsia="楷体" w:cs="楷体"/>
              <w:color w:val="000000" w:themeColor="text1"/>
            </w:rPr>
            <w:t>- 29 -</w:t>
          </w:r>
          <w:r>
            <w:rPr>
              <w:rFonts w:ascii="楷体" w:hAnsi="楷体" w:eastAsia="楷体" w:cs="楷体"/>
              <w:color w:val="000000" w:themeColor="text1"/>
            </w:rPr>
            <w:fldChar w:fldCharType="end"/>
          </w:r>
          <w:r>
            <w:rPr>
              <w:rFonts w:ascii="楷体" w:hAnsi="楷体" w:eastAsia="楷体" w:cs="楷体"/>
              <w:color w:val="000000" w:themeColor="text1"/>
            </w:rPr>
            <w:fldChar w:fldCharType="end"/>
          </w:r>
        </w:p>
        <w:p w14:paraId="7F2E9ACC">
          <w:pPr>
            <w:pStyle w:val="20"/>
            <w:tabs>
              <w:tab w:val="right" w:leader="dot" w:pos="9355"/>
            </w:tabs>
            <w:spacing w:line="600" w:lineRule="exact"/>
            <w:ind w:left="590" w:firstLine="590"/>
            <w:rPr>
              <w:rFonts w:ascii="楷体" w:hAnsi="楷体" w:eastAsia="楷体" w:cs="楷体"/>
              <w:color w:val="000000" w:themeColor="text1"/>
            </w:rPr>
          </w:pPr>
          <w:r>
            <w:fldChar w:fldCharType="begin"/>
          </w:r>
          <w:r>
            <w:instrText xml:space="preserve"> HYPERLINK \l "_Toc7568" </w:instrText>
          </w:r>
          <w:r>
            <w:fldChar w:fldCharType="separate"/>
          </w:r>
          <w:r>
            <w:rPr>
              <w:rFonts w:hint="eastAsia" w:ascii="楷体" w:hAnsi="楷体" w:eastAsia="楷体" w:cs="楷体"/>
              <w:color w:val="000000" w:themeColor="text1"/>
            </w:rPr>
            <w:t>第三节完善“三产融合型”农产品深加工产业链</w:t>
          </w:r>
          <w:r>
            <w:rPr>
              <w:rFonts w:ascii="楷体" w:hAnsi="楷体" w:eastAsia="楷体" w:cs="楷体"/>
              <w:color w:val="000000" w:themeColor="text1"/>
            </w:rPr>
            <w:tab/>
          </w:r>
          <w:r>
            <w:rPr>
              <w:rFonts w:ascii="楷体" w:hAnsi="楷体" w:eastAsia="楷体" w:cs="楷体"/>
              <w:color w:val="000000" w:themeColor="text1"/>
            </w:rPr>
            <w:fldChar w:fldCharType="begin"/>
          </w:r>
          <w:r>
            <w:rPr>
              <w:rFonts w:ascii="楷体" w:hAnsi="楷体" w:eastAsia="楷体" w:cs="楷体"/>
              <w:color w:val="000000" w:themeColor="text1"/>
            </w:rPr>
            <w:instrText xml:space="preserve"> PAGEREF _Toc7568 </w:instrText>
          </w:r>
          <w:r>
            <w:rPr>
              <w:rFonts w:ascii="楷体" w:hAnsi="楷体" w:eastAsia="楷体" w:cs="楷体"/>
              <w:color w:val="000000" w:themeColor="text1"/>
            </w:rPr>
            <w:fldChar w:fldCharType="separate"/>
          </w:r>
          <w:r>
            <w:rPr>
              <w:rFonts w:ascii="楷体" w:hAnsi="楷体" w:eastAsia="楷体" w:cs="楷体"/>
              <w:color w:val="000000" w:themeColor="text1"/>
            </w:rPr>
            <w:t>- 32 -</w:t>
          </w:r>
          <w:r>
            <w:rPr>
              <w:rFonts w:ascii="楷体" w:hAnsi="楷体" w:eastAsia="楷体" w:cs="楷体"/>
              <w:color w:val="000000" w:themeColor="text1"/>
            </w:rPr>
            <w:fldChar w:fldCharType="end"/>
          </w:r>
          <w:r>
            <w:rPr>
              <w:rFonts w:ascii="楷体" w:hAnsi="楷体" w:eastAsia="楷体" w:cs="楷体"/>
              <w:color w:val="000000" w:themeColor="text1"/>
            </w:rPr>
            <w:fldChar w:fldCharType="end"/>
          </w:r>
        </w:p>
        <w:p w14:paraId="434E0002">
          <w:pPr>
            <w:pStyle w:val="20"/>
            <w:tabs>
              <w:tab w:val="right" w:leader="dot" w:pos="9355"/>
            </w:tabs>
            <w:spacing w:line="600" w:lineRule="exact"/>
            <w:ind w:left="590" w:firstLine="590"/>
            <w:rPr>
              <w:rFonts w:ascii="楷体" w:hAnsi="楷体" w:eastAsia="楷体" w:cs="楷体"/>
              <w:color w:val="000000" w:themeColor="text1"/>
            </w:rPr>
          </w:pPr>
          <w:r>
            <w:fldChar w:fldCharType="begin"/>
          </w:r>
          <w:r>
            <w:instrText xml:space="preserve"> HYPERLINK \l "_Toc19575" </w:instrText>
          </w:r>
          <w:r>
            <w:fldChar w:fldCharType="separate"/>
          </w:r>
          <w:r>
            <w:rPr>
              <w:rFonts w:hint="eastAsia" w:ascii="楷体" w:hAnsi="楷体" w:eastAsia="楷体" w:cs="楷体"/>
              <w:color w:val="000000" w:themeColor="text1"/>
            </w:rPr>
            <w:t>第四节加快数字化发展</w:t>
          </w:r>
          <w:r>
            <w:rPr>
              <w:rFonts w:ascii="楷体" w:hAnsi="楷体" w:eastAsia="楷体" w:cs="楷体"/>
              <w:color w:val="000000" w:themeColor="text1"/>
            </w:rPr>
            <w:tab/>
          </w:r>
          <w:r>
            <w:rPr>
              <w:rFonts w:ascii="楷体" w:hAnsi="楷体" w:eastAsia="楷体" w:cs="楷体"/>
              <w:color w:val="000000" w:themeColor="text1"/>
            </w:rPr>
            <w:fldChar w:fldCharType="begin"/>
          </w:r>
          <w:r>
            <w:rPr>
              <w:rFonts w:ascii="楷体" w:hAnsi="楷体" w:eastAsia="楷体" w:cs="楷体"/>
              <w:color w:val="000000" w:themeColor="text1"/>
            </w:rPr>
            <w:instrText xml:space="preserve"> PAGEREF _Toc19575 </w:instrText>
          </w:r>
          <w:r>
            <w:rPr>
              <w:rFonts w:ascii="楷体" w:hAnsi="楷体" w:eastAsia="楷体" w:cs="楷体"/>
              <w:color w:val="000000" w:themeColor="text1"/>
            </w:rPr>
            <w:fldChar w:fldCharType="separate"/>
          </w:r>
          <w:r>
            <w:rPr>
              <w:rFonts w:ascii="楷体" w:hAnsi="楷体" w:eastAsia="楷体" w:cs="楷体"/>
              <w:color w:val="000000" w:themeColor="text1"/>
            </w:rPr>
            <w:t>- 33 -</w:t>
          </w:r>
          <w:r>
            <w:rPr>
              <w:rFonts w:ascii="楷体" w:hAnsi="楷体" w:eastAsia="楷体" w:cs="楷体"/>
              <w:color w:val="000000" w:themeColor="text1"/>
            </w:rPr>
            <w:fldChar w:fldCharType="end"/>
          </w:r>
          <w:r>
            <w:rPr>
              <w:rFonts w:ascii="楷体" w:hAnsi="楷体" w:eastAsia="楷体" w:cs="楷体"/>
              <w:color w:val="000000" w:themeColor="text1"/>
            </w:rPr>
            <w:fldChar w:fldCharType="end"/>
          </w:r>
        </w:p>
        <w:p w14:paraId="018D11A7">
          <w:pPr>
            <w:pStyle w:val="20"/>
            <w:tabs>
              <w:tab w:val="right" w:leader="dot" w:pos="9355"/>
            </w:tabs>
            <w:spacing w:line="600" w:lineRule="exact"/>
            <w:ind w:left="590" w:firstLine="590"/>
            <w:rPr>
              <w:rFonts w:hint="eastAsia"/>
              <w:color w:val="000000" w:themeColor="text1"/>
            </w:rPr>
          </w:pPr>
          <w:r>
            <w:fldChar w:fldCharType="begin"/>
          </w:r>
          <w:r>
            <w:instrText xml:space="preserve"> HYPERLINK \l "_Toc25726" </w:instrText>
          </w:r>
          <w:r>
            <w:fldChar w:fldCharType="separate"/>
          </w:r>
          <w:r>
            <w:rPr>
              <w:rFonts w:hint="eastAsia" w:ascii="楷体" w:hAnsi="楷体" w:eastAsia="楷体" w:cs="楷体"/>
              <w:color w:val="000000" w:themeColor="text1"/>
            </w:rPr>
            <w:t>第五节大力推动产业培育设施提质增效</w:t>
          </w:r>
          <w:r>
            <w:rPr>
              <w:rFonts w:ascii="楷体" w:hAnsi="楷体" w:eastAsia="楷体" w:cs="楷体"/>
              <w:color w:val="000000" w:themeColor="text1"/>
            </w:rPr>
            <w:tab/>
          </w:r>
          <w:r>
            <w:rPr>
              <w:rFonts w:ascii="楷体" w:hAnsi="楷体" w:eastAsia="楷体" w:cs="楷体"/>
              <w:color w:val="000000" w:themeColor="text1"/>
            </w:rPr>
            <w:fldChar w:fldCharType="begin"/>
          </w:r>
          <w:r>
            <w:rPr>
              <w:rFonts w:ascii="楷体" w:hAnsi="楷体" w:eastAsia="楷体" w:cs="楷体"/>
              <w:color w:val="000000" w:themeColor="text1"/>
            </w:rPr>
            <w:instrText xml:space="preserve"> PAGEREF _Toc25726 </w:instrText>
          </w:r>
          <w:r>
            <w:rPr>
              <w:rFonts w:ascii="楷体" w:hAnsi="楷体" w:eastAsia="楷体" w:cs="楷体"/>
              <w:color w:val="000000" w:themeColor="text1"/>
            </w:rPr>
            <w:fldChar w:fldCharType="separate"/>
          </w:r>
          <w:r>
            <w:rPr>
              <w:rFonts w:ascii="楷体" w:hAnsi="楷体" w:eastAsia="楷体" w:cs="楷体"/>
              <w:color w:val="000000" w:themeColor="text1"/>
            </w:rPr>
            <w:t>- 34 -</w:t>
          </w:r>
          <w:r>
            <w:rPr>
              <w:rFonts w:ascii="楷体" w:hAnsi="楷体" w:eastAsia="楷体" w:cs="楷体"/>
              <w:color w:val="000000" w:themeColor="text1"/>
            </w:rPr>
            <w:fldChar w:fldCharType="end"/>
          </w:r>
          <w:r>
            <w:rPr>
              <w:rFonts w:ascii="楷体" w:hAnsi="楷体" w:eastAsia="楷体" w:cs="楷体"/>
              <w:color w:val="000000" w:themeColor="text1"/>
            </w:rPr>
            <w:fldChar w:fldCharType="end"/>
          </w:r>
        </w:p>
        <w:p w14:paraId="77BE2C6B">
          <w:pPr>
            <w:pStyle w:val="20"/>
            <w:tabs>
              <w:tab w:val="right" w:leader="dot" w:pos="9355"/>
            </w:tabs>
            <w:spacing w:beforeLines="20" w:afterLines="20" w:line="600" w:lineRule="exact"/>
            <w:ind w:left="590" w:firstLine="0" w:firstLineChars="0"/>
            <w:rPr>
              <w:rFonts w:ascii="黑体" w:hAnsi="黑体" w:cs="黑体"/>
              <w:color w:val="000000" w:themeColor="text1"/>
            </w:rPr>
          </w:pPr>
          <w:r>
            <w:fldChar w:fldCharType="begin"/>
          </w:r>
          <w:r>
            <w:instrText xml:space="preserve"> HYPERLINK \l "_Toc28453" </w:instrText>
          </w:r>
          <w:r>
            <w:fldChar w:fldCharType="separate"/>
          </w:r>
          <w:r>
            <w:rPr>
              <w:rFonts w:hint="eastAsia" w:ascii="黑体" w:hAnsi="黑体" w:cs="黑体"/>
              <w:color w:val="000000" w:themeColor="text1"/>
            </w:rPr>
            <w:t>第五章提质增效构筑现代服务业新体系</w:t>
          </w:r>
          <w:r>
            <w:rPr>
              <w:rFonts w:ascii="黑体" w:hAnsi="黑体" w:cs="黑体"/>
              <w:color w:val="000000" w:themeColor="text1"/>
            </w:rPr>
            <w:tab/>
          </w:r>
          <w:r>
            <w:rPr>
              <w:rFonts w:hint="eastAsia" w:ascii="黑体" w:hAnsi="黑体" w:cs="黑体"/>
              <w:color w:val="000000" w:themeColor="text1"/>
            </w:rPr>
            <w:fldChar w:fldCharType="begin"/>
          </w:r>
          <w:r>
            <w:rPr>
              <w:rFonts w:ascii="黑体" w:hAnsi="黑体" w:cs="黑体"/>
              <w:color w:val="000000" w:themeColor="text1"/>
            </w:rPr>
            <w:instrText xml:space="preserve"> PAGEREF _Toc28453 </w:instrText>
          </w:r>
          <w:r>
            <w:rPr>
              <w:rFonts w:hint="eastAsia" w:ascii="黑体" w:hAnsi="黑体" w:cs="黑体"/>
              <w:color w:val="000000" w:themeColor="text1"/>
            </w:rPr>
            <w:fldChar w:fldCharType="separate"/>
          </w:r>
          <w:r>
            <w:rPr>
              <w:rFonts w:ascii="黑体" w:hAnsi="黑体" w:cs="黑体"/>
              <w:color w:val="000000" w:themeColor="text1"/>
            </w:rPr>
            <w:t>- 35 -</w:t>
          </w:r>
          <w:r>
            <w:rPr>
              <w:rFonts w:hint="eastAsia" w:ascii="黑体" w:hAnsi="黑体" w:cs="黑体"/>
              <w:color w:val="000000" w:themeColor="text1"/>
            </w:rPr>
            <w:fldChar w:fldCharType="end"/>
          </w:r>
          <w:r>
            <w:rPr>
              <w:rFonts w:hint="eastAsia" w:ascii="黑体" w:hAnsi="黑体" w:cs="黑体"/>
              <w:color w:val="000000" w:themeColor="text1"/>
            </w:rPr>
            <w:fldChar w:fldCharType="end"/>
          </w:r>
        </w:p>
        <w:p w14:paraId="25B4CC81">
          <w:pPr>
            <w:pStyle w:val="20"/>
            <w:tabs>
              <w:tab w:val="right" w:leader="dot" w:pos="9355"/>
            </w:tabs>
            <w:spacing w:line="600" w:lineRule="exact"/>
            <w:ind w:left="590" w:firstLine="590"/>
            <w:rPr>
              <w:rFonts w:ascii="楷体" w:hAnsi="楷体" w:eastAsia="楷体" w:cs="楷体"/>
              <w:color w:val="000000" w:themeColor="text1"/>
            </w:rPr>
          </w:pPr>
          <w:r>
            <w:fldChar w:fldCharType="begin"/>
          </w:r>
          <w:r>
            <w:instrText xml:space="preserve"> HYPERLINK \l "_Toc21544" </w:instrText>
          </w:r>
          <w:r>
            <w:fldChar w:fldCharType="separate"/>
          </w:r>
          <w:r>
            <w:rPr>
              <w:rFonts w:hint="eastAsia" w:ascii="楷体" w:hAnsi="楷体" w:eastAsia="楷体" w:cs="楷体"/>
              <w:color w:val="000000" w:themeColor="text1"/>
            </w:rPr>
            <w:t>第一节培育专业化物流产业</w:t>
          </w:r>
          <w:r>
            <w:rPr>
              <w:rFonts w:ascii="楷体" w:hAnsi="楷体" w:eastAsia="楷体" w:cs="楷体"/>
              <w:color w:val="000000" w:themeColor="text1"/>
            </w:rPr>
            <w:tab/>
          </w:r>
          <w:r>
            <w:rPr>
              <w:rFonts w:ascii="楷体" w:hAnsi="楷体" w:eastAsia="楷体" w:cs="楷体"/>
              <w:color w:val="000000" w:themeColor="text1"/>
            </w:rPr>
            <w:fldChar w:fldCharType="begin"/>
          </w:r>
          <w:r>
            <w:rPr>
              <w:rFonts w:ascii="楷体" w:hAnsi="楷体" w:eastAsia="楷体" w:cs="楷体"/>
              <w:color w:val="000000" w:themeColor="text1"/>
            </w:rPr>
            <w:instrText xml:space="preserve"> PAGEREF _Toc21544 </w:instrText>
          </w:r>
          <w:r>
            <w:rPr>
              <w:rFonts w:ascii="楷体" w:hAnsi="楷体" w:eastAsia="楷体" w:cs="楷体"/>
              <w:color w:val="000000" w:themeColor="text1"/>
            </w:rPr>
            <w:fldChar w:fldCharType="separate"/>
          </w:r>
          <w:r>
            <w:rPr>
              <w:rFonts w:ascii="楷体" w:hAnsi="楷体" w:eastAsia="楷体" w:cs="楷体"/>
              <w:color w:val="000000" w:themeColor="text1"/>
            </w:rPr>
            <w:t>- 35 -</w:t>
          </w:r>
          <w:r>
            <w:rPr>
              <w:rFonts w:ascii="楷体" w:hAnsi="楷体" w:eastAsia="楷体" w:cs="楷体"/>
              <w:color w:val="000000" w:themeColor="text1"/>
            </w:rPr>
            <w:fldChar w:fldCharType="end"/>
          </w:r>
          <w:r>
            <w:rPr>
              <w:rFonts w:ascii="楷体" w:hAnsi="楷体" w:eastAsia="楷体" w:cs="楷体"/>
              <w:color w:val="000000" w:themeColor="text1"/>
            </w:rPr>
            <w:fldChar w:fldCharType="end"/>
          </w:r>
        </w:p>
        <w:p w14:paraId="017F3F94">
          <w:pPr>
            <w:pStyle w:val="20"/>
            <w:tabs>
              <w:tab w:val="right" w:leader="dot" w:pos="9355"/>
            </w:tabs>
            <w:spacing w:line="600" w:lineRule="exact"/>
            <w:ind w:left="590" w:firstLine="590"/>
            <w:rPr>
              <w:rFonts w:ascii="楷体" w:hAnsi="楷体" w:eastAsia="楷体" w:cs="楷体"/>
              <w:color w:val="000000" w:themeColor="text1"/>
            </w:rPr>
          </w:pPr>
          <w:r>
            <w:fldChar w:fldCharType="begin"/>
          </w:r>
          <w:r>
            <w:instrText xml:space="preserve"> HYPERLINK \l "_Toc24233" </w:instrText>
          </w:r>
          <w:r>
            <w:fldChar w:fldCharType="separate"/>
          </w:r>
          <w:r>
            <w:rPr>
              <w:rFonts w:hint="eastAsia" w:ascii="楷体" w:hAnsi="楷体" w:eastAsia="楷体" w:cs="楷体"/>
              <w:color w:val="000000" w:themeColor="text1"/>
            </w:rPr>
            <w:t>第二节做大做强大旅游产业</w:t>
          </w:r>
          <w:r>
            <w:rPr>
              <w:rFonts w:ascii="楷体" w:hAnsi="楷体" w:eastAsia="楷体" w:cs="楷体"/>
              <w:color w:val="000000" w:themeColor="text1"/>
            </w:rPr>
            <w:tab/>
          </w:r>
          <w:r>
            <w:rPr>
              <w:rFonts w:ascii="楷体" w:hAnsi="楷体" w:eastAsia="楷体" w:cs="楷体"/>
              <w:color w:val="000000" w:themeColor="text1"/>
            </w:rPr>
            <w:fldChar w:fldCharType="begin"/>
          </w:r>
          <w:r>
            <w:rPr>
              <w:rFonts w:ascii="楷体" w:hAnsi="楷体" w:eastAsia="楷体" w:cs="楷体"/>
              <w:color w:val="000000" w:themeColor="text1"/>
            </w:rPr>
            <w:instrText xml:space="preserve"> PAGEREF _Toc24233 </w:instrText>
          </w:r>
          <w:r>
            <w:rPr>
              <w:rFonts w:ascii="楷体" w:hAnsi="楷体" w:eastAsia="楷体" w:cs="楷体"/>
              <w:color w:val="000000" w:themeColor="text1"/>
            </w:rPr>
            <w:fldChar w:fldCharType="separate"/>
          </w:r>
          <w:r>
            <w:rPr>
              <w:rFonts w:ascii="楷体" w:hAnsi="楷体" w:eastAsia="楷体" w:cs="楷体"/>
              <w:color w:val="000000" w:themeColor="text1"/>
            </w:rPr>
            <w:t>- 39 -</w:t>
          </w:r>
          <w:r>
            <w:rPr>
              <w:rFonts w:ascii="楷体" w:hAnsi="楷体" w:eastAsia="楷体" w:cs="楷体"/>
              <w:color w:val="000000" w:themeColor="text1"/>
            </w:rPr>
            <w:fldChar w:fldCharType="end"/>
          </w:r>
          <w:r>
            <w:rPr>
              <w:rFonts w:ascii="楷体" w:hAnsi="楷体" w:eastAsia="楷体" w:cs="楷体"/>
              <w:color w:val="000000" w:themeColor="text1"/>
            </w:rPr>
            <w:fldChar w:fldCharType="end"/>
          </w:r>
        </w:p>
        <w:p w14:paraId="6A415B1B">
          <w:pPr>
            <w:pStyle w:val="20"/>
            <w:tabs>
              <w:tab w:val="right" w:leader="dot" w:pos="9355"/>
            </w:tabs>
            <w:spacing w:line="600" w:lineRule="exact"/>
            <w:ind w:left="590" w:firstLine="590"/>
            <w:rPr>
              <w:rFonts w:ascii="楷体" w:hAnsi="楷体" w:eastAsia="楷体" w:cs="楷体"/>
              <w:color w:val="000000" w:themeColor="text1"/>
            </w:rPr>
          </w:pPr>
          <w:r>
            <w:fldChar w:fldCharType="begin"/>
          </w:r>
          <w:r>
            <w:instrText xml:space="preserve"> HYPERLINK \l "_Toc31033" </w:instrText>
          </w:r>
          <w:r>
            <w:fldChar w:fldCharType="separate"/>
          </w:r>
          <w:r>
            <w:rPr>
              <w:rFonts w:hint="eastAsia" w:ascii="楷体" w:hAnsi="楷体" w:eastAsia="楷体" w:cs="楷体"/>
              <w:color w:val="000000" w:themeColor="text1"/>
            </w:rPr>
            <w:t>第三节扶持发展精品特色商贸产业</w:t>
          </w:r>
          <w:r>
            <w:rPr>
              <w:rFonts w:ascii="楷体" w:hAnsi="楷体" w:eastAsia="楷体" w:cs="楷体"/>
              <w:color w:val="000000" w:themeColor="text1"/>
            </w:rPr>
            <w:tab/>
          </w:r>
          <w:r>
            <w:rPr>
              <w:rFonts w:ascii="楷体" w:hAnsi="楷体" w:eastAsia="楷体" w:cs="楷体"/>
              <w:color w:val="000000" w:themeColor="text1"/>
            </w:rPr>
            <w:fldChar w:fldCharType="begin"/>
          </w:r>
          <w:r>
            <w:rPr>
              <w:rFonts w:ascii="楷体" w:hAnsi="楷体" w:eastAsia="楷体" w:cs="楷体"/>
              <w:color w:val="000000" w:themeColor="text1"/>
            </w:rPr>
            <w:instrText xml:space="preserve"> PAGEREF _Toc31033 </w:instrText>
          </w:r>
          <w:r>
            <w:rPr>
              <w:rFonts w:ascii="楷体" w:hAnsi="楷体" w:eastAsia="楷体" w:cs="楷体"/>
              <w:color w:val="000000" w:themeColor="text1"/>
            </w:rPr>
            <w:fldChar w:fldCharType="separate"/>
          </w:r>
          <w:r>
            <w:rPr>
              <w:rFonts w:ascii="楷体" w:hAnsi="楷体" w:eastAsia="楷体" w:cs="楷体"/>
              <w:color w:val="000000" w:themeColor="text1"/>
            </w:rPr>
            <w:t>- 42 -</w:t>
          </w:r>
          <w:r>
            <w:rPr>
              <w:rFonts w:ascii="楷体" w:hAnsi="楷体" w:eastAsia="楷体" w:cs="楷体"/>
              <w:color w:val="000000" w:themeColor="text1"/>
            </w:rPr>
            <w:fldChar w:fldCharType="end"/>
          </w:r>
          <w:r>
            <w:rPr>
              <w:rFonts w:ascii="楷体" w:hAnsi="楷体" w:eastAsia="楷体" w:cs="楷体"/>
              <w:color w:val="000000" w:themeColor="text1"/>
            </w:rPr>
            <w:fldChar w:fldCharType="end"/>
          </w:r>
        </w:p>
        <w:p w14:paraId="4F1AF21A">
          <w:pPr>
            <w:pStyle w:val="20"/>
            <w:tabs>
              <w:tab w:val="right" w:leader="dot" w:pos="9355"/>
            </w:tabs>
            <w:spacing w:line="600" w:lineRule="exact"/>
            <w:ind w:left="590" w:firstLine="590"/>
            <w:rPr>
              <w:rFonts w:hint="eastAsia"/>
              <w:color w:val="000000" w:themeColor="text1"/>
            </w:rPr>
          </w:pPr>
          <w:r>
            <w:fldChar w:fldCharType="begin"/>
          </w:r>
          <w:r>
            <w:instrText xml:space="preserve"> HYPERLINK \l "_Toc1857" </w:instrText>
          </w:r>
          <w:r>
            <w:fldChar w:fldCharType="separate"/>
          </w:r>
          <w:r>
            <w:rPr>
              <w:rFonts w:hint="eastAsia" w:ascii="楷体" w:hAnsi="楷体" w:eastAsia="楷体" w:cs="楷体"/>
              <w:color w:val="000000" w:themeColor="text1"/>
            </w:rPr>
            <w:t>第四节积极引导鼓励健康养老家政服务业发展</w:t>
          </w:r>
          <w:r>
            <w:rPr>
              <w:rFonts w:ascii="楷体" w:hAnsi="楷体" w:eastAsia="楷体" w:cs="楷体"/>
              <w:color w:val="000000" w:themeColor="text1"/>
            </w:rPr>
            <w:tab/>
          </w:r>
          <w:r>
            <w:rPr>
              <w:rFonts w:ascii="楷体" w:hAnsi="楷体" w:eastAsia="楷体" w:cs="楷体"/>
              <w:color w:val="000000" w:themeColor="text1"/>
            </w:rPr>
            <w:fldChar w:fldCharType="begin"/>
          </w:r>
          <w:r>
            <w:rPr>
              <w:rFonts w:ascii="楷体" w:hAnsi="楷体" w:eastAsia="楷体" w:cs="楷体"/>
              <w:color w:val="000000" w:themeColor="text1"/>
            </w:rPr>
            <w:instrText xml:space="preserve"> PAGEREF _Toc1857 </w:instrText>
          </w:r>
          <w:r>
            <w:rPr>
              <w:rFonts w:ascii="楷体" w:hAnsi="楷体" w:eastAsia="楷体" w:cs="楷体"/>
              <w:color w:val="000000" w:themeColor="text1"/>
            </w:rPr>
            <w:fldChar w:fldCharType="separate"/>
          </w:r>
          <w:r>
            <w:rPr>
              <w:rFonts w:ascii="楷体" w:hAnsi="楷体" w:eastAsia="楷体" w:cs="楷体"/>
              <w:color w:val="000000" w:themeColor="text1"/>
            </w:rPr>
            <w:t>- 44 -</w:t>
          </w:r>
          <w:r>
            <w:rPr>
              <w:rFonts w:ascii="楷体" w:hAnsi="楷体" w:eastAsia="楷体" w:cs="楷体"/>
              <w:color w:val="000000" w:themeColor="text1"/>
            </w:rPr>
            <w:fldChar w:fldCharType="end"/>
          </w:r>
          <w:r>
            <w:rPr>
              <w:rFonts w:ascii="楷体" w:hAnsi="楷体" w:eastAsia="楷体" w:cs="楷体"/>
              <w:color w:val="000000" w:themeColor="text1"/>
            </w:rPr>
            <w:fldChar w:fldCharType="end"/>
          </w:r>
        </w:p>
        <w:p w14:paraId="261BB5DF">
          <w:pPr>
            <w:pStyle w:val="20"/>
            <w:tabs>
              <w:tab w:val="right" w:leader="dot" w:pos="9355"/>
            </w:tabs>
            <w:spacing w:beforeLines="20" w:afterLines="20" w:line="600" w:lineRule="exact"/>
            <w:ind w:left="590" w:firstLine="0" w:firstLineChars="0"/>
            <w:rPr>
              <w:rFonts w:ascii="黑体" w:hAnsi="黑体" w:cs="黑体"/>
              <w:color w:val="000000" w:themeColor="text1"/>
            </w:rPr>
          </w:pPr>
          <w:r>
            <w:fldChar w:fldCharType="begin"/>
          </w:r>
          <w:r>
            <w:instrText xml:space="preserve"> HYPERLINK \l "_Toc24623" </w:instrText>
          </w:r>
          <w:r>
            <w:fldChar w:fldCharType="separate"/>
          </w:r>
          <w:r>
            <w:rPr>
              <w:rFonts w:hint="eastAsia" w:ascii="黑体" w:hAnsi="黑体" w:cs="黑体"/>
              <w:color w:val="000000" w:themeColor="text1"/>
            </w:rPr>
            <w:t>第六章</w:t>
          </w:r>
          <w:r>
            <w:rPr>
              <w:rFonts w:ascii="黑体" w:hAnsi="黑体" w:cs="黑体"/>
              <w:color w:val="000000" w:themeColor="text1"/>
            </w:rPr>
            <w:t xml:space="preserve"> 强农惠农 </w:t>
          </w:r>
          <w:r>
            <w:rPr>
              <w:rFonts w:hint="eastAsia" w:ascii="黑体" w:hAnsi="黑体" w:cs="黑体"/>
              <w:color w:val="000000" w:themeColor="text1"/>
            </w:rPr>
            <w:t>铸造特色现代农业新品牌</w:t>
          </w:r>
          <w:r>
            <w:rPr>
              <w:rFonts w:ascii="黑体" w:hAnsi="黑体" w:cs="黑体"/>
              <w:color w:val="000000" w:themeColor="text1"/>
            </w:rPr>
            <w:tab/>
          </w:r>
          <w:r>
            <w:rPr>
              <w:rFonts w:hint="eastAsia" w:ascii="黑体" w:hAnsi="黑体" w:cs="黑体"/>
              <w:color w:val="000000" w:themeColor="text1"/>
            </w:rPr>
            <w:fldChar w:fldCharType="begin"/>
          </w:r>
          <w:r>
            <w:rPr>
              <w:rFonts w:ascii="黑体" w:hAnsi="黑体" w:cs="黑体"/>
              <w:color w:val="000000" w:themeColor="text1"/>
            </w:rPr>
            <w:instrText xml:space="preserve"> PAGEREF _Toc24623 </w:instrText>
          </w:r>
          <w:r>
            <w:rPr>
              <w:rFonts w:hint="eastAsia" w:ascii="黑体" w:hAnsi="黑体" w:cs="黑体"/>
              <w:color w:val="000000" w:themeColor="text1"/>
            </w:rPr>
            <w:fldChar w:fldCharType="separate"/>
          </w:r>
          <w:r>
            <w:rPr>
              <w:rFonts w:ascii="黑体" w:hAnsi="黑体" w:cs="黑体"/>
              <w:color w:val="000000" w:themeColor="text1"/>
            </w:rPr>
            <w:t>- 46 -</w:t>
          </w:r>
          <w:r>
            <w:rPr>
              <w:rFonts w:hint="eastAsia" w:ascii="黑体" w:hAnsi="黑体" w:cs="黑体"/>
              <w:color w:val="000000" w:themeColor="text1"/>
            </w:rPr>
            <w:fldChar w:fldCharType="end"/>
          </w:r>
          <w:r>
            <w:rPr>
              <w:rFonts w:hint="eastAsia" w:ascii="黑体" w:hAnsi="黑体" w:cs="黑体"/>
              <w:color w:val="000000" w:themeColor="text1"/>
            </w:rPr>
            <w:fldChar w:fldCharType="end"/>
          </w:r>
        </w:p>
        <w:p w14:paraId="615E860C">
          <w:pPr>
            <w:pStyle w:val="20"/>
            <w:tabs>
              <w:tab w:val="right" w:leader="dot" w:pos="9355"/>
            </w:tabs>
            <w:spacing w:line="600" w:lineRule="exact"/>
            <w:ind w:left="590" w:firstLine="590"/>
            <w:rPr>
              <w:rFonts w:ascii="楷体" w:hAnsi="楷体" w:eastAsia="楷体" w:cs="楷体"/>
              <w:color w:val="000000" w:themeColor="text1"/>
            </w:rPr>
          </w:pPr>
          <w:r>
            <w:fldChar w:fldCharType="begin"/>
          </w:r>
          <w:r>
            <w:instrText xml:space="preserve"> HYPERLINK \l "_Toc14280" </w:instrText>
          </w:r>
          <w:r>
            <w:fldChar w:fldCharType="separate"/>
          </w:r>
          <w:r>
            <w:rPr>
              <w:rFonts w:hint="eastAsia" w:ascii="楷体" w:hAnsi="楷体" w:eastAsia="楷体" w:cs="楷体"/>
              <w:color w:val="000000" w:themeColor="text1"/>
            </w:rPr>
            <w:t>第一节做强特色新型优势农业</w:t>
          </w:r>
          <w:r>
            <w:rPr>
              <w:rFonts w:ascii="楷体" w:hAnsi="楷体" w:eastAsia="楷体" w:cs="楷体"/>
              <w:color w:val="000000" w:themeColor="text1"/>
            </w:rPr>
            <w:tab/>
          </w:r>
          <w:r>
            <w:rPr>
              <w:rFonts w:ascii="楷体" w:hAnsi="楷体" w:eastAsia="楷体" w:cs="楷体"/>
              <w:color w:val="000000" w:themeColor="text1"/>
            </w:rPr>
            <w:fldChar w:fldCharType="begin"/>
          </w:r>
          <w:r>
            <w:rPr>
              <w:rFonts w:ascii="楷体" w:hAnsi="楷体" w:eastAsia="楷体" w:cs="楷体"/>
              <w:color w:val="000000" w:themeColor="text1"/>
            </w:rPr>
            <w:instrText xml:space="preserve"> PAGEREF _Toc14280 </w:instrText>
          </w:r>
          <w:r>
            <w:rPr>
              <w:rFonts w:ascii="楷体" w:hAnsi="楷体" w:eastAsia="楷体" w:cs="楷体"/>
              <w:color w:val="000000" w:themeColor="text1"/>
            </w:rPr>
            <w:fldChar w:fldCharType="separate"/>
          </w:r>
          <w:r>
            <w:rPr>
              <w:rFonts w:ascii="楷体" w:hAnsi="楷体" w:eastAsia="楷体" w:cs="楷体"/>
              <w:color w:val="000000" w:themeColor="text1"/>
            </w:rPr>
            <w:t>- 46 -</w:t>
          </w:r>
          <w:r>
            <w:rPr>
              <w:rFonts w:ascii="楷体" w:hAnsi="楷体" w:eastAsia="楷体" w:cs="楷体"/>
              <w:color w:val="000000" w:themeColor="text1"/>
            </w:rPr>
            <w:fldChar w:fldCharType="end"/>
          </w:r>
          <w:r>
            <w:rPr>
              <w:rFonts w:ascii="楷体" w:hAnsi="楷体" w:eastAsia="楷体" w:cs="楷体"/>
              <w:color w:val="000000" w:themeColor="text1"/>
            </w:rPr>
            <w:fldChar w:fldCharType="end"/>
          </w:r>
        </w:p>
        <w:p w14:paraId="5B29E8D1">
          <w:pPr>
            <w:pStyle w:val="20"/>
            <w:tabs>
              <w:tab w:val="right" w:leader="dot" w:pos="9355"/>
            </w:tabs>
            <w:spacing w:line="600" w:lineRule="exact"/>
            <w:ind w:left="590" w:firstLine="590"/>
            <w:rPr>
              <w:rFonts w:ascii="楷体" w:hAnsi="楷体" w:eastAsia="楷体" w:cs="楷体"/>
              <w:color w:val="000000" w:themeColor="text1"/>
            </w:rPr>
          </w:pPr>
          <w:r>
            <w:fldChar w:fldCharType="begin"/>
          </w:r>
          <w:r>
            <w:instrText xml:space="preserve"> HYPERLINK \l "_Toc1921" </w:instrText>
          </w:r>
          <w:r>
            <w:fldChar w:fldCharType="separate"/>
          </w:r>
          <w:r>
            <w:rPr>
              <w:rFonts w:hint="eastAsia" w:ascii="楷体" w:hAnsi="楷体" w:eastAsia="楷体" w:cs="楷体"/>
              <w:color w:val="000000" w:themeColor="text1"/>
            </w:rPr>
            <w:t>第二节提升农产品安全保障能力</w:t>
          </w:r>
          <w:r>
            <w:rPr>
              <w:rFonts w:ascii="楷体" w:hAnsi="楷体" w:eastAsia="楷体" w:cs="楷体"/>
              <w:color w:val="000000" w:themeColor="text1"/>
            </w:rPr>
            <w:tab/>
          </w:r>
          <w:r>
            <w:rPr>
              <w:rFonts w:ascii="楷体" w:hAnsi="楷体" w:eastAsia="楷体" w:cs="楷体"/>
              <w:color w:val="000000" w:themeColor="text1"/>
            </w:rPr>
            <w:fldChar w:fldCharType="begin"/>
          </w:r>
          <w:r>
            <w:rPr>
              <w:rFonts w:ascii="楷体" w:hAnsi="楷体" w:eastAsia="楷体" w:cs="楷体"/>
              <w:color w:val="000000" w:themeColor="text1"/>
            </w:rPr>
            <w:instrText xml:space="preserve"> PAGEREF _Toc1921 </w:instrText>
          </w:r>
          <w:r>
            <w:rPr>
              <w:rFonts w:ascii="楷体" w:hAnsi="楷体" w:eastAsia="楷体" w:cs="楷体"/>
              <w:color w:val="000000" w:themeColor="text1"/>
            </w:rPr>
            <w:fldChar w:fldCharType="separate"/>
          </w:r>
          <w:r>
            <w:rPr>
              <w:rFonts w:ascii="楷体" w:hAnsi="楷体" w:eastAsia="楷体" w:cs="楷体"/>
              <w:color w:val="000000" w:themeColor="text1"/>
            </w:rPr>
            <w:t>- 49 -</w:t>
          </w:r>
          <w:r>
            <w:rPr>
              <w:rFonts w:ascii="楷体" w:hAnsi="楷体" w:eastAsia="楷体" w:cs="楷体"/>
              <w:color w:val="000000" w:themeColor="text1"/>
            </w:rPr>
            <w:fldChar w:fldCharType="end"/>
          </w:r>
          <w:r>
            <w:rPr>
              <w:rFonts w:ascii="楷体" w:hAnsi="楷体" w:eastAsia="楷体" w:cs="楷体"/>
              <w:color w:val="000000" w:themeColor="text1"/>
            </w:rPr>
            <w:fldChar w:fldCharType="end"/>
          </w:r>
        </w:p>
        <w:p w14:paraId="54101974">
          <w:pPr>
            <w:pStyle w:val="20"/>
            <w:tabs>
              <w:tab w:val="right" w:leader="dot" w:pos="9355"/>
            </w:tabs>
            <w:spacing w:line="600" w:lineRule="exact"/>
            <w:ind w:left="590" w:firstLine="590"/>
            <w:rPr>
              <w:rFonts w:hint="eastAsia"/>
              <w:color w:val="000000" w:themeColor="text1"/>
            </w:rPr>
          </w:pPr>
          <w:r>
            <w:fldChar w:fldCharType="begin"/>
          </w:r>
          <w:r>
            <w:instrText xml:space="preserve"> HYPERLINK \l "_Toc23480" </w:instrText>
          </w:r>
          <w:r>
            <w:fldChar w:fldCharType="separate"/>
          </w:r>
          <w:r>
            <w:rPr>
              <w:rFonts w:hint="eastAsia" w:ascii="楷体" w:hAnsi="楷体" w:eastAsia="楷体" w:cs="楷体"/>
              <w:color w:val="000000" w:themeColor="text1"/>
            </w:rPr>
            <w:t>第三节构建现代农业经营体系</w:t>
          </w:r>
          <w:r>
            <w:rPr>
              <w:rFonts w:ascii="楷体" w:hAnsi="楷体" w:eastAsia="楷体" w:cs="楷体"/>
              <w:color w:val="000000" w:themeColor="text1"/>
            </w:rPr>
            <w:tab/>
          </w:r>
          <w:r>
            <w:rPr>
              <w:rFonts w:ascii="楷体" w:hAnsi="楷体" w:eastAsia="楷体" w:cs="楷体"/>
              <w:color w:val="000000" w:themeColor="text1"/>
            </w:rPr>
            <w:fldChar w:fldCharType="begin"/>
          </w:r>
          <w:r>
            <w:rPr>
              <w:rFonts w:ascii="楷体" w:hAnsi="楷体" w:eastAsia="楷体" w:cs="楷体"/>
              <w:color w:val="000000" w:themeColor="text1"/>
            </w:rPr>
            <w:instrText xml:space="preserve"> PAGEREF _Toc23480 </w:instrText>
          </w:r>
          <w:r>
            <w:rPr>
              <w:rFonts w:ascii="楷体" w:hAnsi="楷体" w:eastAsia="楷体" w:cs="楷体"/>
              <w:color w:val="000000" w:themeColor="text1"/>
            </w:rPr>
            <w:fldChar w:fldCharType="separate"/>
          </w:r>
          <w:r>
            <w:rPr>
              <w:rFonts w:ascii="楷体" w:hAnsi="楷体" w:eastAsia="楷体" w:cs="楷体"/>
              <w:color w:val="000000" w:themeColor="text1"/>
            </w:rPr>
            <w:t>- 51 -</w:t>
          </w:r>
          <w:r>
            <w:rPr>
              <w:rFonts w:ascii="楷体" w:hAnsi="楷体" w:eastAsia="楷体" w:cs="楷体"/>
              <w:color w:val="000000" w:themeColor="text1"/>
            </w:rPr>
            <w:fldChar w:fldCharType="end"/>
          </w:r>
          <w:r>
            <w:rPr>
              <w:rFonts w:ascii="楷体" w:hAnsi="楷体" w:eastAsia="楷体" w:cs="楷体"/>
              <w:color w:val="000000" w:themeColor="text1"/>
            </w:rPr>
            <w:fldChar w:fldCharType="end"/>
          </w:r>
        </w:p>
        <w:p w14:paraId="7C1671B2">
          <w:pPr>
            <w:pStyle w:val="20"/>
            <w:tabs>
              <w:tab w:val="right" w:leader="dot" w:pos="9355"/>
            </w:tabs>
            <w:spacing w:beforeLines="20" w:afterLines="20" w:line="600" w:lineRule="exact"/>
            <w:ind w:left="590" w:firstLine="0" w:firstLineChars="0"/>
            <w:rPr>
              <w:rFonts w:ascii="黑体" w:hAnsi="黑体" w:cs="黑体"/>
              <w:color w:val="000000" w:themeColor="text1"/>
            </w:rPr>
          </w:pPr>
          <w:r>
            <w:fldChar w:fldCharType="begin"/>
          </w:r>
          <w:r>
            <w:instrText xml:space="preserve"> HYPERLINK \l "_Toc30" </w:instrText>
          </w:r>
          <w:r>
            <w:fldChar w:fldCharType="separate"/>
          </w:r>
          <w:r>
            <w:rPr>
              <w:rFonts w:hint="eastAsia" w:ascii="黑体" w:hAnsi="黑体" w:cs="黑体"/>
              <w:color w:val="000000" w:themeColor="text1"/>
            </w:rPr>
            <w:t>第七章统筹城乡绘就城乡融合发展新画卷</w:t>
          </w:r>
          <w:r>
            <w:rPr>
              <w:rFonts w:ascii="黑体" w:hAnsi="黑体" w:cs="黑体"/>
              <w:color w:val="000000" w:themeColor="text1"/>
            </w:rPr>
            <w:tab/>
          </w:r>
          <w:r>
            <w:rPr>
              <w:rFonts w:hint="eastAsia" w:ascii="黑体" w:hAnsi="黑体" w:cs="黑体"/>
              <w:color w:val="000000" w:themeColor="text1"/>
            </w:rPr>
            <w:fldChar w:fldCharType="begin"/>
          </w:r>
          <w:r>
            <w:rPr>
              <w:rFonts w:ascii="黑体" w:hAnsi="黑体" w:cs="黑体"/>
              <w:color w:val="000000" w:themeColor="text1"/>
            </w:rPr>
            <w:instrText xml:space="preserve"> PAGEREF _Toc30 </w:instrText>
          </w:r>
          <w:r>
            <w:rPr>
              <w:rFonts w:hint="eastAsia" w:ascii="黑体" w:hAnsi="黑体" w:cs="黑体"/>
              <w:color w:val="000000" w:themeColor="text1"/>
            </w:rPr>
            <w:fldChar w:fldCharType="separate"/>
          </w:r>
          <w:r>
            <w:rPr>
              <w:rFonts w:ascii="黑体" w:hAnsi="黑体" w:cs="黑体"/>
              <w:color w:val="000000" w:themeColor="text1"/>
            </w:rPr>
            <w:t>- 53 -</w:t>
          </w:r>
          <w:r>
            <w:rPr>
              <w:rFonts w:hint="eastAsia" w:ascii="黑体" w:hAnsi="黑体" w:cs="黑体"/>
              <w:color w:val="000000" w:themeColor="text1"/>
            </w:rPr>
            <w:fldChar w:fldCharType="end"/>
          </w:r>
          <w:r>
            <w:rPr>
              <w:rFonts w:hint="eastAsia" w:ascii="黑体" w:hAnsi="黑体" w:cs="黑体"/>
              <w:color w:val="000000" w:themeColor="text1"/>
            </w:rPr>
            <w:fldChar w:fldCharType="end"/>
          </w:r>
        </w:p>
        <w:p w14:paraId="20C1FF0A">
          <w:pPr>
            <w:pStyle w:val="20"/>
            <w:tabs>
              <w:tab w:val="right" w:leader="dot" w:pos="9355"/>
            </w:tabs>
            <w:spacing w:line="600" w:lineRule="exact"/>
            <w:ind w:left="590" w:firstLine="590"/>
            <w:rPr>
              <w:rFonts w:ascii="楷体" w:hAnsi="楷体" w:eastAsia="楷体" w:cs="楷体"/>
              <w:color w:val="000000" w:themeColor="text1"/>
            </w:rPr>
          </w:pPr>
          <w:r>
            <w:fldChar w:fldCharType="begin"/>
          </w:r>
          <w:r>
            <w:instrText xml:space="preserve"> HYPERLINK \l "_Toc11831" </w:instrText>
          </w:r>
          <w:r>
            <w:fldChar w:fldCharType="separate"/>
          </w:r>
          <w:r>
            <w:rPr>
              <w:rFonts w:hint="eastAsia" w:ascii="楷体" w:hAnsi="楷体" w:eastAsia="楷体" w:cs="楷体"/>
              <w:color w:val="000000" w:themeColor="text1"/>
            </w:rPr>
            <w:t>第一节推进城乡融合发展</w:t>
          </w:r>
          <w:r>
            <w:rPr>
              <w:rFonts w:ascii="楷体" w:hAnsi="楷体" w:eastAsia="楷体" w:cs="楷体"/>
              <w:color w:val="000000" w:themeColor="text1"/>
            </w:rPr>
            <w:tab/>
          </w:r>
          <w:r>
            <w:rPr>
              <w:rFonts w:ascii="楷体" w:hAnsi="楷体" w:eastAsia="楷体" w:cs="楷体"/>
              <w:color w:val="000000" w:themeColor="text1"/>
            </w:rPr>
            <w:fldChar w:fldCharType="begin"/>
          </w:r>
          <w:r>
            <w:rPr>
              <w:rFonts w:ascii="楷体" w:hAnsi="楷体" w:eastAsia="楷体" w:cs="楷体"/>
              <w:color w:val="000000" w:themeColor="text1"/>
            </w:rPr>
            <w:instrText xml:space="preserve"> PAGEREF _Toc11831 </w:instrText>
          </w:r>
          <w:r>
            <w:rPr>
              <w:rFonts w:ascii="楷体" w:hAnsi="楷体" w:eastAsia="楷体" w:cs="楷体"/>
              <w:color w:val="000000" w:themeColor="text1"/>
            </w:rPr>
            <w:fldChar w:fldCharType="separate"/>
          </w:r>
          <w:r>
            <w:rPr>
              <w:rFonts w:ascii="楷体" w:hAnsi="楷体" w:eastAsia="楷体" w:cs="楷体"/>
              <w:color w:val="000000" w:themeColor="text1"/>
            </w:rPr>
            <w:t>- 53 -</w:t>
          </w:r>
          <w:r>
            <w:rPr>
              <w:rFonts w:ascii="楷体" w:hAnsi="楷体" w:eastAsia="楷体" w:cs="楷体"/>
              <w:color w:val="000000" w:themeColor="text1"/>
            </w:rPr>
            <w:fldChar w:fldCharType="end"/>
          </w:r>
          <w:r>
            <w:rPr>
              <w:rFonts w:ascii="楷体" w:hAnsi="楷体" w:eastAsia="楷体" w:cs="楷体"/>
              <w:color w:val="000000" w:themeColor="text1"/>
            </w:rPr>
            <w:fldChar w:fldCharType="end"/>
          </w:r>
        </w:p>
        <w:p w14:paraId="5A3B2D53">
          <w:pPr>
            <w:pStyle w:val="20"/>
            <w:tabs>
              <w:tab w:val="right" w:leader="dot" w:pos="9355"/>
            </w:tabs>
            <w:spacing w:line="600" w:lineRule="exact"/>
            <w:ind w:left="590" w:firstLine="590"/>
            <w:rPr>
              <w:rFonts w:ascii="楷体" w:hAnsi="楷体" w:eastAsia="楷体" w:cs="楷体"/>
              <w:color w:val="000000" w:themeColor="text1"/>
            </w:rPr>
          </w:pPr>
          <w:r>
            <w:fldChar w:fldCharType="begin"/>
          </w:r>
          <w:r>
            <w:instrText xml:space="preserve"> HYPERLINK \l "_Toc5824" </w:instrText>
          </w:r>
          <w:r>
            <w:fldChar w:fldCharType="separate"/>
          </w:r>
          <w:r>
            <w:rPr>
              <w:rFonts w:hint="eastAsia" w:ascii="楷体" w:hAnsi="楷体" w:eastAsia="楷体" w:cs="楷体"/>
              <w:color w:val="000000" w:themeColor="text1"/>
            </w:rPr>
            <w:t>第二节培育乡村振兴发展新动能</w:t>
          </w:r>
          <w:r>
            <w:rPr>
              <w:rFonts w:ascii="楷体" w:hAnsi="楷体" w:eastAsia="楷体" w:cs="楷体"/>
              <w:color w:val="000000" w:themeColor="text1"/>
            </w:rPr>
            <w:tab/>
          </w:r>
          <w:r>
            <w:rPr>
              <w:rFonts w:ascii="楷体" w:hAnsi="楷体" w:eastAsia="楷体" w:cs="楷体"/>
              <w:color w:val="000000" w:themeColor="text1"/>
            </w:rPr>
            <w:fldChar w:fldCharType="begin"/>
          </w:r>
          <w:r>
            <w:rPr>
              <w:rFonts w:ascii="楷体" w:hAnsi="楷体" w:eastAsia="楷体" w:cs="楷体"/>
              <w:color w:val="000000" w:themeColor="text1"/>
            </w:rPr>
            <w:instrText xml:space="preserve"> PAGEREF _Toc5824 </w:instrText>
          </w:r>
          <w:r>
            <w:rPr>
              <w:rFonts w:ascii="楷体" w:hAnsi="楷体" w:eastAsia="楷体" w:cs="楷体"/>
              <w:color w:val="000000" w:themeColor="text1"/>
            </w:rPr>
            <w:fldChar w:fldCharType="separate"/>
          </w:r>
          <w:r>
            <w:rPr>
              <w:rFonts w:ascii="楷体" w:hAnsi="楷体" w:eastAsia="楷体" w:cs="楷体"/>
              <w:color w:val="000000" w:themeColor="text1"/>
            </w:rPr>
            <w:t>- 56 -</w:t>
          </w:r>
          <w:r>
            <w:rPr>
              <w:rFonts w:ascii="楷体" w:hAnsi="楷体" w:eastAsia="楷体" w:cs="楷体"/>
              <w:color w:val="000000" w:themeColor="text1"/>
            </w:rPr>
            <w:fldChar w:fldCharType="end"/>
          </w:r>
          <w:r>
            <w:rPr>
              <w:rFonts w:ascii="楷体" w:hAnsi="楷体" w:eastAsia="楷体" w:cs="楷体"/>
              <w:color w:val="000000" w:themeColor="text1"/>
            </w:rPr>
            <w:fldChar w:fldCharType="end"/>
          </w:r>
        </w:p>
        <w:p w14:paraId="18374B98">
          <w:pPr>
            <w:pStyle w:val="20"/>
            <w:tabs>
              <w:tab w:val="right" w:leader="dot" w:pos="9355"/>
            </w:tabs>
            <w:spacing w:line="600" w:lineRule="exact"/>
            <w:ind w:left="590" w:firstLine="590"/>
            <w:rPr>
              <w:rFonts w:hint="eastAsia"/>
              <w:color w:val="000000" w:themeColor="text1"/>
            </w:rPr>
          </w:pPr>
          <w:r>
            <w:fldChar w:fldCharType="begin"/>
          </w:r>
          <w:r>
            <w:instrText xml:space="preserve"> HYPERLINK \l "_Toc30361" </w:instrText>
          </w:r>
          <w:r>
            <w:fldChar w:fldCharType="separate"/>
          </w:r>
          <w:r>
            <w:rPr>
              <w:rFonts w:ascii="楷体" w:hAnsi="楷体" w:eastAsia="楷体" w:cs="楷体"/>
              <w:color w:val="000000" w:themeColor="text1"/>
            </w:rPr>
            <w:t>第三节 加快新型城镇化建设</w:t>
          </w:r>
          <w:r>
            <w:rPr>
              <w:rFonts w:ascii="楷体" w:hAnsi="楷体" w:eastAsia="楷体" w:cs="楷体"/>
              <w:color w:val="000000" w:themeColor="text1"/>
            </w:rPr>
            <w:tab/>
          </w:r>
          <w:r>
            <w:rPr>
              <w:rFonts w:ascii="楷体" w:hAnsi="楷体" w:eastAsia="楷体" w:cs="楷体"/>
              <w:color w:val="000000" w:themeColor="text1"/>
            </w:rPr>
            <w:fldChar w:fldCharType="begin"/>
          </w:r>
          <w:r>
            <w:rPr>
              <w:rFonts w:ascii="楷体" w:hAnsi="楷体" w:eastAsia="楷体" w:cs="楷体"/>
              <w:color w:val="000000" w:themeColor="text1"/>
            </w:rPr>
            <w:instrText xml:space="preserve"> PAGEREF _Toc30361 </w:instrText>
          </w:r>
          <w:r>
            <w:rPr>
              <w:rFonts w:ascii="楷体" w:hAnsi="楷体" w:eastAsia="楷体" w:cs="楷体"/>
              <w:color w:val="000000" w:themeColor="text1"/>
            </w:rPr>
            <w:fldChar w:fldCharType="separate"/>
          </w:r>
          <w:r>
            <w:rPr>
              <w:rFonts w:ascii="楷体" w:hAnsi="楷体" w:eastAsia="楷体" w:cs="楷体"/>
              <w:color w:val="000000" w:themeColor="text1"/>
            </w:rPr>
            <w:t>- 59 -</w:t>
          </w:r>
          <w:r>
            <w:rPr>
              <w:rFonts w:ascii="楷体" w:hAnsi="楷体" w:eastAsia="楷体" w:cs="楷体"/>
              <w:color w:val="000000" w:themeColor="text1"/>
            </w:rPr>
            <w:fldChar w:fldCharType="end"/>
          </w:r>
          <w:r>
            <w:rPr>
              <w:rFonts w:ascii="楷体" w:hAnsi="楷体" w:eastAsia="楷体" w:cs="楷体"/>
              <w:color w:val="000000" w:themeColor="text1"/>
            </w:rPr>
            <w:fldChar w:fldCharType="end"/>
          </w:r>
        </w:p>
        <w:p w14:paraId="1FCC15D1">
          <w:pPr>
            <w:pStyle w:val="20"/>
            <w:tabs>
              <w:tab w:val="right" w:leader="dot" w:pos="9355"/>
            </w:tabs>
            <w:spacing w:beforeLines="20" w:afterLines="20" w:line="600" w:lineRule="exact"/>
            <w:ind w:left="590" w:firstLine="0" w:firstLineChars="0"/>
            <w:rPr>
              <w:rFonts w:ascii="黑体" w:hAnsi="黑体" w:cs="黑体"/>
              <w:color w:val="000000" w:themeColor="text1"/>
            </w:rPr>
          </w:pPr>
          <w:r>
            <w:fldChar w:fldCharType="begin"/>
          </w:r>
          <w:r>
            <w:instrText xml:space="preserve"> HYPERLINK \l "_Toc29920" </w:instrText>
          </w:r>
          <w:r>
            <w:fldChar w:fldCharType="separate"/>
          </w:r>
          <w:r>
            <w:rPr>
              <w:rFonts w:hint="eastAsia" w:ascii="黑体" w:hAnsi="黑体" w:cs="黑体"/>
              <w:color w:val="000000" w:themeColor="text1"/>
            </w:rPr>
            <w:t>第八章改革开放加快融入“双循环”发展新格局</w:t>
          </w:r>
          <w:r>
            <w:rPr>
              <w:rFonts w:ascii="黑体" w:hAnsi="黑体" w:cs="黑体"/>
              <w:color w:val="000000" w:themeColor="text1"/>
            </w:rPr>
            <w:tab/>
          </w:r>
          <w:r>
            <w:rPr>
              <w:rFonts w:hint="eastAsia" w:ascii="黑体" w:hAnsi="黑体" w:cs="黑体"/>
              <w:color w:val="000000" w:themeColor="text1"/>
            </w:rPr>
            <w:fldChar w:fldCharType="begin"/>
          </w:r>
          <w:r>
            <w:rPr>
              <w:rFonts w:ascii="黑体" w:hAnsi="黑体" w:cs="黑体"/>
              <w:color w:val="000000" w:themeColor="text1"/>
            </w:rPr>
            <w:instrText xml:space="preserve"> PAGEREF _Toc29920 </w:instrText>
          </w:r>
          <w:r>
            <w:rPr>
              <w:rFonts w:hint="eastAsia" w:ascii="黑体" w:hAnsi="黑体" w:cs="黑体"/>
              <w:color w:val="000000" w:themeColor="text1"/>
            </w:rPr>
            <w:fldChar w:fldCharType="separate"/>
          </w:r>
          <w:r>
            <w:rPr>
              <w:rFonts w:ascii="黑体" w:hAnsi="黑体" w:cs="黑体"/>
              <w:color w:val="000000" w:themeColor="text1"/>
            </w:rPr>
            <w:t>- 61 -</w:t>
          </w:r>
          <w:r>
            <w:rPr>
              <w:rFonts w:hint="eastAsia" w:ascii="黑体" w:hAnsi="黑体" w:cs="黑体"/>
              <w:color w:val="000000" w:themeColor="text1"/>
            </w:rPr>
            <w:fldChar w:fldCharType="end"/>
          </w:r>
          <w:r>
            <w:rPr>
              <w:rFonts w:hint="eastAsia" w:ascii="黑体" w:hAnsi="黑体" w:cs="黑体"/>
              <w:color w:val="000000" w:themeColor="text1"/>
            </w:rPr>
            <w:fldChar w:fldCharType="end"/>
          </w:r>
        </w:p>
        <w:p w14:paraId="67EBF945">
          <w:pPr>
            <w:pStyle w:val="20"/>
            <w:tabs>
              <w:tab w:val="right" w:leader="dot" w:pos="9355"/>
            </w:tabs>
            <w:spacing w:line="600" w:lineRule="exact"/>
            <w:ind w:left="590" w:firstLine="590"/>
            <w:rPr>
              <w:rFonts w:ascii="楷体" w:hAnsi="楷体" w:eastAsia="楷体" w:cs="楷体"/>
              <w:color w:val="000000" w:themeColor="text1"/>
            </w:rPr>
          </w:pPr>
          <w:r>
            <w:fldChar w:fldCharType="begin"/>
          </w:r>
          <w:r>
            <w:instrText xml:space="preserve"> HYPERLINK \l "_Toc8709" </w:instrText>
          </w:r>
          <w:r>
            <w:fldChar w:fldCharType="separate"/>
          </w:r>
          <w:r>
            <w:rPr>
              <w:rFonts w:hint="eastAsia" w:ascii="楷体" w:hAnsi="楷体" w:eastAsia="楷体" w:cs="楷体"/>
              <w:color w:val="000000" w:themeColor="text1"/>
            </w:rPr>
            <w:t>第一节打造对外开放发展新高地</w:t>
          </w:r>
          <w:r>
            <w:rPr>
              <w:rFonts w:ascii="楷体" w:hAnsi="楷体" w:eastAsia="楷体" w:cs="楷体"/>
              <w:color w:val="000000" w:themeColor="text1"/>
            </w:rPr>
            <w:tab/>
          </w:r>
          <w:r>
            <w:rPr>
              <w:rFonts w:ascii="楷体" w:hAnsi="楷体" w:eastAsia="楷体" w:cs="楷体"/>
              <w:color w:val="000000" w:themeColor="text1"/>
            </w:rPr>
            <w:fldChar w:fldCharType="begin"/>
          </w:r>
          <w:r>
            <w:rPr>
              <w:rFonts w:ascii="楷体" w:hAnsi="楷体" w:eastAsia="楷体" w:cs="楷体"/>
              <w:color w:val="000000" w:themeColor="text1"/>
            </w:rPr>
            <w:instrText xml:space="preserve"> PAGEREF _Toc8709 </w:instrText>
          </w:r>
          <w:r>
            <w:rPr>
              <w:rFonts w:ascii="楷体" w:hAnsi="楷体" w:eastAsia="楷体" w:cs="楷体"/>
              <w:color w:val="000000" w:themeColor="text1"/>
            </w:rPr>
            <w:fldChar w:fldCharType="separate"/>
          </w:r>
          <w:r>
            <w:rPr>
              <w:rFonts w:ascii="楷体" w:hAnsi="楷体" w:eastAsia="楷体" w:cs="楷体"/>
              <w:color w:val="000000" w:themeColor="text1"/>
            </w:rPr>
            <w:t>- 62 -</w:t>
          </w:r>
          <w:r>
            <w:rPr>
              <w:rFonts w:ascii="楷体" w:hAnsi="楷体" w:eastAsia="楷体" w:cs="楷体"/>
              <w:color w:val="000000" w:themeColor="text1"/>
            </w:rPr>
            <w:fldChar w:fldCharType="end"/>
          </w:r>
          <w:r>
            <w:rPr>
              <w:rFonts w:ascii="楷体" w:hAnsi="楷体" w:eastAsia="楷体" w:cs="楷体"/>
              <w:color w:val="000000" w:themeColor="text1"/>
            </w:rPr>
            <w:fldChar w:fldCharType="end"/>
          </w:r>
        </w:p>
        <w:p w14:paraId="7C2F789E">
          <w:pPr>
            <w:pStyle w:val="20"/>
            <w:tabs>
              <w:tab w:val="right" w:leader="dot" w:pos="9355"/>
            </w:tabs>
            <w:spacing w:line="600" w:lineRule="exact"/>
            <w:ind w:left="590" w:firstLine="590"/>
            <w:rPr>
              <w:rFonts w:ascii="楷体" w:hAnsi="楷体" w:eastAsia="楷体" w:cs="楷体"/>
              <w:color w:val="000000" w:themeColor="text1"/>
            </w:rPr>
          </w:pPr>
          <w:r>
            <w:fldChar w:fldCharType="begin"/>
          </w:r>
          <w:r>
            <w:instrText xml:space="preserve"> HYPERLINK \l "_Toc24150" </w:instrText>
          </w:r>
          <w:r>
            <w:fldChar w:fldCharType="separate"/>
          </w:r>
          <w:r>
            <w:rPr>
              <w:rFonts w:hint="eastAsia" w:ascii="楷体" w:hAnsi="楷体" w:eastAsia="楷体" w:cs="楷体"/>
              <w:color w:val="000000" w:themeColor="text1"/>
            </w:rPr>
            <w:t>第二节持续优化开放型经济新体制</w:t>
          </w:r>
          <w:r>
            <w:rPr>
              <w:rFonts w:ascii="楷体" w:hAnsi="楷体" w:eastAsia="楷体" w:cs="楷体"/>
              <w:color w:val="000000" w:themeColor="text1"/>
            </w:rPr>
            <w:tab/>
          </w:r>
          <w:r>
            <w:rPr>
              <w:rFonts w:ascii="楷体" w:hAnsi="楷体" w:eastAsia="楷体" w:cs="楷体"/>
              <w:color w:val="000000" w:themeColor="text1"/>
            </w:rPr>
            <w:fldChar w:fldCharType="begin"/>
          </w:r>
          <w:r>
            <w:rPr>
              <w:rFonts w:ascii="楷体" w:hAnsi="楷体" w:eastAsia="楷体" w:cs="楷体"/>
              <w:color w:val="000000" w:themeColor="text1"/>
            </w:rPr>
            <w:instrText xml:space="preserve"> PAGEREF _Toc24150 </w:instrText>
          </w:r>
          <w:r>
            <w:rPr>
              <w:rFonts w:ascii="楷体" w:hAnsi="楷体" w:eastAsia="楷体" w:cs="楷体"/>
              <w:color w:val="000000" w:themeColor="text1"/>
            </w:rPr>
            <w:fldChar w:fldCharType="separate"/>
          </w:r>
          <w:r>
            <w:rPr>
              <w:rFonts w:ascii="楷体" w:hAnsi="楷体" w:eastAsia="楷体" w:cs="楷体"/>
              <w:color w:val="000000" w:themeColor="text1"/>
            </w:rPr>
            <w:t>- 64 -</w:t>
          </w:r>
          <w:r>
            <w:rPr>
              <w:rFonts w:ascii="楷体" w:hAnsi="楷体" w:eastAsia="楷体" w:cs="楷体"/>
              <w:color w:val="000000" w:themeColor="text1"/>
            </w:rPr>
            <w:fldChar w:fldCharType="end"/>
          </w:r>
          <w:r>
            <w:rPr>
              <w:rFonts w:ascii="楷体" w:hAnsi="楷体" w:eastAsia="楷体" w:cs="楷体"/>
              <w:color w:val="000000" w:themeColor="text1"/>
            </w:rPr>
            <w:fldChar w:fldCharType="end"/>
          </w:r>
        </w:p>
        <w:p w14:paraId="3B556C16">
          <w:pPr>
            <w:pStyle w:val="20"/>
            <w:tabs>
              <w:tab w:val="right" w:leader="dot" w:pos="9355"/>
            </w:tabs>
            <w:spacing w:line="600" w:lineRule="exact"/>
            <w:ind w:left="590" w:firstLine="590"/>
            <w:rPr>
              <w:rFonts w:ascii="楷体" w:hAnsi="楷体" w:eastAsia="楷体" w:cs="楷体"/>
              <w:color w:val="000000" w:themeColor="text1"/>
            </w:rPr>
          </w:pPr>
          <w:r>
            <w:fldChar w:fldCharType="begin"/>
          </w:r>
          <w:r>
            <w:instrText xml:space="preserve"> HYPERLINK \l "_Toc27416" </w:instrText>
          </w:r>
          <w:r>
            <w:fldChar w:fldCharType="separate"/>
          </w:r>
          <w:r>
            <w:rPr>
              <w:rFonts w:hint="eastAsia" w:ascii="楷体" w:hAnsi="楷体" w:eastAsia="楷体" w:cs="楷体"/>
              <w:color w:val="000000" w:themeColor="text1"/>
            </w:rPr>
            <w:t>第三节打造一流营商环境</w:t>
          </w:r>
          <w:r>
            <w:rPr>
              <w:rFonts w:ascii="楷体" w:hAnsi="楷体" w:eastAsia="楷体" w:cs="楷体"/>
              <w:color w:val="000000" w:themeColor="text1"/>
            </w:rPr>
            <w:tab/>
          </w:r>
          <w:r>
            <w:rPr>
              <w:rFonts w:ascii="楷体" w:hAnsi="楷体" w:eastAsia="楷体" w:cs="楷体"/>
              <w:color w:val="000000" w:themeColor="text1"/>
            </w:rPr>
            <w:fldChar w:fldCharType="begin"/>
          </w:r>
          <w:r>
            <w:rPr>
              <w:rFonts w:ascii="楷体" w:hAnsi="楷体" w:eastAsia="楷体" w:cs="楷体"/>
              <w:color w:val="000000" w:themeColor="text1"/>
            </w:rPr>
            <w:instrText xml:space="preserve"> PAGEREF _Toc27416 </w:instrText>
          </w:r>
          <w:r>
            <w:rPr>
              <w:rFonts w:ascii="楷体" w:hAnsi="楷体" w:eastAsia="楷体" w:cs="楷体"/>
              <w:color w:val="000000" w:themeColor="text1"/>
            </w:rPr>
            <w:fldChar w:fldCharType="separate"/>
          </w:r>
          <w:r>
            <w:rPr>
              <w:rFonts w:ascii="楷体" w:hAnsi="楷体" w:eastAsia="楷体" w:cs="楷体"/>
              <w:color w:val="000000" w:themeColor="text1"/>
            </w:rPr>
            <w:t>- 66 -</w:t>
          </w:r>
          <w:r>
            <w:rPr>
              <w:rFonts w:ascii="楷体" w:hAnsi="楷体" w:eastAsia="楷体" w:cs="楷体"/>
              <w:color w:val="000000" w:themeColor="text1"/>
            </w:rPr>
            <w:fldChar w:fldCharType="end"/>
          </w:r>
          <w:r>
            <w:rPr>
              <w:rFonts w:ascii="楷体" w:hAnsi="楷体" w:eastAsia="楷体" w:cs="楷体"/>
              <w:color w:val="000000" w:themeColor="text1"/>
            </w:rPr>
            <w:fldChar w:fldCharType="end"/>
          </w:r>
        </w:p>
        <w:p w14:paraId="5885A430">
          <w:pPr>
            <w:pStyle w:val="20"/>
            <w:tabs>
              <w:tab w:val="right" w:leader="dot" w:pos="9355"/>
            </w:tabs>
            <w:spacing w:line="600" w:lineRule="exact"/>
            <w:ind w:left="590" w:firstLine="590"/>
            <w:rPr>
              <w:rFonts w:hint="eastAsia"/>
              <w:color w:val="000000" w:themeColor="text1"/>
            </w:rPr>
          </w:pPr>
          <w:r>
            <w:fldChar w:fldCharType="begin"/>
          </w:r>
          <w:r>
            <w:instrText xml:space="preserve"> HYPERLINK \l "_Toc6373" </w:instrText>
          </w:r>
          <w:r>
            <w:fldChar w:fldCharType="separate"/>
          </w:r>
          <w:r>
            <w:rPr>
              <w:rFonts w:hint="eastAsia" w:ascii="楷体" w:hAnsi="楷体" w:eastAsia="楷体" w:cs="楷体"/>
              <w:color w:val="000000" w:themeColor="text1"/>
            </w:rPr>
            <w:t>第四节加快国资国企改革</w:t>
          </w:r>
          <w:r>
            <w:rPr>
              <w:rFonts w:ascii="楷体" w:hAnsi="楷体" w:eastAsia="楷体" w:cs="楷体"/>
              <w:color w:val="000000" w:themeColor="text1"/>
            </w:rPr>
            <w:tab/>
          </w:r>
          <w:r>
            <w:rPr>
              <w:rFonts w:ascii="楷体" w:hAnsi="楷体" w:eastAsia="楷体" w:cs="楷体"/>
              <w:color w:val="000000" w:themeColor="text1"/>
            </w:rPr>
            <w:fldChar w:fldCharType="begin"/>
          </w:r>
          <w:r>
            <w:rPr>
              <w:rFonts w:ascii="楷体" w:hAnsi="楷体" w:eastAsia="楷体" w:cs="楷体"/>
              <w:color w:val="000000" w:themeColor="text1"/>
            </w:rPr>
            <w:instrText xml:space="preserve"> PAGEREF _Toc6373 </w:instrText>
          </w:r>
          <w:r>
            <w:rPr>
              <w:rFonts w:ascii="楷体" w:hAnsi="楷体" w:eastAsia="楷体" w:cs="楷体"/>
              <w:color w:val="000000" w:themeColor="text1"/>
            </w:rPr>
            <w:fldChar w:fldCharType="separate"/>
          </w:r>
          <w:r>
            <w:rPr>
              <w:rFonts w:ascii="楷体" w:hAnsi="楷体" w:eastAsia="楷体" w:cs="楷体"/>
              <w:color w:val="000000" w:themeColor="text1"/>
            </w:rPr>
            <w:t>- 68 -</w:t>
          </w:r>
          <w:r>
            <w:rPr>
              <w:rFonts w:ascii="楷体" w:hAnsi="楷体" w:eastAsia="楷体" w:cs="楷体"/>
              <w:color w:val="000000" w:themeColor="text1"/>
            </w:rPr>
            <w:fldChar w:fldCharType="end"/>
          </w:r>
          <w:r>
            <w:rPr>
              <w:rFonts w:ascii="楷体" w:hAnsi="楷体" w:eastAsia="楷体" w:cs="楷体"/>
              <w:color w:val="000000" w:themeColor="text1"/>
            </w:rPr>
            <w:fldChar w:fldCharType="end"/>
          </w:r>
        </w:p>
        <w:p w14:paraId="1863B225">
          <w:pPr>
            <w:pStyle w:val="20"/>
            <w:tabs>
              <w:tab w:val="right" w:leader="dot" w:pos="9355"/>
            </w:tabs>
            <w:spacing w:beforeLines="20" w:afterLines="20" w:line="600" w:lineRule="exact"/>
            <w:ind w:left="590" w:firstLine="0" w:firstLineChars="0"/>
            <w:rPr>
              <w:rFonts w:ascii="黑体" w:hAnsi="黑体" w:cs="黑体"/>
              <w:color w:val="000000" w:themeColor="text1"/>
            </w:rPr>
          </w:pPr>
          <w:r>
            <w:fldChar w:fldCharType="begin"/>
          </w:r>
          <w:r>
            <w:instrText xml:space="preserve"> HYPERLINK \l "_Toc1975" </w:instrText>
          </w:r>
          <w:r>
            <w:fldChar w:fldCharType="separate"/>
          </w:r>
          <w:r>
            <w:rPr>
              <w:rFonts w:hint="eastAsia" w:ascii="黑体" w:hAnsi="黑体" w:cs="黑体"/>
              <w:color w:val="000000" w:themeColor="text1"/>
            </w:rPr>
            <w:t>第九章夯实根基打造生态文明建设新高地</w:t>
          </w:r>
          <w:r>
            <w:rPr>
              <w:rFonts w:ascii="黑体" w:hAnsi="黑体" w:cs="黑体"/>
              <w:color w:val="000000" w:themeColor="text1"/>
            </w:rPr>
            <w:tab/>
          </w:r>
          <w:r>
            <w:rPr>
              <w:rFonts w:hint="eastAsia" w:ascii="黑体" w:hAnsi="黑体" w:cs="黑体"/>
              <w:color w:val="000000" w:themeColor="text1"/>
            </w:rPr>
            <w:fldChar w:fldCharType="begin"/>
          </w:r>
          <w:r>
            <w:rPr>
              <w:rFonts w:ascii="黑体" w:hAnsi="黑体" w:cs="黑体"/>
              <w:color w:val="000000" w:themeColor="text1"/>
            </w:rPr>
            <w:instrText xml:space="preserve"> PAGEREF _Toc1975 </w:instrText>
          </w:r>
          <w:r>
            <w:rPr>
              <w:rFonts w:hint="eastAsia" w:ascii="黑体" w:hAnsi="黑体" w:cs="黑体"/>
              <w:color w:val="000000" w:themeColor="text1"/>
            </w:rPr>
            <w:fldChar w:fldCharType="separate"/>
          </w:r>
          <w:r>
            <w:rPr>
              <w:rFonts w:ascii="黑体" w:hAnsi="黑体" w:cs="黑体"/>
              <w:color w:val="000000" w:themeColor="text1"/>
            </w:rPr>
            <w:t>- 70 -</w:t>
          </w:r>
          <w:r>
            <w:rPr>
              <w:rFonts w:hint="eastAsia" w:ascii="黑体" w:hAnsi="黑体" w:cs="黑体"/>
              <w:color w:val="000000" w:themeColor="text1"/>
            </w:rPr>
            <w:fldChar w:fldCharType="end"/>
          </w:r>
          <w:r>
            <w:rPr>
              <w:rFonts w:hint="eastAsia" w:ascii="黑体" w:hAnsi="黑体" w:cs="黑体"/>
              <w:color w:val="000000" w:themeColor="text1"/>
            </w:rPr>
            <w:fldChar w:fldCharType="end"/>
          </w:r>
        </w:p>
        <w:p w14:paraId="1B22D2FF">
          <w:pPr>
            <w:pStyle w:val="20"/>
            <w:tabs>
              <w:tab w:val="right" w:leader="dot" w:pos="9355"/>
            </w:tabs>
            <w:spacing w:line="600" w:lineRule="exact"/>
            <w:ind w:left="590" w:firstLine="590"/>
            <w:rPr>
              <w:rFonts w:ascii="楷体" w:hAnsi="楷体" w:eastAsia="楷体" w:cs="楷体"/>
              <w:color w:val="000000" w:themeColor="text1"/>
            </w:rPr>
          </w:pPr>
          <w:r>
            <w:fldChar w:fldCharType="begin"/>
          </w:r>
          <w:r>
            <w:instrText xml:space="preserve"> HYPERLINK \l "_Toc13638" </w:instrText>
          </w:r>
          <w:r>
            <w:fldChar w:fldCharType="separate"/>
          </w:r>
          <w:r>
            <w:rPr>
              <w:rFonts w:hint="eastAsia" w:ascii="楷体" w:hAnsi="楷体" w:eastAsia="楷体" w:cs="楷体"/>
              <w:color w:val="000000" w:themeColor="text1"/>
            </w:rPr>
            <w:t>第一节构建生态文明五大制度体系</w:t>
          </w:r>
          <w:r>
            <w:rPr>
              <w:rFonts w:ascii="楷体" w:hAnsi="楷体" w:eastAsia="楷体" w:cs="楷体"/>
              <w:color w:val="000000" w:themeColor="text1"/>
            </w:rPr>
            <w:tab/>
          </w:r>
          <w:r>
            <w:rPr>
              <w:rFonts w:ascii="楷体" w:hAnsi="楷体" w:eastAsia="楷体" w:cs="楷体"/>
              <w:color w:val="000000" w:themeColor="text1"/>
            </w:rPr>
            <w:fldChar w:fldCharType="begin"/>
          </w:r>
          <w:r>
            <w:rPr>
              <w:rFonts w:ascii="楷体" w:hAnsi="楷体" w:eastAsia="楷体" w:cs="楷体"/>
              <w:color w:val="000000" w:themeColor="text1"/>
            </w:rPr>
            <w:instrText xml:space="preserve"> PAGEREF _Toc13638 </w:instrText>
          </w:r>
          <w:r>
            <w:rPr>
              <w:rFonts w:ascii="楷体" w:hAnsi="楷体" w:eastAsia="楷体" w:cs="楷体"/>
              <w:color w:val="000000" w:themeColor="text1"/>
            </w:rPr>
            <w:fldChar w:fldCharType="separate"/>
          </w:r>
          <w:r>
            <w:rPr>
              <w:rFonts w:ascii="楷体" w:hAnsi="楷体" w:eastAsia="楷体" w:cs="楷体"/>
              <w:color w:val="000000" w:themeColor="text1"/>
            </w:rPr>
            <w:t>- 70 -</w:t>
          </w:r>
          <w:r>
            <w:rPr>
              <w:rFonts w:ascii="楷体" w:hAnsi="楷体" w:eastAsia="楷体" w:cs="楷体"/>
              <w:color w:val="000000" w:themeColor="text1"/>
            </w:rPr>
            <w:fldChar w:fldCharType="end"/>
          </w:r>
          <w:r>
            <w:rPr>
              <w:rFonts w:ascii="楷体" w:hAnsi="楷体" w:eastAsia="楷体" w:cs="楷体"/>
              <w:color w:val="000000" w:themeColor="text1"/>
            </w:rPr>
            <w:fldChar w:fldCharType="end"/>
          </w:r>
        </w:p>
        <w:p w14:paraId="18A49F34">
          <w:pPr>
            <w:pStyle w:val="20"/>
            <w:tabs>
              <w:tab w:val="right" w:leader="dot" w:pos="9355"/>
            </w:tabs>
            <w:spacing w:line="600" w:lineRule="exact"/>
            <w:ind w:left="590" w:firstLine="590"/>
            <w:rPr>
              <w:rFonts w:hint="eastAsia"/>
              <w:color w:val="000000" w:themeColor="text1"/>
            </w:rPr>
          </w:pPr>
          <w:r>
            <w:fldChar w:fldCharType="begin"/>
          </w:r>
          <w:r>
            <w:instrText xml:space="preserve"> HYPERLINK \l "_Toc22136" </w:instrText>
          </w:r>
          <w:r>
            <w:fldChar w:fldCharType="separate"/>
          </w:r>
          <w:r>
            <w:rPr>
              <w:rFonts w:hint="eastAsia" w:ascii="楷体" w:hAnsi="楷体" w:eastAsia="楷体" w:cs="楷体"/>
              <w:color w:val="000000" w:themeColor="text1"/>
            </w:rPr>
            <w:t>第二节推动实施八大工程</w:t>
          </w:r>
          <w:r>
            <w:rPr>
              <w:rFonts w:ascii="楷体" w:hAnsi="楷体" w:eastAsia="楷体" w:cs="楷体"/>
              <w:color w:val="000000" w:themeColor="text1"/>
            </w:rPr>
            <w:tab/>
          </w:r>
          <w:r>
            <w:rPr>
              <w:rFonts w:ascii="楷体" w:hAnsi="楷体" w:eastAsia="楷体" w:cs="楷体"/>
              <w:color w:val="000000" w:themeColor="text1"/>
            </w:rPr>
            <w:fldChar w:fldCharType="begin"/>
          </w:r>
          <w:r>
            <w:rPr>
              <w:rFonts w:ascii="楷体" w:hAnsi="楷体" w:eastAsia="楷体" w:cs="楷体"/>
              <w:color w:val="000000" w:themeColor="text1"/>
            </w:rPr>
            <w:instrText xml:space="preserve"> PAGEREF _Toc22136 </w:instrText>
          </w:r>
          <w:r>
            <w:rPr>
              <w:rFonts w:ascii="楷体" w:hAnsi="楷体" w:eastAsia="楷体" w:cs="楷体"/>
              <w:color w:val="000000" w:themeColor="text1"/>
            </w:rPr>
            <w:fldChar w:fldCharType="separate"/>
          </w:r>
          <w:r>
            <w:rPr>
              <w:rFonts w:ascii="楷体" w:hAnsi="楷体" w:eastAsia="楷体" w:cs="楷体"/>
              <w:color w:val="000000" w:themeColor="text1"/>
            </w:rPr>
            <w:t>- 73 -</w:t>
          </w:r>
          <w:r>
            <w:rPr>
              <w:rFonts w:ascii="楷体" w:hAnsi="楷体" w:eastAsia="楷体" w:cs="楷体"/>
              <w:color w:val="000000" w:themeColor="text1"/>
            </w:rPr>
            <w:fldChar w:fldCharType="end"/>
          </w:r>
          <w:r>
            <w:rPr>
              <w:rFonts w:ascii="楷体" w:hAnsi="楷体" w:eastAsia="楷体" w:cs="楷体"/>
              <w:color w:val="000000" w:themeColor="text1"/>
            </w:rPr>
            <w:fldChar w:fldCharType="end"/>
          </w:r>
        </w:p>
        <w:p w14:paraId="46A0A675">
          <w:pPr>
            <w:pStyle w:val="20"/>
            <w:tabs>
              <w:tab w:val="right" w:leader="dot" w:pos="9355"/>
            </w:tabs>
            <w:spacing w:beforeLines="20" w:afterLines="20" w:line="600" w:lineRule="exact"/>
            <w:ind w:left="590" w:firstLine="0" w:firstLineChars="0"/>
            <w:rPr>
              <w:rFonts w:hint="eastAsia"/>
              <w:color w:val="000000" w:themeColor="text1"/>
            </w:rPr>
          </w:pPr>
          <w:r>
            <w:fldChar w:fldCharType="begin"/>
          </w:r>
          <w:r>
            <w:instrText xml:space="preserve"> HYPERLINK \l "_Toc28018" </w:instrText>
          </w:r>
          <w:r>
            <w:fldChar w:fldCharType="separate"/>
          </w:r>
          <w:r>
            <w:rPr>
              <w:rFonts w:hint="eastAsia" w:ascii="黑体" w:hAnsi="黑体" w:cs="黑体"/>
              <w:color w:val="000000" w:themeColor="text1"/>
            </w:rPr>
            <w:t>第十章聚焦民生完善普惠共享社会公共服务新保障</w:t>
          </w:r>
          <w:r>
            <w:rPr>
              <w:rFonts w:ascii="黑体" w:hAnsi="黑体" w:cs="黑体"/>
              <w:color w:val="000000" w:themeColor="text1"/>
            </w:rPr>
            <w:tab/>
          </w:r>
          <w:r>
            <w:rPr>
              <w:rFonts w:hint="eastAsia" w:ascii="黑体" w:hAnsi="黑体" w:cs="黑体"/>
              <w:color w:val="000000" w:themeColor="text1"/>
            </w:rPr>
            <w:fldChar w:fldCharType="begin"/>
          </w:r>
          <w:r>
            <w:rPr>
              <w:rFonts w:ascii="黑体" w:hAnsi="黑体" w:cs="黑体"/>
              <w:color w:val="000000" w:themeColor="text1"/>
            </w:rPr>
            <w:instrText xml:space="preserve"> PAGEREF _Toc28018 </w:instrText>
          </w:r>
          <w:r>
            <w:rPr>
              <w:rFonts w:hint="eastAsia" w:ascii="黑体" w:hAnsi="黑体" w:cs="黑体"/>
              <w:color w:val="000000" w:themeColor="text1"/>
            </w:rPr>
            <w:fldChar w:fldCharType="separate"/>
          </w:r>
          <w:r>
            <w:rPr>
              <w:rFonts w:ascii="黑体" w:hAnsi="黑体" w:cs="黑体"/>
              <w:color w:val="000000" w:themeColor="text1"/>
            </w:rPr>
            <w:t>- 77 -</w:t>
          </w:r>
          <w:r>
            <w:rPr>
              <w:rFonts w:hint="eastAsia" w:ascii="黑体" w:hAnsi="黑体" w:cs="黑体"/>
              <w:color w:val="000000" w:themeColor="text1"/>
            </w:rPr>
            <w:fldChar w:fldCharType="end"/>
          </w:r>
          <w:r>
            <w:rPr>
              <w:rFonts w:hint="eastAsia" w:ascii="黑体" w:hAnsi="黑体" w:cs="黑体"/>
              <w:color w:val="000000" w:themeColor="text1"/>
            </w:rPr>
            <w:fldChar w:fldCharType="end"/>
          </w:r>
        </w:p>
        <w:p w14:paraId="312168E2">
          <w:pPr>
            <w:pStyle w:val="20"/>
            <w:tabs>
              <w:tab w:val="right" w:leader="dot" w:pos="9355"/>
            </w:tabs>
            <w:spacing w:line="600" w:lineRule="exact"/>
            <w:ind w:left="590" w:firstLine="590"/>
            <w:rPr>
              <w:rFonts w:ascii="楷体" w:hAnsi="楷体" w:eastAsia="楷体" w:cs="楷体"/>
              <w:color w:val="000000" w:themeColor="text1"/>
            </w:rPr>
          </w:pPr>
          <w:r>
            <w:fldChar w:fldCharType="begin"/>
          </w:r>
          <w:r>
            <w:instrText xml:space="preserve"> HYPERLINK \l "_Toc4167" </w:instrText>
          </w:r>
          <w:r>
            <w:fldChar w:fldCharType="separate"/>
          </w:r>
          <w:r>
            <w:rPr>
              <w:rFonts w:hint="eastAsia" w:ascii="楷体" w:hAnsi="楷体" w:eastAsia="楷体" w:cs="楷体"/>
              <w:color w:val="000000" w:themeColor="text1"/>
            </w:rPr>
            <w:t>第一节保就业促创业</w:t>
          </w:r>
          <w:r>
            <w:rPr>
              <w:rFonts w:ascii="楷体" w:hAnsi="楷体" w:eastAsia="楷体" w:cs="楷体"/>
              <w:color w:val="000000" w:themeColor="text1"/>
            </w:rPr>
            <w:tab/>
          </w:r>
          <w:r>
            <w:rPr>
              <w:rFonts w:ascii="楷体" w:hAnsi="楷体" w:eastAsia="楷体" w:cs="楷体"/>
              <w:color w:val="000000" w:themeColor="text1"/>
            </w:rPr>
            <w:fldChar w:fldCharType="begin"/>
          </w:r>
          <w:r>
            <w:rPr>
              <w:rFonts w:ascii="楷体" w:hAnsi="楷体" w:eastAsia="楷体" w:cs="楷体"/>
              <w:color w:val="000000" w:themeColor="text1"/>
            </w:rPr>
            <w:instrText xml:space="preserve"> PAGEREF _Toc4167 </w:instrText>
          </w:r>
          <w:r>
            <w:rPr>
              <w:rFonts w:ascii="楷体" w:hAnsi="楷体" w:eastAsia="楷体" w:cs="楷体"/>
              <w:color w:val="000000" w:themeColor="text1"/>
            </w:rPr>
            <w:fldChar w:fldCharType="separate"/>
          </w:r>
          <w:r>
            <w:rPr>
              <w:rFonts w:ascii="楷体" w:hAnsi="楷体" w:eastAsia="楷体" w:cs="楷体"/>
              <w:color w:val="000000" w:themeColor="text1"/>
            </w:rPr>
            <w:t>- 78 -</w:t>
          </w:r>
          <w:r>
            <w:rPr>
              <w:rFonts w:ascii="楷体" w:hAnsi="楷体" w:eastAsia="楷体" w:cs="楷体"/>
              <w:color w:val="000000" w:themeColor="text1"/>
            </w:rPr>
            <w:fldChar w:fldCharType="end"/>
          </w:r>
          <w:r>
            <w:rPr>
              <w:rFonts w:ascii="楷体" w:hAnsi="楷体" w:eastAsia="楷体" w:cs="楷体"/>
              <w:color w:val="000000" w:themeColor="text1"/>
            </w:rPr>
            <w:fldChar w:fldCharType="end"/>
          </w:r>
        </w:p>
        <w:p w14:paraId="77A3873A">
          <w:pPr>
            <w:pStyle w:val="20"/>
            <w:tabs>
              <w:tab w:val="right" w:leader="dot" w:pos="9355"/>
            </w:tabs>
            <w:spacing w:line="600" w:lineRule="exact"/>
            <w:ind w:left="590" w:firstLine="590"/>
            <w:rPr>
              <w:rFonts w:ascii="楷体" w:hAnsi="楷体" w:eastAsia="楷体" w:cs="楷体"/>
              <w:color w:val="000000" w:themeColor="text1"/>
            </w:rPr>
          </w:pPr>
          <w:r>
            <w:fldChar w:fldCharType="begin"/>
          </w:r>
          <w:r>
            <w:instrText xml:space="preserve"> HYPERLINK \l "_Toc10799" </w:instrText>
          </w:r>
          <w:r>
            <w:fldChar w:fldCharType="separate"/>
          </w:r>
          <w:r>
            <w:rPr>
              <w:rFonts w:hint="eastAsia" w:ascii="楷体" w:hAnsi="楷体" w:eastAsia="楷体" w:cs="楷体"/>
              <w:color w:val="000000" w:themeColor="text1"/>
            </w:rPr>
            <w:t>第二节提升公共服务均等化水平</w:t>
          </w:r>
          <w:r>
            <w:rPr>
              <w:rFonts w:ascii="楷体" w:hAnsi="楷体" w:eastAsia="楷体" w:cs="楷体"/>
              <w:color w:val="000000" w:themeColor="text1"/>
            </w:rPr>
            <w:tab/>
          </w:r>
          <w:r>
            <w:rPr>
              <w:rFonts w:ascii="楷体" w:hAnsi="楷体" w:eastAsia="楷体" w:cs="楷体"/>
              <w:color w:val="000000" w:themeColor="text1"/>
            </w:rPr>
            <w:fldChar w:fldCharType="begin"/>
          </w:r>
          <w:r>
            <w:rPr>
              <w:rFonts w:ascii="楷体" w:hAnsi="楷体" w:eastAsia="楷体" w:cs="楷体"/>
              <w:color w:val="000000" w:themeColor="text1"/>
            </w:rPr>
            <w:instrText xml:space="preserve"> PAGEREF _Toc10799 </w:instrText>
          </w:r>
          <w:r>
            <w:rPr>
              <w:rFonts w:ascii="楷体" w:hAnsi="楷体" w:eastAsia="楷体" w:cs="楷体"/>
              <w:color w:val="000000" w:themeColor="text1"/>
            </w:rPr>
            <w:fldChar w:fldCharType="separate"/>
          </w:r>
          <w:r>
            <w:rPr>
              <w:rFonts w:ascii="楷体" w:hAnsi="楷体" w:eastAsia="楷体" w:cs="楷体"/>
              <w:color w:val="000000" w:themeColor="text1"/>
            </w:rPr>
            <w:t>- 80 -</w:t>
          </w:r>
          <w:r>
            <w:rPr>
              <w:rFonts w:ascii="楷体" w:hAnsi="楷体" w:eastAsia="楷体" w:cs="楷体"/>
              <w:color w:val="000000" w:themeColor="text1"/>
            </w:rPr>
            <w:fldChar w:fldCharType="end"/>
          </w:r>
          <w:r>
            <w:rPr>
              <w:rFonts w:ascii="楷体" w:hAnsi="楷体" w:eastAsia="楷体" w:cs="楷体"/>
              <w:color w:val="000000" w:themeColor="text1"/>
            </w:rPr>
            <w:fldChar w:fldCharType="end"/>
          </w:r>
        </w:p>
        <w:p w14:paraId="1A99550B">
          <w:pPr>
            <w:pStyle w:val="20"/>
            <w:tabs>
              <w:tab w:val="right" w:leader="dot" w:pos="9355"/>
            </w:tabs>
            <w:spacing w:line="600" w:lineRule="exact"/>
            <w:ind w:left="590" w:firstLine="590"/>
            <w:rPr>
              <w:rFonts w:hint="eastAsia"/>
              <w:color w:val="000000" w:themeColor="text1"/>
            </w:rPr>
          </w:pPr>
          <w:r>
            <w:fldChar w:fldCharType="begin"/>
          </w:r>
          <w:r>
            <w:instrText xml:space="preserve"> HYPERLINK \l "_Toc26670" </w:instrText>
          </w:r>
          <w:r>
            <w:fldChar w:fldCharType="separate"/>
          </w:r>
          <w:r>
            <w:rPr>
              <w:rFonts w:hint="eastAsia" w:ascii="楷体" w:hAnsi="楷体" w:eastAsia="楷体" w:cs="楷体"/>
              <w:color w:val="000000" w:themeColor="text1"/>
            </w:rPr>
            <w:t>第三节构建公平高效的社会保障体系</w:t>
          </w:r>
          <w:r>
            <w:rPr>
              <w:rFonts w:ascii="楷体" w:hAnsi="楷体" w:eastAsia="楷体" w:cs="楷体"/>
              <w:color w:val="000000" w:themeColor="text1"/>
            </w:rPr>
            <w:tab/>
          </w:r>
          <w:r>
            <w:rPr>
              <w:rFonts w:ascii="楷体" w:hAnsi="楷体" w:eastAsia="楷体" w:cs="楷体"/>
              <w:color w:val="000000" w:themeColor="text1"/>
            </w:rPr>
            <w:fldChar w:fldCharType="begin"/>
          </w:r>
          <w:r>
            <w:rPr>
              <w:rFonts w:ascii="楷体" w:hAnsi="楷体" w:eastAsia="楷体" w:cs="楷体"/>
              <w:color w:val="000000" w:themeColor="text1"/>
            </w:rPr>
            <w:instrText xml:space="preserve"> PAGEREF _Toc26670 </w:instrText>
          </w:r>
          <w:r>
            <w:rPr>
              <w:rFonts w:ascii="楷体" w:hAnsi="楷体" w:eastAsia="楷体" w:cs="楷体"/>
              <w:color w:val="000000" w:themeColor="text1"/>
            </w:rPr>
            <w:fldChar w:fldCharType="separate"/>
          </w:r>
          <w:r>
            <w:rPr>
              <w:rFonts w:ascii="楷体" w:hAnsi="楷体" w:eastAsia="楷体" w:cs="楷体"/>
              <w:color w:val="000000" w:themeColor="text1"/>
            </w:rPr>
            <w:t>- 84 -</w:t>
          </w:r>
          <w:r>
            <w:rPr>
              <w:rFonts w:ascii="楷体" w:hAnsi="楷体" w:eastAsia="楷体" w:cs="楷体"/>
              <w:color w:val="000000" w:themeColor="text1"/>
            </w:rPr>
            <w:fldChar w:fldCharType="end"/>
          </w:r>
          <w:r>
            <w:rPr>
              <w:rFonts w:ascii="楷体" w:hAnsi="楷体" w:eastAsia="楷体" w:cs="楷体"/>
              <w:color w:val="000000" w:themeColor="text1"/>
            </w:rPr>
            <w:fldChar w:fldCharType="end"/>
          </w:r>
        </w:p>
        <w:p w14:paraId="3EFA0CAF">
          <w:pPr>
            <w:pStyle w:val="20"/>
            <w:tabs>
              <w:tab w:val="right" w:leader="dot" w:pos="9355"/>
            </w:tabs>
            <w:spacing w:beforeLines="20" w:afterLines="20" w:line="600" w:lineRule="exact"/>
            <w:ind w:left="590" w:firstLine="0" w:firstLineChars="0"/>
            <w:rPr>
              <w:rFonts w:hint="eastAsia"/>
              <w:color w:val="000000" w:themeColor="text1"/>
            </w:rPr>
          </w:pPr>
          <w:r>
            <w:fldChar w:fldCharType="begin"/>
          </w:r>
          <w:r>
            <w:instrText xml:space="preserve"> HYPERLINK \l "_Toc4667" </w:instrText>
          </w:r>
          <w:r>
            <w:fldChar w:fldCharType="separate"/>
          </w:r>
          <w:r>
            <w:rPr>
              <w:rFonts w:hint="eastAsia" w:ascii="黑体" w:hAnsi="黑体" w:cs="黑体"/>
              <w:color w:val="000000" w:themeColor="text1"/>
            </w:rPr>
            <w:t>第十一章文化强县提升盘山发展软实力新优势</w:t>
          </w:r>
          <w:r>
            <w:rPr>
              <w:rFonts w:ascii="黑体" w:hAnsi="黑体" w:cs="黑体"/>
              <w:color w:val="000000" w:themeColor="text1"/>
            </w:rPr>
            <w:tab/>
          </w:r>
          <w:r>
            <w:rPr>
              <w:rFonts w:hint="eastAsia" w:ascii="黑体" w:hAnsi="黑体" w:cs="黑体"/>
              <w:color w:val="000000" w:themeColor="text1"/>
            </w:rPr>
            <w:fldChar w:fldCharType="begin"/>
          </w:r>
          <w:r>
            <w:rPr>
              <w:rFonts w:ascii="黑体" w:hAnsi="黑体" w:cs="黑体"/>
              <w:color w:val="000000" w:themeColor="text1"/>
            </w:rPr>
            <w:instrText xml:space="preserve"> PAGEREF _Toc4667 </w:instrText>
          </w:r>
          <w:r>
            <w:rPr>
              <w:rFonts w:hint="eastAsia" w:ascii="黑体" w:hAnsi="黑体" w:cs="黑体"/>
              <w:color w:val="000000" w:themeColor="text1"/>
            </w:rPr>
            <w:fldChar w:fldCharType="separate"/>
          </w:r>
          <w:r>
            <w:rPr>
              <w:rFonts w:ascii="黑体" w:hAnsi="黑体" w:cs="黑体"/>
              <w:color w:val="000000" w:themeColor="text1"/>
            </w:rPr>
            <w:t>- 87 -</w:t>
          </w:r>
          <w:r>
            <w:rPr>
              <w:rFonts w:hint="eastAsia" w:ascii="黑体" w:hAnsi="黑体" w:cs="黑体"/>
              <w:color w:val="000000" w:themeColor="text1"/>
            </w:rPr>
            <w:fldChar w:fldCharType="end"/>
          </w:r>
          <w:r>
            <w:rPr>
              <w:rFonts w:hint="eastAsia" w:ascii="黑体" w:hAnsi="黑体" w:cs="黑体"/>
              <w:color w:val="000000" w:themeColor="text1"/>
            </w:rPr>
            <w:fldChar w:fldCharType="end"/>
          </w:r>
        </w:p>
        <w:p w14:paraId="183ADB07">
          <w:pPr>
            <w:pStyle w:val="20"/>
            <w:tabs>
              <w:tab w:val="right" w:leader="dot" w:pos="9355"/>
            </w:tabs>
            <w:spacing w:line="600" w:lineRule="exact"/>
            <w:ind w:left="590" w:firstLine="590"/>
            <w:rPr>
              <w:rFonts w:ascii="楷体" w:hAnsi="楷体" w:eastAsia="楷体" w:cs="楷体"/>
              <w:color w:val="000000" w:themeColor="text1"/>
            </w:rPr>
          </w:pPr>
          <w:r>
            <w:fldChar w:fldCharType="begin"/>
          </w:r>
          <w:r>
            <w:instrText xml:space="preserve"> HYPERLINK \l "_Toc4716" </w:instrText>
          </w:r>
          <w:r>
            <w:fldChar w:fldCharType="separate"/>
          </w:r>
          <w:r>
            <w:rPr>
              <w:rFonts w:hint="eastAsia" w:ascii="楷体" w:hAnsi="楷体" w:eastAsia="楷体" w:cs="楷体"/>
              <w:color w:val="000000" w:themeColor="text1"/>
            </w:rPr>
            <w:t>第一节培育践行社会主义核心价值观</w:t>
          </w:r>
          <w:r>
            <w:rPr>
              <w:rFonts w:ascii="楷体" w:hAnsi="楷体" w:eastAsia="楷体" w:cs="楷体"/>
              <w:color w:val="000000" w:themeColor="text1"/>
            </w:rPr>
            <w:tab/>
          </w:r>
          <w:r>
            <w:rPr>
              <w:rFonts w:ascii="楷体" w:hAnsi="楷体" w:eastAsia="楷体" w:cs="楷体"/>
              <w:color w:val="000000" w:themeColor="text1"/>
            </w:rPr>
            <w:fldChar w:fldCharType="begin"/>
          </w:r>
          <w:r>
            <w:rPr>
              <w:rFonts w:ascii="楷体" w:hAnsi="楷体" w:eastAsia="楷体" w:cs="楷体"/>
              <w:color w:val="000000" w:themeColor="text1"/>
            </w:rPr>
            <w:instrText xml:space="preserve"> PAGEREF _Toc4716 </w:instrText>
          </w:r>
          <w:r>
            <w:rPr>
              <w:rFonts w:ascii="楷体" w:hAnsi="楷体" w:eastAsia="楷体" w:cs="楷体"/>
              <w:color w:val="000000" w:themeColor="text1"/>
            </w:rPr>
            <w:fldChar w:fldCharType="separate"/>
          </w:r>
          <w:r>
            <w:rPr>
              <w:rFonts w:ascii="楷体" w:hAnsi="楷体" w:eastAsia="楷体" w:cs="楷体"/>
              <w:color w:val="000000" w:themeColor="text1"/>
            </w:rPr>
            <w:t>- 87 -</w:t>
          </w:r>
          <w:r>
            <w:rPr>
              <w:rFonts w:ascii="楷体" w:hAnsi="楷体" w:eastAsia="楷体" w:cs="楷体"/>
              <w:color w:val="000000" w:themeColor="text1"/>
            </w:rPr>
            <w:fldChar w:fldCharType="end"/>
          </w:r>
          <w:r>
            <w:rPr>
              <w:rFonts w:ascii="楷体" w:hAnsi="楷体" w:eastAsia="楷体" w:cs="楷体"/>
              <w:color w:val="000000" w:themeColor="text1"/>
            </w:rPr>
            <w:fldChar w:fldCharType="end"/>
          </w:r>
        </w:p>
        <w:p w14:paraId="1AB5D73C">
          <w:pPr>
            <w:pStyle w:val="20"/>
            <w:tabs>
              <w:tab w:val="right" w:leader="dot" w:pos="9355"/>
            </w:tabs>
            <w:spacing w:line="600" w:lineRule="exact"/>
            <w:ind w:left="590" w:firstLine="590"/>
            <w:rPr>
              <w:rFonts w:ascii="楷体" w:hAnsi="楷体" w:eastAsia="楷体" w:cs="楷体"/>
              <w:color w:val="000000" w:themeColor="text1"/>
            </w:rPr>
          </w:pPr>
          <w:r>
            <w:fldChar w:fldCharType="begin"/>
          </w:r>
          <w:r>
            <w:instrText xml:space="preserve"> HYPERLINK \l "_Toc22399" </w:instrText>
          </w:r>
          <w:r>
            <w:fldChar w:fldCharType="separate"/>
          </w:r>
          <w:r>
            <w:rPr>
              <w:rFonts w:hint="eastAsia" w:ascii="楷体" w:hAnsi="楷体" w:eastAsia="楷体" w:cs="楷体"/>
              <w:color w:val="000000" w:themeColor="text1"/>
            </w:rPr>
            <w:t>第二节加强社会主义精神文明建设</w:t>
          </w:r>
          <w:r>
            <w:rPr>
              <w:rFonts w:ascii="楷体" w:hAnsi="楷体" w:eastAsia="楷体" w:cs="楷体"/>
              <w:color w:val="000000" w:themeColor="text1"/>
            </w:rPr>
            <w:tab/>
          </w:r>
          <w:r>
            <w:rPr>
              <w:rFonts w:ascii="楷体" w:hAnsi="楷体" w:eastAsia="楷体" w:cs="楷体"/>
              <w:color w:val="000000" w:themeColor="text1"/>
            </w:rPr>
            <w:fldChar w:fldCharType="begin"/>
          </w:r>
          <w:r>
            <w:rPr>
              <w:rFonts w:ascii="楷体" w:hAnsi="楷体" w:eastAsia="楷体" w:cs="楷体"/>
              <w:color w:val="000000" w:themeColor="text1"/>
            </w:rPr>
            <w:instrText xml:space="preserve"> PAGEREF _Toc22399 </w:instrText>
          </w:r>
          <w:r>
            <w:rPr>
              <w:rFonts w:ascii="楷体" w:hAnsi="楷体" w:eastAsia="楷体" w:cs="楷体"/>
              <w:color w:val="000000" w:themeColor="text1"/>
            </w:rPr>
            <w:fldChar w:fldCharType="separate"/>
          </w:r>
          <w:r>
            <w:rPr>
              <w:rFonts w:ascii="楷体" w:hAnsi="楷体" w:eastAsia="楷体" w:cs="楷体"/>
              <w:color w:val="000000" w:themeColor="text1"/>
            </w:rPr>
            <w:t>- 88 -</w:t>
          </w:r>
          <w:r>
            <w:rPr>
              <w:rFonts w:ascii="楷体" w:hAnsi="楷体" w:eastAsia="楷体" w:cs="楷体"/>
              <w:color w:val="000000" w:themeColor="text1"/>
            </w:rPr>
            <w:fldChar w:fldCharType="end"/>
          </w:r>
          <w:r>
            <w:rPr>
              <w:rFonts w:ascii="楷体" w:hAnsi="楷体" w:eastAsia="楷体" w:cs="楷体"/>
              <w:color w:val="000000" w:themeColor="text1"/>
            </w:rPr>
            <w:fldChar w:fldCharType="end"/>
          </w:r>
        </w:p>
        <w:p w14:paraId="592F7C4B">
          <w:pPr>
            <w:pStyle w:val="20"/>
            <w:tabs>
              <w:tab w:val="right" w:leader="dot" w:pos="9355"/>
            </w:tabs>
            <w:spacing w:line="600" w:lineRule="exact"/>
            <w:ind w:left="590" w:firstLine="590"/>
            <w:rPr>
              <w:rFonts w:ascii="楷体" w:hAnsi="楷体" w:eastAsia="楷体" w:cs="楷体"/>
              <w:color w:val="000000" w:themeColor="text1"/>
            </w:rPr>
          </w:pPr>
          <w:r>
            <w:fldChar w:fldCharType="begin"/>
          </w:r>
          <w:r>
            <w:instrText xml:space="preserve"> HYPERLINK \l "_Toc13635" </w:instrText>
          </w:r>
          <w:r>
            <w:fldChar w:fldCharType="separate"/>
          </w:r>
          <w:r>
            <w:rPr>
              <w:rFonts w:hint="eastAsia" w:ascii="楷体" w:hAnsi="楷体" w:eastAsia="楷体" w:cs="楷体"/>
              <w:color w:val="000000" w:themeColor="text1"/>
            </w:rPr>
            <w:t>第三节构建新时代公共文化服务体系</w:t>
          </w:r>
          <w:r>
            <w:rPr>
              <w:rFonts w:ascii="楷体" w:hAnsi="楷体" w:eastAsia="楷体" w:cs="楷体"/>
              <w:color w:val="000000" w:themeColor="text1"/>
            </w:rPr>
            <w:tab/>
          </w:r>
          <w:r>
            <w:rPr>
              <w:rFonts w:ascii="楷体" w:hAnsi="楷体" w:eastAsia="楷体" w:cs="楷体"/>
              <w:color w:val="000000" w:themeColor="text1"/>
            </w:rPr>
            <w:fldChar w:fldCharType="begin"/>
          </w:r>
          <w:r>
            <w:rPr>
              <w:rFonts w:ascii="楷体" w:hAnsi="楷体" w:eastAsia="楷体" w:cs="楷体"/>
              <w:color w:val="000000" w:themeColor="text1"/>
            </w:rPr>
            <w:instrText xml:space="preserve"> PAGEREF _Toc13635 </w:instrText>
          </w:r>
          <w:r>
            <w:rPr>
              <w:rFonts w:ascii="楷体" w:hAnsi="楷体" w:eastAsia="楷体" w:cs="楷体"/>
              <w:color w:val="000000" w:themeColor="text1"/>
            </w:rPr>
            <w:fldChar w:fldCharType="separate"/>
          </w:r>
          <w:r>
            <w:rPr>
              <w:rFonts w:ascii="楷体" w:hAnsi="楷体" w:eastAsia="楷体" w:cs="楷体"/>
              <w:color w:val="000000" w:themeColor="text1"/>
            </w:rPr>
            <w:t>- 89 -</w:t>
          </w:r>
          <w:r>
            <w:rPr>
              <w:rFonts w:ascii="楷体" w:hAnsi="楷体" w:eastAsia="楷体" w:cs="楷体"/>
              <w:color w:val="000000" w:themeColor="text1"/>
            </w:rPr>
            <w:fldChar w:fldCharType="end"/>
          </w:r>
          <w:r>
            <w:rPr>
              <w:rFonts w:ascii="楷体" w:hAnsi="楷体" w:eastAsia="楷体" w:cs="楷体"/>
              <w:color w:val="000000" w:themeColor="text1"/>
            </w:rPr>
            <w:fldChar w:fldCharType="end"/>
          </w:r>
        </w:p>
        <w:p w14:paraId="0210BA8E">
          <w:pPr>
            <w:pStyle w:val="20"/>
            <w:tabs>
              <w:tab w:val="right" w:leader="dot" w:pos="9355"/>
            </w:tabs>
            <w:spacing w:line="600" w:lineRule="exact"/>
            <w:ind w:left="590" w:firstLine="590"/>
            <w:rPr>
              <w:rFonts w:hint="eastAsia"/>
              <w:color w:val="000000" w:themeColor="text1"/>
            </w:rPr>
          </w:pPr>
          <w:r>
            <w:fldChar w:fldCharType="begin"/>
          </w:r>
          <w:r>
            <w:instrText xml:space="preserve"> HYPERLINK \l "_Toc23347" </w:instrText>
          </w:r>
          <w:r>
            <w:fldChar w:fldCharType="separate"/>
          </w:r>
          <w:r>
            <w:rPr>
              <w:rFonts w:hint="eastAsia" w:ascii="楷体" w:hAnsi="楷体" w:eastAsia="楷体" w:cs="楷体"/>
              <w:color w:val="000000" w:themeColor="text1"/>
            </w:rPr>
            <w:t>第四节打造盘山特色文化产业</w:t>
          </w:r>
          <w:r>
            <w:rPr>
              <w:rFonts w:ascii="楷体" w:hAnsi="楷体" w:eastAsia="楷体" w:cs="楷体"/>
              <w:color w:val="000000" w:themeColor="text1"/>
            </w:rPr>
            <w:tab/>
          </w:r>
          <w:r>
            <w:rPr>
              <w:rFonts w:ascii="楷体" w:hAnsi="楷体" w:eastAsia="楷体" w:cs="楷体"/>
              <w:color w:val="000000" w:themeColor="text1"/>
            </w:rPr>
            <w:fldChar w:fldCharType="begin"/>
          </w:r>
          <w:r>
            <w:rPr>
              <w:rFonts w:ascii="楷体" w:hAnsi="楷体" w:eastAsia="楷体" w:cs="楷体"/>
              <w:color w:val="000000" w:themeColor="text1"/>
            </w:rPr>
            <w:instrText xml:space="preserve"> PAGEREF _Toc23347 </w:instrText>
          </w:r>
          <w:r>
            <w:rPr>
              <w:rFonts w:ascii="楷体" w:hAnsi="楷体" w:eastAsia="楷体" w:cs="楷体"/>
              <w:color w:val="000000" w:themeColor="text1"/>
            </w:rPr>
            <w:fldChar w:fldCharType="separate"/>
          </w:r>
          <w:r>
            <w:rPr>
              <w:rFonts w:ascii="楷体" w:hAnsi="楷体" w:eastAsia="楷体" w:cs="楷体"/>
              <w:color w:val="000000" w:themeColor="text1"/>
            </w:rPr>
            <w:t>- 91 -</w:t>
          </w:r>
          <w:r>
            <w:rPr>
              <w:rFonts w:ascii="楷体" w:hAnsi="楷体" w:eastAsia="楷体" w:cs="楷体"/>
              <w:color w:val="000000" w:themeColor="text1"/>
            </w:rPr>
            <w:fldChar w:fldCharType="end"/>
          </w:r>
          <w:r>
            <w:rPr>
              <w:rFonts w:ascii="楷体" w:hAnsi="楷体" w:eastAsia="楷体" w:cs="楷体"/>
              <w:color w:val="000000" w:themeColor="text1"/>
            </w:rPr>
            <w:fldChar w:fldCharType="end"/>
          </w:r>
        </w:p>
        <w:p w14:paraId="632CA8E6">
          <w:pPr>
            <w:pStyle w:val="20"/>
            <w:tabs>
              <w:tab w:val="right" w:leader="dot" w:pos="9355"/>
            </w:tabs>
            <w:spacing w:beforeLines="20" w:afterLines="20" w:line="600" w:lineRule="exact"/>
            <w:ind w:left="590" w:firstLine="0" w:firstLineChars="0"/>
            <w:rPr>
              <w:rFonts w:ascii="黑体" w:hAnsi="黑体" w:cs="黑体"/>
              <w:color w:val="000000" w:themeColor="text1"/>
            </w:rPr>
          </w:pPr>
          <w:r>
            <w:fldChar w:fldCharType="begin"/>
          </w:r>
          <w:r>
            <w:instrText xml:space="preserve"> HYPERLINK \l "_Toc6428" </w:instrText>
          </w:r>
          <w:r>
            <w:fldChar w:fldCharType="separate"/>
          </w:r>
          <w:r>
            <w:rPr>
              <w:rFonts w:hint="eastAsia" w:ascii="黑体" w:hAnsi="黑体" w:cs="黑体"/>
              <w:color w:val="000000" w:themeColor="text1"/>
            </w:rPr>
            <w:t>第十二章固本强基建设平安和谐法治新盘山</w:t>
          </w:r>
          <w:r>
            <w:rPr>
              <w:rFonts w:ascii="黑体" w:hAnsi="黑体" w:cs="黑体"/>
              <w:color w:val="000000" w:themeColor="text1"/>
            </w:rPr>
            <w:tab/>
          </w:r>
          <w:r>
            <w:rPr>
              <w:rFonts w:hint="eastAsia" w:ascii="黑体" w:hAnsi="黑体" w:cs="黑体"/>
              <w:color w:val="000000" w:themeColor="text1"/>
            </w:rPr>
            <w:fldChar w:fldCharType="begin"/>
          </w:r>
          <w:r>
            <w:rPr>
              <w:rFonts w:ascii="黑体" w:hAnsi="黑体" w:cs="黑体"/>
              <w:color w:val="000000" w:themeColor="text1"/>
            </w:rPr>
            <w:instrText xml:space="preserve"> PAGEREF _Toc6428 </w:instrText>
          </w:r>
          <w:r>
            <w:rPr>
              <w:rFonts w:hint="eastAsia" w:ascii="黑体" w:hAnsi="黑体" w:cs="黑体"/>
              <w:color w:val="000000" w:themeColor="text1"/>
            </w:rPr>
            <w:fldChar w:fldCharType="separate"/>
          </w:r>
          <w:r>
            <w:rPr>
              <w:rFonts w:ascii="黑体" w:hAnsi="黑体" w:cs="黑体"/>
              <w:color w:val="000000" w:themeColor="text1"/>
            </w:rPr>
            <w:t>- 93 -</w:t>
          </w:r>
          <w:r>
            <w:rPr>
              <w:rFonts w:hint="eastAsia" w:ascii="黑体" w:hAnsi="黑体" w:cs="黑体"/>
              <w:color w:val="000000" w:themeColor="text1"/>
            </w:rPr>
            <w:fldChar w:fldCharType="end"/>
          </w:r>
          <w:r>
            <w:rPr>
              <w:rFonts w:hint="eastAsia" w:ascii="黑体" w:hAnsi="黑体" w:cs="黑体"/>
              <w:color w:val="000000" w:themeColor="text1"/>
            </w:rPr>
            <w:fldChar w:fldCharType="end"/>
          </w:r>
        </w:p>
        <w:p w14:paraId="49AC1C9C">
          <w:pPr>
            <w:pStyle w:val="20"/>
            <w:tabs>
              <w:tab w:val="right" w:leader="dot" w:pos="9355"/>
            </w:tabs>
            <w:spacing w:line="600" w:lineRule="exact"/>
            <w:ind w:left="590" w:firstLine="590"/>
            <w:rPr>
              <w:rFonts w:ascii="楷体" w:hAnsi="楷体" w:eastAsia="楷体" w:cs="楷体"/>
              <w:color w:val="000000" w:themeColor="text1"/>
            </w:rPr>
          </w:pPr>
          <w:r>
            <w:fldChar w:fldCharType="begin"/>
          </w:r>
          <w:r>
            <w:instrText xml:space="preserve"> HYPERLINK \l "_Toc18403" </w:instrText>
          </w:r>
          <w:r>
            <w:fldChar w:fldCharType="separate"/>
          </w:r>
          <w:r>
            <w:rPr>
              <w:rFonts w:hint="eastAsia" w:ascii="楷体" w:hAnsi="楷体" w:eastAsia="楷体" w:cs="楷体"/>
              <w:color w:val="000000" w:themeColor="text1"/>
            </w:rPr>
            <w:t>第一节健全公共安全体系</w:t>
          </w:r>
          <w:r>
            <w:rPr>
              <w:rFonts w:ascii="楷体" w:hAnsi="楷体" w:eastAsia="楷体" w:cs="楷体"/>
              <w:color w:val="000000" w:themeColor="text1"/>
            </w:rPr>
            <w:tab/>
          </w:r>
          <w:r>
            <w:rPr>
              <w:rFonts w:ascii="楷体" w:hAnsi="楷体" w:eastAsia="楷体" w:cs="楷体"/>
              <w:color w:val="000000" w:themeColor="text1"/>
            </w:rPr>
            <w:fldChar w:fldCharType="begin"/>
          </w:r>
          <w:r>
            <w:rPr>
              <w:rFonts w:ascii="楷体" w:hAnsi="楷体" w:eastAsia="楷体" w:cs="楷体"/>
              <w:color w:val="000000" w:themeColor="text1"/>
            </w:rPr>
            <w:instrText xml:space="preserve"> PAGEREF _Toc18403 </w:instrText>
          </w:r>
          <w:r>
            <w:rPr>
              <w:rFonts w:ascii="楷体" w:hAnsi="楷体" w:eastAsia="楷体" w:cs="楷体"/>
              <w:color w:val="000000" w:themeColor="text1"/>
            </w:rPr>
            <w:fldChar w:fldCharType="separate"/>
          </w:r>
          <w:r>
            <w:rPr>
              <w:rFonts w:ascii="楷体" w:hAnsi="楷体" w:eastAsia="楷体" w:cs="楷体"/>
              <w:color w:val="000000" w:themeColor="text1"/>
            </w:rPr>
            <w:t>- 93 -</w:t>
          </w:r>
          <w:r>
            <w:rPr>
              <w:rFonts w:ascii="楷体" w:hAnsi="楷体" w:eastAsia="楷体" w:cs="楷体"/>
              <w:color w:val="000000" w:themeColor="text1"/>
            </w:rPr>
            <w:fldChar w:fldCharType="end"/>
          </w:r>
          <w:r>
            <w:rPr>
              <w:rFonts w:ascii="楷体" w:hAnsi="楷体" w:eastAsia="楷体" w:cs="楷体"/>
              <w:color w:val="000000" w:themeColor="text1"/>
            </w:rPr>
            <w:fldChar w:fldCharType="end"/>
          </w:r>
        </w:p>
        <w:p w14:paraId="43BA2701">
          <w:pPr>
            <w:pStyle w:val="20"/>
            <w:tabs>
              <w:tab w:val="right" w:leader="dot" w:pos="9355"/>
            </w:tabs>
            <w:spacing w:line="600" w:lineRule="exact"/>
            <w:ind w:left="590" w:firstLine="590"/>
            <w:rPr>
              <w:rFonts w:ascii="楷体" w:hAnsi="楷体" w:eastAsia="楷体" w:cs="楷体"/>
              <w:color w:val="000000" w:themeColor="text1"/>
            </w:rPr>
          </w:pPr>
          <w:r>
            <w:fldChar w:fldCharType="begin"/>
          </w:r>
          <w:r>
            <w:instrText xml:space="preserve"> HYPERLINK \l "_Toc23290" </w:instrText>
          </w:r>
          <w:r>
            <w:fldChar w:fldCharType="separate"/>
          </w:r>
          <w:r>
            <w:rPr>
              <w:rFonts w:hint="eastAsia" w:ascii="楷体" w:hAnsi="楷体" w:eastAsia="楷体" w:cs="楷体"/>
              <w:color w:val="000000" w:themeColor="text1"/>
            </w:rPr>
            <w:t>第二节推动基层治理现代化</w:t>
          </w:r>
          <w:r>
            <w:rPr>
              <w:rFonts w:ascii="楷体" w:hAnsi="楷体" w:eastAsia="楷体" w:cs="楷体"/>
              <w:color w:val="000000" w:themeColor="text1"/>
            </w:rPr>
            <w:tab/>
          </w:r>
          <w:r>
            <w:rPr>
              <w:rFonts w:ascii="楷体" w:hAnsi="楷体" w:eastAsia="楷体" w:cs="楷体"/>
              <w:color w:val="000000" w:themeColor="text1"/>
            </w:rPr>
            <w:fldChar w:fldCharType="begin"/>
          </w:r>
          <w:r>
            <w:rPr>
              <w:rFonts w:ascii="楷体" w:hAnsi="楷体" w:eastAsia="楷体" w:cs="楷体"/>
              <w:color w:val="000000" w:themeColor="text1"/>
            </w:rPr>
            <w:instrText xml:space="preserve"> PAGEREF _Toc23290 </w:instrText>
          </w:r>
          <w:r>
            <w:rPr>
              <w:rFonts w:ascii="楷体" w:hAnsi="楷体" w:eastAsia="楷体" w:cs="楷体"/>
              <w:color w:val="000000" w:themeColor="text1"/>
            </w:rPr>
            <w:fldChar w:fldCharType="separate"/>
          </w:r>
          <w:r>
            <w:rPr>
              <w:rFonts w:ascii="楷体" w:hAnsi="楷体" w:eastAsia="楷体" w:cs="楷体"/>
              <w:color w:val="000000" w:themeColor="text1"/>
            </w:rPr>
            <w:t>- 95 -</w:t>
          </w:r>
          <w:r>
            <w:rPr>
              <w:rFonts w:ascii="楷体" w:hAnsi="楷体" w:eastAsia="楷体" w:cs="楷体"/>
              <w:color w:val="000000" w:themeColor="text1"/>
            </w:rPr>
            <w:fldChar w:fldCharType="end"/>
          </w:r>
          <w:r>
            <w:rPr>
              <w:rFonts w:ascii="楷体" w:hAnsi="楷体" w:eastAsia="楷体" w:cs="楷体"/>
              <w:color w:val="000000" w:themeColor="text1"/>
            </w:rPr>
            <w:fldChar w:fldCharType="end"/>
          </w:r>
        </w:p>
        <w:p w14:paraId="2B8F5332">
          <w:pPr>
            <w:pStyle w:val="20"/>
            <w:tabs>
              <w:tab w:val="right" w:leader="dot" w:pos="9355"/>
            </w:tabs>
            <w:spacing w:line="600" w:lineRule="exact"/>
            <w:ind w:left="590" w:firstLine="590"/>
            <w:rPr>
              <w:rFonts w:ascii="楷体" w:hAnsi="楷体" w:eastAsia="楷体" w:cs="楷体"/>
              <w:color w:val="000000" w:themeColor="text1"/>
            </w:rPr>
          </w:pPr>
          <w:r>
            <w:fldChar w:fldCharType="begin"/>
          </w:r>
          <w:r>
            <w:instrText xml:space="preserve"> HYPERLINK \l "_Toc30883" </w:instrText>
          </w:r>
          <w:r>
            <w:fldChar w:fldCharType="separate"/>
          </w:r>
          <w:r>
            <w:rPr>
              <w:rFonts w:hint="eastAsia" w:ascii="楷体" w:hAnsi="楷体" w:eastAsia="楷体" w:cs="楷体"/>
              <w:color w:val="000000" w:themeColor="text1"/>
            </w:rPr>
            <w:t>第三节提升法治建设水平</w:t>
          </w:r>
          <w:r>
            <w:rPr>
              <w:rFonts w:ascii="楷体" w:hAnsi="楷体" w:eastAsia="楷体" w:cs="楷体"/>
              <w:color w:val="000000" w:themeColor="text1"/>
            </w:rPr>
            <w:tab/>
          </w:r>
          <w:r>
            <w:rPr>
              <w:rFonts w:ascii="楷体" w:hAnsi="楷体" w:eastAsia="楷体" w:cs="楷体"/>
              <w:color w:val="000000" w:themeColor="text1"/>
            </w:rPr>
            <w:fldChar w:fldCharType="begin"/>
          </w:r>
          <w:r>
            <w:rPr>
              <w:rFonts w:ascii="楷体" w:hAnsi="楷体" w:eastAsia="楷体" w:cs="楷体"/>
              <w:color w:val="000000" w:themeColor="text1"/>
            </w:rPr>
            <w:instrText xml:space="preserve"> PAGEREF _Toc30883 </w:instrText>
          </w:r>
          <w:r>
            <w:rPr>
              <w:rFonts w:ascii="楷体" w:hAnsi="楷体" w:eastAsia="楷体" w:cs="楷体"/>
              <w:color w:val="000000" w:themeColor="text1"/>
            </w:rPr>
            <w:fldChar w:fldCharType="separate"/>
          </w:r>
          <w:r>
            <w:rPr>
              <w:rFonts w:ascii="楷体" w:hAnsi="楷体" w:eastAsia="楷体" w:cs="楷体"/>
              <w:color w:val="000000" w:themeColor="text1"/>
            </w:rPr>
            <w:t>- 97 -</w:t>
          </w:r>
          <w:r>
            <w:rPr>
              <w:rFonts w:ascii="楷体" w:hAnsi="楷体" w:eastAsia="楷体" w:cs="楷体"/>
              <w:color w:val="000000" w:themeColor="text1"/>
            </w:rPr>
            <w:fldChar w:fldCharType="end"/>
          </w:r>
          <w:r>
            <w:rPr>
              <w:rFonts w:ascii="楷体" w:hAnsi="楷体" w:eastAsia="楷体" w:cs="楷体"/>
              <w:color w:val="000000" w:themeColor="text1"/>
            </w:rPr>
            <w:fldChar w:fldCharType="end"/>
          </w:r>
        </w:p>
        <w:p w14:paraId="7D2AB571">
          <w:pPr>
            <w:pStyle w:val="20"/>
            <w:tabs>
              <w:tab w:val="right" w:leader="dot" w:pos="9355"/>
            </w:tabs>
            <w:spacing w:line="600" w:lineRule="exact"/>
            <w:ind w:left="590" w:firstLine="590"/>
            <w:rPr>
              <w:rFonts w:hint="eastAsia"/>
              <w:color w:val="000000" w:themeColor="text1"/>
            </w:rPr>
          </w:pPr>
          <w:r>
            <w:fldChar w:fldCharType="begin"/>
          </w:r>
          <w:r>
            <w:instrText xml:space="preserve"> HYPERLINK \l "_Toc15183" </w:instrText>
          </w:r>
          <w:r>
            <w:fldChar w:fldCharType="separate"/>
          </w:r>
          <w:r>
            <w:rPr>
              <w:rFonts w:hint="eastAsia" w:ascii="楷体" w:hAnsi="楷体" w:eastAsia="楷体" w:cs="楷体"/>
              <w:color w:val="000000" w:themeColor="text1"/>
            </w:rPr>
            <w:t>第四节加快信用体系建设</w:t>
          </w:r>
          <w:r>
            <w:rPr>
              <w:rFonts w:ascii="楷体" w:hAnsi="楷体" w:eastAsia="楷体" w:cs="楷体"/>
              <w:color w:val="000000" w:themeColor="text1"/>
            </w:rPr>
            <w:tab/>
          </w:r>
          <w:r>
            <w:rPr>
              <w:rFonts w:ascii="楷体" w:hAnsi="楷体" w:eastAsia="楷体" w:cs="楷体"/>
              <w:color w:val="000000" w:themeColor="text1"/>
            </w:rPr>
            <w:fldChar w:fldCharType="begin"/>
          </w:r>
          <w:r>
            <w:rPr>
              <w:rFonts w:ascii="楷体" w:hAnsi="楷体" w:eastAsia="楷体" w:cs="楷体"/>
              <w:color w:val="000000" w:themeColor="text1"/>
            </w:rPr>
            <w:instrText xml:space="preserve"> PAGEREF _Toc15183 </w:instrText>
          </w:r>
          <w:r>
            <w:rPr>
              <w:rFonts w:ascii="楷体" w:hAnsi="楷体" w:eastAsia="楷体" w:cs="楷体"/>
              <w:color w:val="000000" w:themeColor="text1"/>
            </w:rPr>
            <w:fldChar w:fldCharType="separate"/>
          </w:r>
          <w:r>
            <w:rPr>
              <w:rFonts w:ascii="楷体" w:hAnsi="楷体" w:eastAsia="楷体" w:cs="楷体"/>
              <w:color w:val="000000" w:themeColor="text1"/>
            </w:rPr>
            <w:t>- 99 -</w:t>
          </w:r>
          <w:r>
            <w:rPr>
              <w:rFonts w:ascii="楷体" w:hAnsi="楷体" w:eastAsia="楷体" w:cs="楷体"/>
              <w:color w:val="000000" w:themeColor="text1"/>
            </w:rPr>
            <w:fldChar w:fldCharType="end"/>
          </w:r>
          <w:r>
            <w:rPr>
              <w:rFonts w:ascii="楷体" w:hAnsi="楷体" w:eastAsia="楷体" w:cs="楷体"/>
              <w:color w:val="000000" w:themeColor="text1"/>
            </w:rPr>
            <w:fldChar w:fldCharType="end"/>
          </w:r>
        </w:p>
        <w:p w14:paraId="57ECD465">
          <w:pPr>
            <w:pStyle w:val="20"/>
            <w:tabs>
              <w:tab w:val="right" w:leader="dot" w:pos="9355"/>
            </w:tabs>
            <w:spacing w:beforeLines="20" w:afterLines="20" w:line="600" w:lineRule="exact"/>
            <w:ind w:left="590" w:firstLine="0" w:firstLineChars="0"/>
            <w:rPr>
              <w:rFonts w:ascii="黑体" w:hAnsi="黑体" w:cs="黑体"/>
              <w:color w:val="000000" w:themeColor="text1"/>
            </w:rPr>
          </w:pPr>
          <w:r>
            <w:fldChar w:fldCharType="begin"/>
          </w:r>
          <w:r>
            <w:instrText xml:space="preserve"> HYPERLINK \l "_Toc32514" </w:instrText>
          </w:r>
          <w:r>
            <w:fldChar w:fldCharType="separate"/>
          </w:r>
          <w:r>
            <w:rPr>
              <w:rFonts w:hint="eastAsia" w:ascii="黑体" w:hAnsi="黑体" w:cs="黑体"/>
              <w:color w:val="000000" w:themeColor="text1"/>
            </w:rPr>
            <w:t>第十三章强化组织确保规划顺利实施</w:t>
          </w:r>
          <w:r>
            <w:rPr>
              <w:rFonts w:ascii="黑体" w:hAnsi="黑体" w:cs="黑体"/>
              <w:color w:val="000000" w:themeColor="text1"/>
            </w:rPr>
            <w:tab/>
          </w:r>
          <w:r>
            <w:rPr>
              <w:rFonts w:hint="eastAsia" w:ascii="黑体" w:hAnsi="黑体" w:cs="黑体"/>
              <w:color w:val="000000" w:themeColor="text1"/>
            </w:rPr>
            <w:fldChar w:fldCharType="begin"/>
          </w:r>
          <w:r>
            <w:rPr>
              <w:rFonts w:ascii="黑体" w:hAnsi="黑体" w:cs="黑体"/>
              <w:color w:val="000000" w:themeColor="text1"/>
            </w:rPr>
            <w:instrText xml:space="preserve"> PAGEREF _Toc32514 </w:instrText>
          </w:r>
          <w:r>
            <w:rPr>
              <w:rFonts w:hint="eastAsia" w:ascii="黑体" w:hAnsi="黑体" w:cs="黑体"/>
              <w:color w:val="000000" w:themeColor="text1"/>
            </w:rPr>
            <w:fldChar w:fldCharType="separate"/>
          </w:r>
          <w:r>
            <w:rPr>
              <w:rFonts w:ascii="黑体" w:hAnsi="黑体" w:cs="黑体"/>
              <w:color w:val="000000" w:themeColor="text1"/>
            </w:rPr>
            <w:t>- 100 -</w:t>
          </w:r>
          <w:r>
            <w:rPr>
              <w:rFonts w:hint="eastAsia" w:ascii="黑体" w:hAnsi="黑体" w:cs="黑体"/>
              <w:color w:val="000000" w:themeColor="text1"/>
            </w:rPr>
            <w:fldChar w:fldCharType="end"/>
          </w:r>
          <w:r>
            <w:rPr>
              <w:rFonts w:hint="eastAsia" w:ascii="黑体" w:hAnsi="黑体" w:cs="黑体"/>
              <w:color w:val="000000" w:themeColor="text1"/>
            </w:rPr>
            <w:fldChar w:fldCharType="end"/>
          </w:r>
        </w:p>
        <w:p w14:paraId="5DC63EF7">
          <w:pPr>
            <w:pStyle w:val="20"/>
            <w:tabs>
              <w:tab w:val="right" w:leader="dot" w:pos="9355"/>
            </w:tabs>
            <w:spacing w:line="600" w:lineRule="exact"/>
            <w:ind w:left="590" w:firstLine="590"/>
            <w:rPr>
              <w:rFonts w:ascii="楷体" w:hAnsi="楷体" w:eastAsia="楷体" w:cs="楷体"/>
              <w:color w:val="000000" w:themeColor="text1"/>
            </w:rPr>
          </w:pPr>
          <w:r>
            <w:fldChar w:fldCharType="begin"/>
          </w:r>
          <w:r>
            <w:instrText xml:space="preserve"> HYPERLINK \l "_Toc13491" </w:instrText>
          </w:r>
          <w:r>
            <w:fldChar w:fldCharType="separate"/>
          </w:r>
          <w:r>
            <w:rPr>
              <w:rFonts w:hint="eastAsia" w:ascii="楷体" w:hAnsi="楷体" w:eastAsia="楷体" w:cs="楷体"/>
              <w:color w:val="000000" w:themeColor="text1"/>
            </w:rPr>
            <w:t>第一节加强统筹协调</w:t>
          </w:r>
          <w:r>
            <w:rPr>
              <w:rFonts w:ascii="楷体" w:hAnsi="楷体" w:eastAsia="楷体" w:cs="楷体"/>
              <w:color w:val="000000" w:themeColor="text1"/>
            </w:rPr>
            <w:tab/>
          </w:r>
          <w:r>
            <w:rPr>
              <w:rFonts w:ascii="楷体" w:hAnsi="楷体" w:eastAsia="楷体" w:cs="楷体"/>
              <w:color w:val="000000" w:themeColor="text1"/>
            </w:rPr>
            <w:fldChar w:fldCharType="begin"/>
          </w:r>
          <w:r>
            <w:rPr>
              <w:rFonts w:ascii="楷体" w:hAnsi="楷体" w:eastAsia="楷体" w:cs="楷体"/>
              <w:color w:val="000000" w:themeColor="text1"/>
            </w:rPr>
            <w:instrText xml:space="preserve"> PAGEREF _Toc13491 </w:instrText>
          </w:r>
          <w:r>
            <w:rPr>
              <w:rFonts w:ascii="楷体" w:hAnsi="楷体" w:eastAsia="楷体" w:cs="楷体"/>
              <w:color w:val="000000" w:themeColor="text1"/>
            </w:rPr>
            <w:fldChar w:fldCharType="separate"/>
          </w:r>
          <w:r>
            <w:rPr>
              <w:rFonts w:ascii="楷体" w:hAnsi="楷体" w:eastAsia="楷体" w:cs="楷体"/>
              <w:color w:val="000000" w:themeColor="text1"/>
            </w:rPr>
            <w:t>- 100 -</w:t>
          </w:r>
          <w:r>
            <w:rPr>
              <w:rFonts w:ascii="楷体" w:hAnsi="楷体" w:eastAsia="楷体" w:cs="楷体"/>
              <w:color w:val="000000" w:themeColor="text1"/>
            </w:rPr>
            <w:fldChar w:fldCharType="end"/>
          </w:r>
          <w:r>
            <w:rPr>
              <w:rFonts w:ascii="楷体" w:hAnsi="楷体" w:eastAsia="楷体" w:cs="楷体"/>
              <w:color w:val="000000" w:themeColor="text1"/>
            </w:rPr>
            <w:fldChar w:fldCharType="end"/>
          </w:r>
        </w:p>
        <w:p w14:paraId="47A9ED92">
          <w:pPr>
            <w:pStyle w:val="20"/>
            <w:tabs>
              <w:tab w:val="right" w:leader="dot" w:pos="9355"/>
            </w:tabs>
            <w:spacing w:line="600" w:lineRule="exact"/>
            <w:ind w:left="590" w:firstLine="590"/>
            <w:rPr>
              <w:rFonts w:ascii="楷体" w:hAnsi="楷体" w:eastAsia="楷体" w:cs="楷体"/>
              <w:color w:val="000000" w:themeColor="text1"/>
            </w:rPr>
          </w:pPr>
          <w:r>
            <w:fldChar w:fldCharType="begin"/>
          </w:r>
          <w:r>
            <w:instrText xml:space="preserve"> HYPERLINK \l "_Toc25977" </w:instrText>
          </w:r>
          <w:r>
            <w:fldChar w:fldCharType="separate"/>
          </w:r>
          <w:r>
            <w:rPr>
              <w:rFonts w:hint="eastAsia" w:ascii="楷体" w:hAnsi="楷体" w:eastAsia="楷体" w:cs="楷体"/>
              <w:color w:val="000000" w:themeColor="text1"/>
            </w:rPr>
            <w:t>第二节强化要素保障</w:t>
          </w:r>
          <w:r>
            <w:rPr>
              <w:rFonts w:ascii="楷体" w:hAnsi="楷体" w:eastAsia="楷体" w:cs="楷体"/>
              <w:color w:val="000000" w:themeColor="text1"/>
            </w:rPr>
            <w:tab/>
          </w:r>
          <w:r>
            <w:rPr>
              <w:rFonts w:ascii="楷体" w:hAnsi="楷体" w:eastAsia="楷体" w:cs="楷体"/>
              <w:color w:val="000000" w:themeColor="text1"/>
            </w:rPr>
            <w:fldChar w:fldCharType="begin"/>
          </w:r>
          <w:r>
            <w:rPr>
              <w:rFonts w:ascii="楷体" w:hAnsi="楷体" w:eastAsia="楷体" w:cs="楷体"/>
              <w:color w:val="000000" w:themeColor="text1"/>
            </w:rPr>
            <w:instrText xml:space="preserve"> PAGEREF _Toc25977 </w:instrText>
          </w:r>
          <w:r>
            <w:rPr>
              <w:rFonts w:ascii="楷体" w:hAnsi="楷体" w:eastAsia="楷体" w:cs="楷体"/>
              <w:color w:val="000000" w:themeColor="text1"/>
            </w:rPr>
            <w:fldChar w:fldCharType="separate"/>
          </w:r>
          <w:r>
            <w:rPr>
              <w:rFonts w:ascii="楷体" w:hAnsi="楷体" w:eastAsia="楷体" w:cs="楷体"/>
              <w:color w:val="000000" w:themeColor="text1"/>
            </w:rPr>
            <w:t>- 102 -</w:t>
          </w:r>
          <w:r>
            <w:rPr>
              <w:rFonts w:ascii="楷体" w:hAnsi="楷体" w:eastAsia="楷体" w:cs="楷体"/>
              <w:color w:val="000000" w:themeColor="text1"/>
            </w:rPr>
            <w:fldChar w:fldCharType="end"/>
          </w:r>
          <w:r>
            <w:rPr>
              <w:rFonts w:ascii="楷体" w:hAnsi="楷体" w:eastAsia="楷体" w:cs="楷体"/>
              <w:color w:val="000000" w:themeColor="text1"/>
            </w:rPr>
            <w:fldChar w:fldCharType="end"/>
          </w:r>
        </w:p>
        <w:p w14:paraId="54C52B03">
          <w:pPr>
            <w:pStyle w:val="20"/>
            <w:tabs>
              <w:tab w:val="right" w:leader="dot" w:pos="9355"/>
            </w:tabs>
            <w:spacing w:line="600" w:lineRule="exact"/>
            <w:ind w:left="590" w:firstLine="590"/>
            <w:rPr>
              <w:rFonts w:hint="eastAsia"/>
              <w:color w:val="000000" w:themeColor="text1"/>
            </w:rPr>
          </w:pPr>
          <w:r>
            <w:fldChar w:fldCharType="begin"/>
          </w:r>
          <w:r>
            <w:instrText xml:space="preserve"> HYPERLINK \l "_Toc8455" </w:instrText>
          </w:r>
          <w:r>
            <w:fldChar w:fldCharType="separate"/>
          </w:r>
          <w:r>
            <w:rPr>
              <w:rFonts w:hint="eastAsia" w:ascii="楷体" w:hAnsi="楷体" w:eastAsia="楷体" w:cs="楷体"/>
              <w:color w:val="000000" w:themeColor="text1"/>
            </w:rPr>
            <w:t>第三节强化监督考核</w:t>
          </w:r>
          <w:r>
            <w:rPr>
              <w:rFonts w:ascii="楷体" w:hAnsi="楷体" w:eastAsia="楷体" w:cs="楷体"/>
              <w:color w:val="000000" w:themeColor="text1"/>
            </w:rPr>
            <w:tab/>
          </w:r>
          <w:r>
            <w:rPr>
              <w:rFonts w:ascii="楷体" w:hAnsi="楷体" w:eastAsia="楷体" w:cs="楷体"/>
              <w:color w:val="000000" w:themeColor="text1"/>
            </w:rPr>
            <w:fldChar w:fldCharType="begin"/>
          </w:r>
          <w:r>
            <w:rPr>
              <w:rFonts w:ascii="楷体" w:hAnsi="楷体" w:eastAsia="楷体" w:cs="楷体"/>
              <w:color w:val="000000" w:themeColor="text1"/>
            </w:rPr>
            <w:instrText xml:space="preserve"> PAGEREF _Toc8455 </w:instrText>
          </w:r>
          <w:r>
            <w:rPr>
              <w:rFonts w:ascii="楷体" w:hAnsi="楷体" w:eastAsia="楷体" w:cs="楷体"/>
              <w:color w:val="000000" w:themeColor="text1"/>
            </w:rPr>
            <w:fldChar w:fldCharType="separate"/>
          </w:r>
          <w:r>
            <w:rPr>
              <w:rFonts w:ascii="楷体" w:hAnsi="楷体" w:eastAsia="楷体" w:cs="楷体"/>
              <w:color w:val="000000" w:themeColor="text1"/>
            </w:rPr>
            <w:t>- 103 -</w:t>
          </w:r>
          <w:r>
            <w:rPr>
              <w:rFonts w:ascii="楷体" w:hAnsi="楷体" w:eastAsia="楷体" w:cs="楷体"/>
              <w:color w:val="000000" w:themeColor="text1"/>
            </w:rPr>
            <w:fldChar w:fldCharType="end"/>
          </w:r>
          <w:r>
            <w:rPr>
              <w:rFonts w:ascii="楷体" w:hAnsi="楷体" w:eastAsia="楷体" w:cs="楷体"/>
              <w:color w:val="000000" w:themeColor="text1"/>
            </w:rPr>
            <w:fldChar w:fldCharType="end"/>
          </w:r>
        </w:p>
        <w:p w14:paraId="30284628">
          <w:pPr>
            <w:pStyle w:val="33"/>
            <w:tabs>
              <w:tab w:val="right" w:leader="dot" w:pos="9355"/>
            </w:tabs>
            <w:spacing w:line="600" w:lineRule="exact"/>
            <w:ind w:left="590"/>
            <w:rPr>
              <w:color w:val="000000" w:themeColor="text1"/>
            </w:rPr>
          </w:pPr>
          <w:r>
            <w:rPr>
              <w:color w:val="000000" w:themeColor="text1"/>
            </w:rPr>
            <w:fldChar w:fldCharType="end"/>
          </w:r>
        </w:p>
      </w:sdtContent>
    </w:sdt>
    <w:p w14:paraId="18588A7E">
      <w:pPr>
        <w:spacing w:line="600" w:lineRule="exact"/>
        <w:ind w:firstLine="590"/>
        <w:rPr>
          <w:rFonts w:hint="eastAsia"/>
          <w:color w:val="000000" w:themeColor="text1"/>
        </w:rPr>
      </w:pPr>
      <w:bookmarkStart w:id="22" w:name="_Toc26821"/>
    </w:p>
    <w:p w14:paraId="120E3823">
      <w:pPr>
        <w:pStyle w:val="6"/>
        <w:spacing w:line="600" w:lineRule="exact"/>
        <w:ind w:firstLine="670"/>
        <w:jc w:val="center"/>
        <w:rPr>
          <w:color w:val="000000" w:themeColor="text1"/>
        </w:rPr>
        <w:sectPr>
          <w:footerReference r:id="rId11" w:type="default"/>
          <w:pgSz w:w="11906" w:h="16838"/>
          <w:pgMar w:top="1417" w:right="1134" w:bottom="1134" w:left="1417" w:header="851" w:footer="992" w:gutter="0"/>
          <w:pgNumType w:fmt="upperRoman" w:start="1"/>
          <w:cols w:space="0" w:num="1"/>
          <w:docGrid w:type="linesAndChars" w:linePitch="585" w:charSpace="3031"/>
        </w:sectPr>
      </w:pPr>
      <w:bookmarkStart w:id="23" w:name="_Toc11757"/>
    </w:p>
    <w:p w14:paraId="0D65D971">
      <w:pPr>
        <w:pStyle w:val="6"/>
        <w:spacing w:line="600" w:lineRule="exact"/>
        <w:ind w:firstLine="0" w:firstLineChars="0"/>
        <w:jc w:val="center"/>
        <w:rPr>
          <w:color w:val="000000" w:themeColor="text1"/>
        </w:rPr>
      </w:pPr>
      <w:r>
        <w:rPr>
          <w:rFonts w:hint="eastAsia"/>
          <w:color w:val="000000" w:themeColor="text1"/>
        </w:rPr>
        <w:t>序   言</w:t>
      </w:r>
      <w:bookmarkEnd w:id="12"/>
      <w:bookmarkEnd w:id="13"/>
      <w:bookmarkEnd w:id="14"/>
      <w:bookmarkEnd w:id="15"/>
      <w:bookmarkEnd w:id="16"/>
      <w:bookmarkEnd w:id="22"/>
      <w:bookmarkEnd w:id="23"/>
    </w:p>
    <w:p w14:paraId="766630DE">
      <w:pPr>
        <w:adjustRightInd w:val="0"/>
        <w:snapToGrid w:val="0"/>
        <w:spacing w:line="600" w:lineRule="exact"/>
        <w:ind w:firstLine="67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“十四五”时期（2021—2025年）是盘山县“谋求转型升级、全面振兴发展”的重要机遇期，是融入国内国际双循环发展新格局、塑造综合发展新优势、开启社会主义现代化新征程、实现历史新跨越的重要窗口期。</w:t>
      </w:r>
    </w:p>
    <w:p w14:paraId="29FBDAD3">
      <w:pPr>
        <w:adjustRightInd w:val="0"/>
        <w:snapToGrid w:val="0"/>
        <w:spacing w:line="600" w:lineRule="exact"/>
        <w:ind w:firstLine="67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根据《中共盘山县委关于制定盘山县国民经济和社会发展第十四个五年规划和二○三五年远景目标的建议》，编制《盘山县国民经济和社会发展第十四个五年规划和二○三五年远景目标纲要》（以下简称《纲要》）。</w:t>
      </w:r>
    </w:p>
    <w:p w14:paraId="713FB319">
      <w:pPr>
        <w:adjustRightInd w:val="0"/>
        <w:snapToGrid w:val="0"/>
        <w:spacing w:line="600" w:lineRule="exact"/>
        <w:ind w:firstLine="67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纲要》是对未来五年盘山县全面迈向社会主义现代化建设新目标，切实转变发展新动能，实现“绿色转型、全面振兴”新跨越，打造社会主义现代化建设示范县做出的重大部署，是全县人民为之奋斗的共同行动纲领。科学制定和实施《纲要》对盘山县全面开启社会主义现代化新征程，实现高质量发展新目标具有非常重要的现实意义。</w:t>
      </w:r>
    </w:p>
    <w:p w14:paraId="4982FF36">
      <w:pPr>
        <w:pStyle w:val="11"/>
        <w:spacing w:line="600" w:lineRule="exact"/>
        <w:ind w:firstLine="670"/>
        <w:rPr>
          <w:rFonts w:asciiTheme="minorEastAsia" w:hAnsiTheme="minorEastAsia" w:eastAsiaTheme="minorEastAsia" w:cstheme="minorEastAsia"/>
          <w:color w:val="000000" w:themeColor="text1"/>
          <w:szCs w:val="28"/>
        </w:rPr>
      </w:pPr>
    </w:p>
    <w:p w14:paraId="621189F1">
      <w:pPr>
        <w:spacing w:line="600" w:lineRule="exact"/>
        <w:ind w:firstLine="590"/>
        <w:rPr>
          <w:rFonts w:hint="eastAsia"/>
          <w:color w:val="000000" w:themeColor="text1"/>
        </w:rPr>
      </w:pPr>
    </w:p>
    <w:p w14:paraId="11E93351">
      <w:pPr>
        <w:spacing w:line="600" w:lineRule="exact"/>
        <w:ind w:firstLine="590"/>
        <w:rPr>
          <w:rFonts w:hint="eastAsia"/>
          <w:color w:val="000000" w:themeColor="text1"/>
        </w:rPr>
      </w:pPr>
    </w:p>
    <w:bookmarkEnd w:id="17"/>
    <w:bookmarkEnd w:id="18"/>
    <w:bookmarkEnd w:id="19"/>
    <w:bookmarkEnd w:id="20"/>
    <w:bookmarkEnd w:id="21"/>
    <w:p w14:paraId="55B8102C">
      <w:pPr>
        <w:pStyle w:val="6"/>
        <w:spacing w:line="600" w:lineRule="exact"/>
        <w:ind w:firstLine="0" w:firstLineChars="0"/>
        <w:jc w:val="center"/>
        <w:rPr>
          <w:color w:val="000000" w:themeColor="text1"/>
          <w:sz w:val="36"/>
          <w:szCs w:val="36"/>
        </w:rPr>
      </w:pPr>
      <w:bookmarkStart w:id="24" w:name="_Toc27662"/>
      <w:bookmarkStart w:id="25" w:name="_Toc29947"/>
      <w:bookmarkStart w:id="26" w:name="_Toc31344"/>
      <w:bookmarkStart w:id="27" w:name="_Toc10853"/>
      <w:bookmarkStart w:id="28" w:name="_Toc11654"/>
      <w:bookmarkStart w:id="29" w:name="_Toc31172"/>
      <w:bookmarkStart w:id="30" w:name="_Toc27382"/>
      <w:bookmarkStart w:id="31" w:name="_Toc26390"/>
      <w:r>
        <w:rPr>
          <w:rFonts w:hint="eastAsia"/>
          <w:color w:val="000000" w:themeColor="text1"/>
          <w:sz w:val="36"/>
          <w:szCs w:val="36"/>
        </w:rPr>
        <w:t>第一章 转型升级 盘山县高质量发展的战略抉择</w:t>
      </w:r>
      <w:bookmarkEnd w:id="24"/>
      <w:bookmarkEnd w:id="25"/>
      <w:bookmarkEnd w:id="26"/>
      <w:bookmarkEnd w:id="27"/>
      <w:bookmarkEnd w:id="28"/>
      <w:bookmarkEnd w:id="29"/>
      <w:bookmarkEnd w:id="30"/>
      <w:bookmarkEnd w:id="31"/>
    </w:p>
    <w:p w14:paraId="63CB090B">
      <w:pPr>
        <w:pStyle w:val="7"/>
        <w:spacing w:line="600" w:lineRule="exact"/>
        <w:ind w:firstLine="0" w:firstLineChars="0"/>
        <w:jc w:val="center"/>
        <w:rPr>
          <w:rFonts w:ascii="黑体" w:hAnsi="黑体" w:cs="黑体"/>
          <w:color w:val="000000" w:themeColor="text1"/>
        </w:rPr>
      </w:pPr>
      <w:bookmarkStart w:id="32" w:name="_Toc32480"/>
      <w:bookmarkStart w:id="33" w:name="_Toc28767"/>
      <w:bookmarkStart w:id="34" w:name="_Toc28376"/>
      <w:bookmarkStart w:id="35" w:name="_Toc18987"/>
      <w:bookmarkStart w:id="36" w:name="_Toc20726"/>
      <w:bookmarkStart w:id="37" w:name="_Toc23510"/>
      <w:bookmarkStart w:id="38" w:name="_Toc4207"/>
      <w:bookmarkStart w:id="39" w:name="_Toc22918"/>
      <w:r>
        <w:rPr>
          <w:rFonts w:hint="eastAsia" w:ascii="黑体" w:hAnsi="黑体" w:cs="黑体"/>
          <w:color w:val="000000" w:themeColor="text1"/>
        </w:rPr>
        <w:t>第一节“十三五”发展成就</w:t>
      </w:r>
      <w:bookmarkEnd w:id="32"/>
      <w:bookmarkEnd w:id="33"/>
      <w:bookmarkEnd w:id="34"/>
      <w:bookmarkEnd w:id="35"/>
      <w:bookmarkEnd w:id="36"/>
      <w:bookmarkEnd w:id="37"/>
      <w:bookmarkEnd w:id="38"/>
      <w:bookmarkEnd w:id="39"/>
    </w:p>
    <w:p w14:paraId="28C274A9">
      <w:pPr>
        <w:adjustRightInd w:val="0"/>
        <w:snapToGrid w:val="0"/>
        <w:spacing w:line="600" w:lineRule="exact"/>
        <w:ind w:firstLine="63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十三五”时期，县委、县政府带领全县人民，坚持以习近平新时代中国特色社会主义思想为指导，深入贯彻落实习近平总书记关于东北振兴，尤其是辽宁振兴的系列重要讲话和指示批示精神，顽强拼搏、开拓创新，以项目聚集能量，以改革释放红利，以创新推动发展，攻坚克难，锐意进取，经济社会呈现出“发展提速、效益提升、民生改善、大局稳定”的良好态势，圆满完成了“十三五”全面建成小康社会的目标任务，绘就了盘山经济社会高质量发展的新画卷。</w:t>
      </w:r>
    </w:p>
    <w:p w14:paraId="4CD67738">
      <w:pPr>
        <w:pStyle w:val="8"/>
        <w:spacing w:line="600" w:lineRule="exact"/>
        <w:ind w:firstLine="672"/>
        <w:rPr>
          <w:rFonts w:hint="eastAsia" w:ascii="楷体_GB2312" w:hAnsi="方正楷体_GBK" w:cs="方正楷体_GBK"/>
          <w:color w:val="000000" w:themeColor="text1"/>
          <w:szCs w:val="32"/>
        </w:rPr>
      </w:pPr>
      <w:r>
        <w:rPr>
          <w:rFonts w:hint="eastAsia" w:ascii="楷体_GB2312" w:hAnsi="方正楷体_GBK" w:cs="方正楷体_GBK"/>
          <w:color w:val="000000" w:themeColor="text1"/>
          <w:szCs w:val="32"/>
        </w:rPr>
        <w:t>一、经济发展取得新质效</w:t>
      </w:r>
    </w:p>
    <w:p w14:paraId="6BE32C34">
      <w:pPr>
        <w:adjustRightInd w:val="0"/>
        <w:snapToGrid w:val="0"/>
        <w:spacing w:line="600" w:lineRule="exact"/>
        <w:ind w:firstLine="63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过去五年，是盘山经济运行稳中求进，实现健康快速发展的五年。我们凝心聚力、阔步向前，持续推动经济主体规模做大、质量做优，经济效益成绩斐然。五年来，共实施项目</w:t>
      </w:r>
      <w:r>
        <w:rPr>
          <w:rFonts w:ascii="仿宋_GB2312" w:hAnsi="仿宋_GB2312" w:eastAsia="仿宋_GB2312" w:cs="仿宋_GB2312"/>
          <w:color w:val="000000" w:themeColor="text1"/>
          <w:sz w:val="30"/>
          <w:szCs w:val="30"/>
        </w:rPr>
        <w:t>706</w:t>
      </w:r>
      <w:r>
        <w:rPr>
          <w:rFonts w:hint="eastAsia" w:ascii="仿宋_GB2312" w:hAnsi="仿宋_GB2312" w:eastAsia="仿宋_GB2312" w:cs="仿宋_GB2312"/>
          <w:color w:val="000000" w:themeColor="text1"/>
          <w:sz w:val="30"/>
          <w:szCs w:val="30"/>
        </w:rPr>
        <w:t>个，固定资产投资累计实现</w:t>
      </w:r>
      <w:r>
        <w:rPr>
          <w:rFonts w:ascii="仿宋_GB2312" w:hAnsi="仿宋_GB2312" w:eastAsia="仿宋_GB2312" w:cs="仿宋_GB2312"/>
          <w:color w:val="000000" w:themeColor="text1"/>
          <w:sz w:val="30"/>
          <w:szCs w:val="30"/>
        </w:rPr>
        <w:t>549亿元。2020年，</w:t>
      </w:r>
      <w:r>
        <w:rPr>
          <w:rFonts w:hint="eastAsia" w:ascii="仿宋_GB2312" w:hAnsi="仿宋_GB2312" w:eastAsia="仿宋_GB2312" w:cs="仿宋_GB2312"/>
          <w:color w:val="000000" w:themeColor="text1"/>
          <w:sz w:val="30"/>
          <w:szCs w:val="30"/>
        </w:rPr>
        <w:t>一般公共财政预算收入达到</w:t>
      </w:r>
      <w:r>
        <w:rPr>
          <w:rFonts w:ascii="仿宋_GB2312" w:hAnsi="仿宋_GB2312" w:eastAsia="仿宋_GB2312" w:cs="仿宋_GB2312"/>
          <w:color w:val="000000" w:themeColor="text1"/>
          <w:sz w:val="30"/>
          <w:szCs w:val="30"/>
        </w:rPr>
        <w:t>27</w:t>
      </w:r>
      <w:r>
        <w:rPr>
          <w:rFonts w:hint="eastAsia" w:ascii="仿宋_GB2312" w:hAnsi="仿宋_GB2312" w:eastAsia="仿宋_GB2312" w:cs="仿宋_GB2312"/>
          <w:color w:val="000000" w:themeColor="text1"/>
          <w:sz w:val="30"/>
          <w:szCs w:val="30"/>
        </w:rPr>
        <w:t>亿元，年均增长</w:t>
      </w:r>
      <w:r>
        <w:rPr>
          <w:rFonts w:ascii="仿宋_GB2312" w:hAnsi="仿宋_GB2312" w:eastAsia="仿宋_GB2312" w:cs="仿宋_GB2312"/>
          <w:color w:val="000000" w:themeColor="text1"/>
          <w:sz w:val="30"/>
          <w:szCs w:val="30"/>
        </w:rPr>
        <w:t>28.7%</w:t>
      </w:r>
      <w:r>
        <w:rPr>
          <w:rFonts w:hint="eastAsia" w:ascii="仿宋_GB2312" w:hAnsi="仿宋_GB2312" w:eastAsia="仿宋_GB2312" w:cs="仿宋_GB2312"/>
          <w:color w:val="000000" w:themeColor="text1"/>
          <w:sz w:val="30"/>
          <w:szCs w:val="30"/>
        </w:rPr>
        <w:t>，是</w:t>
      </w:r>
      <w:r>
        <w:rPr>
          <w:rFonts w:ascii="仿宋_GB2312" w:hAnsi="仿宋_GB2312" w:eastAsia="仿宋_GB2312" w:cs="仿宋_GB2312"/>
          <w:color w:val="000000" w:themeColor="text1"/>
          <w:sz w:val="30"/>
          <w:szCs w:val="30"/>
        </w:rPr>
        <w:t>2015年的3.5倍</w:t>
      </w:r>
      <w:r>
        <w:rPr>
          <w:rFonts w:hint="eastAsia" w:ascii="仿宋_GB2312" w:hAnsi="仿宋_GB2312" w:eastAsia="仿宋_GB2312" w:cs="仿宋_GB2312"/>
          <w:color w:val="000000" w:themeColor="text1"/>
          <w:sz w:val="30"/>
          <w:szCs w:val="30"/>
        </w:rPr>
        <w:t>；全县地区生产总值达到</w:t>
      </w:r>
      <w:r>
        <w:rPr>
          <w:rFonts w:ascii="仿宋_GB2312" w:hAnsi="仿宋_GB2312" w:eastAsia="仿宋_GB2312" w:cs="仿宋_GB2312"/>
          <w:color w:val="000000" w:themeColor="text1"/>
          <w:sz w:val="30"/>
          <w:szCs w:val="30"/>
        </w:rPr>
        <w:t>201.7亿元，年均增长7.7%；</w:t>
      </w:r>
      <w:r>
        <w:rPr>
          <w:rFonts w:hint="eastAsia" w:ascii="仿宋_GB2312" w:hAnsi="仿宋_GB2312" w:eastAsia="仿宋_GB2312" w:cs="仿宋_GB2312"/>
          <w:color w:val="000000" w:themeColor="text1"/>
          <w:sz w:val="30"/>
          <w:szCs w:val="30"/>
        </w:rPr>
        <w:t>社会消费品零售总额达到</w:t>
      </w:r>
      <w:r>
        <w:rPr>
          <w:rFonts w:ascii="仿宋_GB2312" w:hAnsi="仿宋_GB2312" w:eastAsia="仿宋_GB2312" w:cs="仿宋_GB2312"/>
          <w:color w:val="000000" w:themeColor="text1"/>
          <w:sz w:val="30"/>
          <w:szCs w:val="30"/>
        </w:rPr>
        <w:t>29.1</w:t>
      </w:r>
      <w:r>
        <w:rPr>
          <w:rFonts w:hint="eastAsia" w:ascii="仿宋_GB2312" w:hAnsi="仿宋_GB2312" w:eastAsia="仿宋_GB2312" w:cs="仿宋_GB2312"/>
          <w:color w:val="000000" w:themeColor="text1"/>
          <w:sz w:val="30"/>
          <w:szCs w:val="30"/>
        </w:rPr>
        <w:t>亿元，年均增长</w:t>
      </w:r>
      <w:r>
        <w:rPr>
          <w:rFonts w:ascii="仿宋_GB2312" w:hAnsi="仿宋_GB2312" w:eastAsia="仿宋_GB2312" w:cs="仿宋_GB2312"/>
          <w:color w:val="000000" w:themeColor="text1"/>
          <w:sz w:val="30"/>
          <w:szCs w:val="30"/>
        </w:rPr>
        <w:t>1.5%</w:t>
      </w:r>
      <w:r>
        <w:rPr>
          <w:rFonts w:hint="eastAsia" w:ascii="仿宋_GB2312" w:hAnsi="仿宋_GB2312" w:eastAsia="仿宋_GB2312" w:cs="仿宋_GB2312"/>
          <w:color w:val="000000" w:themeColor="text1"/>
          <w:sz w:val="30"/>
          <w:szCs w:val="30"/>
        </w:rPr>
        <w:t>；农村居民人均可支配收入达到</w:t>
      </w:r>
      <w:r>
        <w:rPr>
          <w:rFonts w:ascii="仿宋_GB2312" w:hAnsi="仿宋_GB2312" w:eastAsia="仿宋_GB2312" w:cs="仿宋_GB2312"/>
          <w:color w:val="000000" w:themeColor="text1"/>
          <w:sz w:val="30"/>
          <w:szCs w:val="30"/>
        </w:rPr>
        <w:t>21190元，年均增长8.5%；</w:t>
      </w:r>
      <w:r>
        <w:rPr>
          <w:rFonts w:hint="eastAsia" w:ascii="仿宋_GB2312" w:hAnsi="仿宋_GB2312" w:eastAsia="仿宋_GB2312" w:cs="仿宋_GB2312"/>
          <w:color w:val="000000" w:themeColor="text1"/>
          <w:sz w:val="30"/>
          <w:szCs w:val="30"/>
        </w:rPr>
        <w:t>高水平全面建成小康社会，在全省</w:t>
      </w:r>
      <w:r>
        <w:rPr>
          <w:rFonts w:ascii="仿宋_GB2312" w:hAnsi="仿宋_GB2312" w:eastAsia="仿宋_GB2312" w:cs="仿宋_GB2312"/>
          <w:color w:val="000000" w:themeColor="text1"/>
          <w:sz w:val="30"/>
          <w:szCs w:val="30"/>
        </w:rPr>
        <w:t>41个县（市）综合考评位居前列。</w:t>
      </w:r>
    </w:p>
    <w:p w14:paraId="54AE2336">
      <w:pPr>
        <w:pStyle w:val="8"/>
        <w:spacing w:line="600" w:lineRule="exact"/>
        <w:ind w:firstLine="672"/>
        <w:rPr>
          <w:color w:val="000000" w:themeColor="text1"/>
        </w:rPr>
      </w:pPr>
      <w:r>
        <w:rPr>
          <w:rFonts w:hint="eastAsia"/>
          <w:color w:val="000000" w:themeColor="text1"/>
        </w:rPr>
        <w:t>二、转型升级实现新跨越</w:t>
      </w:r>
    </w:p>
    <w:p w14:paraId="2F5DF36F">
      <w:pPr>
        <w:adjustRightInd w:val="0"/>
        <w:snapToGrid w:val="0"/>
        <w:spacing w:line="600" w:lineRule="exact"/>
        <w:ind w:firstLine="630"/>
        <w:jc w:val="left"/>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过去五年，是产业发展综合集聚优势、品牌优势不断凸显的五年。我们振奋精神、奋发有为，石化及精细化工、新材料、农产品精深加工、电商物流等产业蓬勃发展，多点支撑、多元发展的产业发展新格局基本形成。</w:t>
      </w:r>
    </w:p>
    <w:p w14:paraId="1E4485B6">
      <w:pPr>
        <w:adjustRightInd w:val="0"/>
        <w:snapToGrid w:val="0"/>
        <w:spacing w:line="600" w:lineRule="exact"/>
        <w:ind w:firstLine="630"/>
        <w:jc w:val="left"/>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品牌农业助力赋能。“蟹米之乡”国内驰名，再创农业发展新优势。全县粮食总产量稳定在10亿斤左右，成为全国优质稻米主产区之一，全县水稻“三品”认证面积达到50多万亩；河蟹年平均产量5万吨左右；全县农业认证产品20个，注册商标523个，取得了“国家现代农业示范区农业改革与建设试点县”、“国家农村产业融合发展示范园”等荣誉称号。</w:t>
      </w:r>
    </w:p>
    <w:p w14:paraId="0B246A48">
      <w:pPr>
        <w:adjustRightInd w:val="0"/>
        <w:snapToGrid w:val="0"/>
        <w:spacing w:line="600" w:lineRule="exact"/>
        <w:ind w:firstLine="630"/>
        <w:jc w:val="left"/>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工业经济聚势发力。龙头企业聚集引领作用凸显，石化及精细化工产业持续走强。全县规模以上工业企业达到76家，其中宝来生物、浩业化工2019年跨入全国民营企业500强，2020年再跨越，分列榜单第106名和第237名。新能源、新材料产业加快集聚，其中辽宁新材料产业经济开发区、盘锦高升经济区汇聚工业企业达到149家，比2015年增加101家。</w:t>
      </w:r>
    </w:p>
    <w:p w14:paraId="72AC1FBC">
      <w:pPr>
        <w:adjustRightInd w:val="0"/>
        <w:snapToGrid w:val="0"/>
        <w:spacing w:line="600" w:lineRule="exact"/>
        <w:ind w:firstLine="630"/>
        <w:jc w:val="left"/>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现代服务业蓄势储能。全域旅游创建初具雏形，盘锦特产博物园、绕阳湖、锦绣花谷等旅游景点逐步成型，乡村旅游、休闲农业等新业态崭露头角。现代物流产业蓬勃发展，盘山县成为全省唯一获批的物流标准化试点县、跨境电商综合试验区；东北快递（电商）物流产业园连续三年被评为国家优秀物流园区，被省商务厅认定为省级仓储和商贸物流园智能化建设试点企业；天天好德石化网纳入国家商务部重点电商企业统计名录。</w:t>
      </w:r>
    </w:p>
    <w:p w14:paraId="5EA3C0DD">
      <w:pPr>
        <w:pStyle w:val="8"/>
        <w:spacing w:line="600" w:lineRule="exact"/>
        <w:ind w:firstLine="672"/>
        <w:rPr>
          <w:color w:val="000000" w:themeColor="text1"/>
        </w:rPr>
      </w:pPr>
      <w:r>
        <w:rPr>
          <w:rFonts w:hint="eastAsia"/>
          <w:color w:val="000000" w:themeColor="text1"/>
        </w:rPr>
        <w:t>三、城乡建设开创新局面</w:t>
      </w:r>
    </w:p>
    <w:p w14:paraId="30397363">
      <w:pPr>
        <w:adjustRightInd w:val="0"/>
        <w:snapToGrid w:val="0"/>
        <w:spacing w:line="600" w:lineRule="exact"/>
        <w:ind w:firstLine="63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过去五年，是盘山加快城乡一体化进程，推进全方位乡村振兴的五年。我们不忘初心、砥砺前行，乡村治理成效显著，城乡统筹发展格局基本形成。“城有枢纽、镇有站点、村有站亭”的立体综合交通体系基本成型。农村人居环境不断改善。全域化道路、燃气、小污工程、大型畜禽规模养殖场粪污处理设施持续完善，成功打造得胜村、南锅村等省级美丽示范村试点。新改建及维修改造农村公路</w:t>
      </w:r>
      <w:r>
        <w:rPr>
          <w:rFonts w:ascii="仿宋_GB2312" w:hAnsi="仿宋_GB2312" w:eastAsia="仿宋_GB2312" w:cs="仿宋_GB2312"/>
          <w:color w:val="000000" w:themeColor="text1"/>
          <w:sz w:val="30"/>
          <w:szCs w:val="30"/>
        </w:rPr>
        <w:t>417.5公里，新建5个镇级中转站、7个村级服务站、289个农村候车亭，在全市率先完成通乡通村公路工程，2017年获得全省“四好农村路建设示范县”称号，2019年获得全国“四好农村路建设示范县”称号。京抚线、中盘线、庄西线等主要道路初步建成</w:t>
      </w:r>
      <w:r>
        <w:rPr>
          <w:rFonts w:hint="eastAsia" w:ascii="仿宋_GB2312" w:hAnsi="仿宋_GB2312" w:eastAsia="仿宋_GB2312" w:cs="仿宋_GB2312"/>
          <w:color w:val="000000" w:themeColor="text1"/>
          <w:sz w:val="30"/>
          <w:szCs w:val="30"/>
        </w:rPr>
        <w:t>，城市功能不断完善。建成了滨河北路等</w:t>
      </w:r>
      <w:r>
        <w:rPr>
          <w:rFonts w:ascii="仿宋_GB2312" w:hAnsi="仿宋_GB2312" w:eastAsia="仿宋_GB2312" w:cs="仿宋_GB2312"/>
          <w:color w:val="000000" w:themeColor="text1"/>
          <w:sz w:val="30"/>
          <w:szCs w:val="30"/>
        </w:rPr>
        <w:t>12条城市道路；曙光北路污水管线、府北大街污水泵站等污水处理设施建成并投入使用；城区餐厨垃圾实现统一收运。</w:t>
      </w:r>
    </w:p>
    <w:p w14:paraId="212B76AA">
      <w:pPr>
        <w:pStyle w:val="8"/>
        <w:spacing w:line="600" w:lineRule="exact"/>
        <w:ind w:firstLine="672"/>
        <w:rPr>
          <w:color w:val="000000" w:themeColor="text1"/>
        </w:rPr>
      </w:pPr>
      <w:r>
        <w:rPr>
          <w:rFonts w:hint="eastAsia"/>
          <w:color w:val="000000" w:themeColor="text1"/>
        </w:rPr>
        <w:t>四、体制改革取得新进展</w:t>
      </w:r>
    </w:p>
    <w:p w14:paraId="4C99E8C5">
      <w:pPr>
        <w:adjustRightInd w:val="0"/>
        <w:snapToGrid w:val="0"/>
        <w:spacing w:line="600" w:lineRule="exact"/>
        <w:ind w:firstLine="63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过去五年，是盘山深化改革，发展活力不断迸发的五年。我们锐意创新、开拓进取，“放管服”改革持续突破，政务服务“一张网”建设全速推进。新一轮政府机构改革全面完成，承接市下放职权308项，取消行政职权242项，下放行政职权238项。事业单位分类改革、国有企业混合所有制改革实现新突破，其中，县国有资产经营有限公司与华锦集团塑料分公司合作顺利签约。农村集体产权制度改革稳步推进，68个村完成集体经济组织成员界定和股权设置、资产量化、股东清册编制。深入开展“一网、一门、一次”改革，整建制入驻政务大厅。全县2488个事项进入省政务服务网，474个事项入驻县级大厅集中办理，100个高频事项实现“最多跑一次”。连续三年入选赛迪营商环境百强县；连续两年入选全国投资潜力百强县（市），2020年首次进入全国十强，位列全国第三。</w:t>
      </w:r>
    </w:p>
    <w:p w14:paraId="77A93F00">
      <w:pPr>
        <w:pStyle w:val="8"/>
        <w:spacing w:line="600" w:lineRule="exact"/>
        <w:ind w:firstLine="672"/>
        <w:rPr>
          <w:color w:val="000000" w:themeColor="text1"/>
        </w:rPr>
      </w:pPr>
      <w:r>
        <w:rPr>
          <w:rFonts w:hint="eastAsia"/>
          <w:color w:val="000000" w:themeColor="text1"/>
        </w:rPr>
        <w:t>五、社会治理取得新效能</w:t>
      </w:r>
    </w:p>
    <w:p w14:paraId="131299FC">
      <w:pPr>
        <w:adjustRightInd w:val="0"/>
        <w:snapToGrid w:val="0"/>
        <w:spacing w:line="600" w:lineRule="exact"/>
        <w:ind w:firstLine="63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过去五年，是盘山全面依法治理，行政效能全面提升的五年。我们听党指挥、依法行政，坚持党的全面领导，着力建设廉洁型、服务型、法治型政府，治理现代化水平显著提升。积极应对“疫情大考”，以全县“零疫情”的成绩，向党和人民交上满意答卷。创新矛盾化解工作机制，共化解信访积案2781件。狠抓安全生产监管，全县未发生一起较大以上安全生产事故。坚持扫黑除恶，深入推进平安创建，人民群众安全感、满意度大幅提升。着力解决“两不愁、三保障”突出问题，持续保持全县建档立卡贫困户动态为零。全国首创“盘山安全APP学习平台”正式上线，安全应急管理拓展新渠道，“3+2+1+N”应急治理体系初步形成。扎实开展“解放思想大讨论”活动，认真办好“干部大讲堂”，党员干部政治素质和履职能力进一步提高。坚持正确用人导向，按照“五好”标准和“四铁”要求，驰而不息纠正“四风”，持续开展“领头雁”培训，对56个软弱涣散村党组织进行集中整顿和精准帮扶，逐村选派了第一书记，基层党组织战斗堡垒作用明显增强。</w:t>
      </w:r>
    </w:p>
    <w:p w14:paraId="7A5397EB">
      <w:pPr>
        <w:pStyle w:val="8"/>
        <w:spacing w:line="600" w:lineRule="exact"/>
        <w:ind w:firstLine="672"/>
        <w:rPr>
          <w:color w:val="000000" w:themeColor="text1"/>
        </w:rPr>
      </w:pPr>
      <w:r>
        <w:rPr>
          <w:rFonts w:hint="eastAsia"/>
          <w:color w:val="000000" w:themeColor="text1"/>
        </w:rPr>
        <w:t>六、生态文明取得新突破</w:t>
      </w:r>
    </w:p>
    <w:p w14:paraId="26EE06F4">
      <w:pPr>
        <w:adjustRightInd w:val="0"/>
        <w:snapToGrid w:val="0"/>
        <w:spacing w:line="600" w:lineRule="exact"/>
        <w:ind w:firstLine="63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过去五年，是盘山加大环境整治和生态修复力度，生态环境质量持续向好的五年。我们多措并举、攻坚克难，坚持把生态文明建设放在突出位置，绿色生态、宜游宜居的美丽新盘山形象初步显现。城市环境空气质量改善情况在市内各县区排名第一，空气良好率最高达87.1%，城市人均绿地面积7平方米，建成区绿化覆盖率30%，人均公园绿地面积达23平方米。全面落实“河长制”、“湖长制”，水质状况不断改善。重点企业排放达标率、主城区生活污水集中处理率均为</w:t>
      </w:r>
      <w:r>
        <w:rPr>
          <w:rFonts w:ascii="仿宋_GB2312" w:hAnsi="仿宋_GB2312" w:eastAsia="仿宋_GB2312" w:cs="仿宋_GB2312"/>
          <w:color w:val="000000" w:themeColor="text1"/>
          <w:sz w:val="30"/>
          <w:szCs w:val="30"/>
        </w:rPr>
        <w:t>100%</w:t>
      </w:r>
      <w:r>
        <w:rPr>
          <w:rFonts w:hint="eastAsia" w:ascii="仿宋_GB2312" w:hAnsi="仿宋_GB2312" w:eastAsia="仿宋_GB2312" w:cs="仿宋_GB2312"/>
          <w:color w:val="000000" w:themeColor="text1"/>
          <w:sz w:val="30"/>
          <w:szCs w:val="30"/>
        </w:rPr>
        <w:t>；水环境功能区达标率、集中式饮用水源水质达标率均为</w:t>
      </w:r>
      <w:r>
        <w:rPr>
          <w:rFonts w:ascii="仿宋_GB2312" w:hAnsi="仿宋_GB2312" w:eastAsia="仿宋_GB2312" w:cs="仿宋_GB2312"/>
          <w:color w:val="000000" w:themeColor="text1"/>
          <w:sz w:val="30"/>
          <w:szCs w:val="30"/>
        </w:rPr>
        <w:t>100%</w:t>
      </w:r>
      <w:r>
        <w:rPr>
          <w:rFonts w:hint="eastAsia" w:ascii="仿宋_GB2312" w:hAnsi="仿宋_GB2312" w:eastAsia="仿宋_GB2312" w:cs="仿宋_GB2312"/>
          <w:color w:val="000000" w:themeColor="text1"/>
          <w:sz w:val="30"/>
          <w:szCs w:val="30"/>
        </w:rPr>
        <w:t>；累计投入</w:t>
      </w:r>
      <w:r>
        <w:rPr>
          <w:rFonts w:ascii="仿宋_GB2312" w:hAnsi="仿宋_GB2312" w:eastAsia="仿宋_GB2312" w:cs="仿宋_GB2312"/>
          <w:color w:val="000000" w:themeColor="text1"/>
          <w:sz w:val="30"/>
          <w:szCs w:val="30"/>
        </w:rPr>
        <w:t>1088万元，实施辽河口湿地生态修复工程</w:t>
      </w:r>
      <w:r>
        <w:rPr>
          <w:rFonts w:hint="eastAsia" w:ascii="仿宋_GB2312" w:hAnsi="仿宋_GB2312" w:eastAsia="仿宋_GB2312" w:cs="仿宋_GB2312"/>
          <w:color w:val="000000" w:themeColor="text1"/>
          <w:sz w:val="30"/>
          <w:szCs w:val="30"/>
        </w:rPr>
        <w:t>，获批水系连通及农村水系综合整治试点县。主城区生活垃圾无害化处理率、医疗废物集中处置率、危险废物处理率、工业固体废物处置利用率均为</w:t>
      </w:r>
      <w:r>
        <w:rPr>
          <w:rFonts w:ascii="仿宋_GB2312" w:hAnsi="仿宋_GB2312" w:eastAsia="仿宋_GB2312" w:cs="仿宋_GB2312"/>
          <w:color w:val="000000" w:themeColor="text1"/>
          <w:sz w:val="30"/>
          <w:szCs w:val="30"/>
        </w:rPr>
        <w:t>100%</w:t>
      </w:r>
      <w:r>
        <w:rPr>
          <w:rFonts w:hint="eastAsia" w:ascii="仿宋_GB2312" w:hAnsi="仿宋_GB2312" w:eastAsia="仿宋_GB2312" w:cs="仿宋_GB2312"/>
          <w:color w:val="000000" w:themeColor="text1"/>
          <w:sz w:val="30"/>
          <w:szCs w:val="30"/>
        </w:rPr>
        <w:t>，被评为辽宁省农村生活垃圾分类和资源化利用示范县。生态文明建设成效显著，荣获全国第三批生态文明建设示范县和辽宁省</w:t>
      </w:r>
      <w:r>
        <w:rPr>
          <w:rFonts w:ascii="仿宋_GB2312" w:hAnsi="仿宋_GB2312" w:eastAsia="仿宋_GB2312" w:cs="仿宋_GB2312"/>
          <w:color w:val="000000" w:themeColor="text1"/>
          <w:sz w:val="30"/>
          <w:szCs w:val="30"/>
        </w:rPr>
        <w:t>2019年农村人居环境整治专项投资项目县称号</w:t>
      </w:r>
      <w:r>
        <w:rPr>
          <w:rFonts w:hint="eastAsia" w:ascii="仿宋_GB2312" w:hAnsi="仿宋_GB2312" w:eastAsia="仿宋_GB2312" w:cs="仿宋_GB2312"/>
          <w:color w:val="000000" w:themeColor="text1"/>
          <w:sz w:val="30"/>
          <w:szCs w:val="30"/>
        </w:rPr>
        <w:t>。</w:t>
      </w:r>
    </w:p>
    <w:p w14:paraId="32E45890">
      <w:pPr>
        <w:pStyle w:val="8"/>
        <w:spacing w:line="600" w:lineRule="exact"/>
        <w:ind w:firstLine="672"/>
        <w:rPr>
          <w:color w:val="000000" w:themeColor="text1"/>
        </w:rPr>
      </w:pPr>
      <w:bookmarkStart w:id="40" w:name="_Toc26360"/>
      <w:r>
        <w:rPr>
          <w:rFonts w:hint="eastAsia"/>
          <w:color w:val="000000" w:themeColor="text1"/>
        </w:rPr>
        <w:t>七、社会事业取得新进步</w:t>
      </w:r>
    </w:p>
    <w:p w14:paraId="1D4C429B">
      <w:pPr>
        <w:adjustRightInd w:val="0"/>
        <w:snapToGrid w:val="0"/>
        <w:spacing w:line="600" w:lineRule="exact"/>
        <w:ind w:firstLine="63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过去五年，是盘山全力改善民生，城乡居民幸福指数不断提升的五年。我们牢记使命、心系群众，持续加大财政投入，公共服务体系日趋完善。公共卫生服务质量显著提升，全县完成改扩建乡镇卫生院13个，建设标准化卫生室167个，实有床位和卫生技术人员均翻一番；各镇（街道）卫生院心电、彩超等实现与市中心医院实时远程会诊，中医堂实现全覆盖，县人民医院被确定为辽宁省首批公立医院综合改革示范单位。教育事业全面进步，适龄儿童入学率100%，九年义务教育巩固率99%，素质教育成效显著。文化体育事业蓬勃发展，“县——镇——村”三级公共文化服务体系初步形成，全县13个镇街综合文化站实现全覆盖，建成文体广场169个、村（社区）级农家书屋153个；地面无线数字电视、有线电视、卫星直播机行政区域全面覆盖，县融媒体中心建成并投入使用；承办全国篮球传统学校U17女子组决赛等系列文体活动。民生实事扎实推进，城镇新增就业7466人，零就业家庭保持动态为零，安置失业军转人员就业148人，建成居家和社区养老服务设施175个,45件民生实事全面完成。护林防火、防汛和食品药品安全监管、武装、国防安全、编制、民族宗教、物价、统计、人防、气象、地震、档案、外事侨务、工会、青年团、妇联、应急防控等工作扎实推进，均有突破性发展。</w:t>
      </w:r>
    </w:p>
    <w:p w14:paraId="462FAF30">
      <w:pPr>
        <w:pStyle w:val="7"/>
        <w:spacing w:line="600" w:lineRule="exact"/>
        <w:ind w:firstLine="0" w:firstLineChars="0"/>
        <w:jc w:val="center"/>
        <w:rPr>
          <w:rFonts w:ascii="黑体" w:hAnsi="黑体" w:cs="黑体"/>
          <w:color w:val="000000" w:themeColor="text1"/>
        </w:rPr>
      </w:pPr>
      <w:bookmarkStart w:id="41" w:name="_Toc12255"/>
      <w:bookmarkStart w:id="42" w:name="_Toc20855"/>
      <w:bookmarkStart w:id="43" w:name="_Toc32030"/>
      <w:bookmarkStart w:id="44" w:name="_Toc11236"/>
      <w:bookmarkStart w:id="45" w:name="_Toc3773"/>
      <w:bookmarkStart w:id="46" w:name="_Toc28953"/>
      <w:r>
        <w:rPr>
          <w:rFonts w:hint="eastAsia" w:ascii="黑体" w:hAnsi="黑体" w:cs="黑体"/>
          <w:color w:val="000000" w:themeColor="text1"/>
        </w:rPr>
        <w:t>第二节“十四五”发展环境</w:t>
      </w:r>
      <w:bookmarkEnd w:id="40"/>
      <w:bookmarkEnd w:id="41"/>
      <w:bookmarkEnd w:id="42"/>
      <w:bookmarkEnd w:id="43"/>
      <w:bookmarkEnd w:id="44"/>
      <w:bookmarkEnd w:id="45"/>
      <w:bookmarkEnd w:id="46"/>
    </w:p>
    <w:p w14:paraId="77D64DD2">
      <w:pPr>
        <w:adjustRightInd w:val="0"/>
        <w:snapToGrid w:val="0"/>
        <w:spacing w:line="600" w:lineRule="exact"/>
        <w:ind w:firstLine="63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“十四五”时期是我县在全面建成小康社会基础上，全面建设社会主义现代化的第一个五年，既面临重大发展机遇，也存在诸多风险和挑战。</w:t>
      </w:r>
    </w:p>
    <w:p w14:paraId="502C167B">
      <w:pPr>
        <w:pStyle w:val="8"/>
        <w:spacing w:line="600" w:lineRule="exact"/>
        <w:ind w:firstLine="672"/>
        <w:rPr>
          <w:color w:val="000000" w:themeColor="text1"/>
        </w:rPr>
      </w:pPr>
      <w:r>
        <w:rPr>
          <w:rFonts w:hint="eastAsia"/>
          <w:color w:val="000000" w:themeColor="text1"/>
        </w:rPr>
        <w:t>一、国际环境：机遇和挑战有了新的发展变化</w:t>
      </w:r>
    </w:p>
    <w:p w14:paraId="2AA1EAEC">
      <w:pPr>
        <w:adjustRightInd w:val="0"/>
        <w:snapToGrid w:val="0"/>
        <w:spacing w:line="600" w:lineRule="exact"/>
        <w:ind w:firstLine="63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从国际环境看，</w:t>
      </w:r>
      <w:r>
        <w:rPr>
          <w:rFonts w:hint="eastAsia" w:ascii="仿宋_GB2312" w:hAnsi="仿宋_GB2312" w:eastAsia="仿宋_GB2312" w:cs="仿宋_GB2312"/>
          <w:color w:val="333333"/>
          <w:sz w:val="30"/>
          <w:szCs w:val="30"/>
        </w:rPr>
        <w:t>当今世界正经历</w:t>
      </w:r>
      <w:r>
        <w:rPr>
          <w:rFonts w:hint="eastAsia" w:ascii="仿宋_GB2312" w:hAnsi="仿宋_GB2312" w:eastAsia="仿宋_GB2312" w:cs="仿宋_GB2312"/>
          <w:color w:val="000000" w:themeColor="text1"/>
          <w:sz w:val="30"/>
          <w:szCs w:val="30"/>
        </w:rPr>
        <w:t>百年未有之大变局。新一轮科技革命和产业变革深入发展，国际力量对比深刻调整，和平与发展仍然是时代主题，人类命运共同体理念深入人心，同时国际环境日趋复杂，不稳定性不确定性明显增加，新冠肺炎疫情影响广泛深远，经济全球化遭遇逆流，世界进入动荡变革期，单边主义、保护主义、霸权主义对世界和平与发展构成威胁。随着RCEP的签订，中国在全球最大自贸区的主导地位不断增强，将成为国内经济发展的强心剂、稳定器和新动力，扩大消费规模、促进新业态发展、培育中高端消费将面临新的契机。</w:t>
      </w:r>
    </w:p>
    <w:p w14:paraId="35C70898">
      <w:pPr>
        <w:pStyle w:val="8"/>
        <w:spacing w:line="600" w:lineRule="exact"/>
        <w:ind w:firstLine="672"/>
        <w:rPr>
          <w:color w:val="000000" w:themeColor="text1"/>
        </w:rPr>
      </w:pPr>
      <w:bookmarkStart w:id="47" w:name="_Toc21825"/>
      <w:r>
        <w:rPr>
          <w:rFonts w:hint="eastAsia"/>
          <w:color w:val="000000" w:themeColor="text1"/>
        </w:rPr>
        <w:t>二、国内环境：迈入高质量发展新阶段</w:t>
      </w:r>
      <w:bookmarkEnd w:id="47"/>
    </w:p>
    <w:p w14:paraId="7CB9D060">
      <w:pPr>
        <w:adjustRightInd w:val="0"/>
        <w:snapToGrid w:val="0"/>
        <w:spacing w:line="600" w:lineRule="exact"/>
        <w:ind w:firstLine="63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从国内环境看，</w:t>
      </w:r>
      <w:r>
        <w:rPr>
          <w:rFonts w:hint="eastAsia" w:ascii="仿宋_GB2312" w:hAnsi="仿宋_GB2312" w:eastAsia="仿宋_GB2312" w:cs="仿宋_GB2312"/>
          <w:color w:val="000000"/>
          <w:sz w:val="30"/>
          <w:szCs w:val="30"/>
        </w:rPr>
        <w:t>我国已转向高质量发展阶段，制度优势显著，治理效能提升，经济长期向好，物质基础雄厚，人力资源丰富，市场空间广阔，发展韧性强劲，社会大局稳定，继续发展具有多方面优势和条件。同时，我国发展不平衡不充分问题仍然突出，重点领域关键环节改革任务仍然艰巨，创新能力不适应高质量发展要求，农业基础还不稳固，城乡区域发展和收入分配差距较大，生态环保任重道远，民生保障存在短板，社会治理还有弱项。</w:t>
      </w:r>
      <w:r>
        <w:rPr>
          <w:rFonts w:hint="eastAsia" w:ascii="仿宋_GB2312" w:hAnsi="仿宋_GB2312" w:eastAsia="仿宋_GB2312" w:cs="仿宋_GB2312"/>
          <w:color w:val="000000" w:themeColor="text1"/>
          <w:sz w:val="30"/>
          <w:szCs w:val="30"/>
        </w:rPr>
        <w:t>但整体而言，我国经济会继续向着更高质量、更有效率、更加公平、更可持续的方向发展。</w:t>
      </w:r>
    </w:p>
    <w:p w14:paraId="66ECEE18">
      <w:pPr>
        <w:pStyle w:val="8"/>
        <w:spacing w:line="600" w:lineRule="exact"/>
        <w:ind w:firstLine="672"/>
        <w:rPr>
          <w:color w:val="000000" w:themeColor="text1"/>
        </w:rPr>
      </w:pPr>
      <w:bookmarkStart w:id="48" w:name="_Toc15545"/>
      <w:r>
        <w:rPr>
          <w:rFonts w:hint="eastAsia"/>
          <w:color w:val="000000" w:themeColor="text1"/>
        </w:rPr>
        <w:t>三、省内环境：处于战略性转变新时期</w:t>
      </w:r>
      <w:bookmarkEnd w:id="48"/>
    </w:p>
    <w:p w14:paraId="0205BDFB">
      <w:pPr>
        <w:adjustRightInd w:val="0"/>
        <w:snapToGrid w:val="0"/>
        <w:spacing w:line="600" w:lineRule="exact"/>
        <w:ind w:firstLine="63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从省内发展环境看，正处于经济下行态势扭转期、适应新常态的战略性转变期，发展环境持续向好。但整体的发展形势要比“十三五”时期更复杂多变、更具有挑战性。省委省政府带头深入落实习近平总书记关于东北、辽宁振兴发展重要讲话和指示批示精神，全面贯彻落实《中共中央、国务院关于支持东北地区深化改革创新推动高质量发展的意见》，统筹推进疫情防控和经济社会发展工作，推动</w:t>
      </w:r>
      <w:r>
        <w:rPr>
          <w:rFonts w:hint="eastAsia" w:ascii="仿宋_GB2312" w:hAnsi="仿宋_GB2312" w:eastAsia="仿宋_GB2312" w:cs="仿宋_GB2312"/>
          <w:color w:val="333333"/>
          <w:sz w:val="30"/>
          <w:szCs w:val="30"/>
        </w:rPr>
        <w:t>“一圈”“一带”“两区”区域互补、融合联动，构建高质量发展的板块支撑和动力系统。</w:t>
      </w:r>
      <w:r>
        <w:rPr>
          <w:rFonts w:hint="eastAsia" w:ascii="仿宋_GB2312" w:hAnsi="仿宋_GB2312" w:eastAsia="仿宋_GB2312" w:cs="仿宋_GB2312"/>
          <w:color w:val="000000" w:themeColor="text1"/>
          <w:sz w:val="30"/>
          <w:szCs w:val="30"/>
        </w:rPr>
        <w:t>全市上下在省委省政府的领导下，全面落实“三个推进”、“六项重点工作”，以“重强抓”为抓手，积极推动我市经济社会高质量发展，省、市形成了加快推动辽宁全面振兴、全方位振兴，加快建设社会主义现代化的强大合力和良好环境。</w:t>
      </w:r>
    </w:p>
    <w:p w14:paraId="3962D889">
      <w:pPr>
        <w:pStyle w:val="7"/>
        <w:spacing w:line="600" w:lineRule="exact"/>
        <w:ind w:firstLine="0" w:firstLineChars="0"/>
        <w:jc w:val="center"/>
        <w:rPr>
          <w:rFonts w:ascii="黑体" w:hAnsi="黑体" w:cs="黑体"/>
          <w:color w:val="000000" w:themeColor="text1"/>
        </w:rPr>
      </w:pPr>
      <w:bookmarkStart w:id="49" w:name="_Toc2965"/>
      <w:bookmarkStart w:id="50" w:name="_Toc24621"/>
      <w:bookmarkStart w:id="51" w:name="_Toc19425"/>
      <w:bookmarkStart w:id="52" w:name="_Toc21976"/>
      <w:bookmarkStart w:id="53" w:name="_Toc8782"/>
      <w:bookmarkStart w:id="54" w:name="_Toc10376"/>
      <w:bookmarkStart w:id="55" w:name="_Toc25519"/>
      <w:bookmarkStart w:id="56" w:name="_Toc14492"/>
      <w:r>
        <w:rPr>
          <w:rFonts w:hint="eastAsia" w:ascii="黑体" w:hAnsi="黑体" w:cs="黑体"/>
          <w:color w:val="000000" w:themeColor="text1"/>
        </w:rPr>
        <w:t>第三节 把握转型升级的战略基础</w:t>
      </w:r>
      <w:bookmarkEnd w:id="49"/>
      <w:bookmarkEnd w:id="50"/>
      <w:bookmarkEnd w:id="51"/>
      <w:bookmarkEnd w:id="52"/>
      <w:bookmarkEnd w:id="53"/>
      <w:bookmarkEnd w:id="54"/>
      <w:bookmarkEnd w:id="55"/>
      <w:bookmarkEnd w:id="56"/>
    </w:p>
    <w:p w14:paraId="44EBA780">
      <w:pPr>
        <w:adjustRightInd w:val="0"/>
        <w:snapToGrid w:val="0"/>
        <w:spacing w:line="600" w:lineRule="exact"/>
        <w:ind w:firstLine="63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未来五年，</w:t>
      </w:r>
      <w:r>
        <w:rPr>
          <w:rFonts w:hint="eastAsia" w:ascii="仿宋_GB2312" w:hAnsi="仿宋_GB2312" w:eastAsia="仿宋_GB2312" w:cs="仿宋_GB2312"/>
          <w:color w:val="333333"/>
          <w:sz w:val="30"/>
          <w:szCs w:val="30"/>
        </w:rPr>
        <w:t>我们要胸怀中华民族伟大复兴战略全局和世界百年未有之大变局，牢牢把握进入新发展阶段、贯彻新发展理念、构建新发展格局的丰富内涵和实践要求，增强机遇意识和风险意识，准确识变、科学应变、主动求变，抓住机遇、应对挑战，妥善</w:t>
      </w:r>
      <w:r>
        <w:rPr>
          <w:rFonts w:hint="eastAsia" w:ascii="仿宋_GB2312" w:hAnsi="仿宋_GB2312" w:eastAsia="仿宋_GB2312" w:cs="仿宋_GB2312"/>
          <w:color w:val="000000" w:themeColor="text1"/>
          <w:sz w:val="30"/>
          <w:szCs w:val="30"/>
        </w:rPr>
        <w:t>处理好自身转型发展的结构性矛盾等问题，未雨绸缪，转变经济发展方式，适应新趋势新要求，</w:t>
      </w:r>
      <w:r>
        <w:rPr>
          <w:rFonts w:hint="eastAsia" w:ascii="仿宋_GB2312" w:hAnsi="仿宋_GB2312" w:eastAsia="仿宋_GB2312" w:cs="仿宋_GB2312"/>
          <w:color w:val="333333"/>
          <w:sz w:val="30"/>
          <w:szCs w:val="30"/>
        </w:rPr>
        <w:t>坚定信心、奋发有为，</w:t>
      </w:r>
      <w:r>
        <w:rPr>
          <w:rFonts w:hint="eastAsia" w:ascii="仿宋_GB2312" w:hAnsi="仿宋_GB2312" w:eastAsia="仿宋_GB2312" w:cs="仿宋_GB2312"/>
          <w:color w:val="000000" w:themeColor="text1"/>
          <w:sz w:val="30"/>
          <w:szCs w:val="30"/>
        </w:rPr>
        <w:t>谋求转型升级和发展格局的新突破。</w:t>
      </w:r>
      <w:bookmarkStart w:id="57" w:name="_Toc22694"/>
    </w:p>
    <w:p w14:paraId="43D914F4">
      <w:pPr>
        <w:pStyle w:val="8"/>
        <w:spacing w:line="600" w:lineRule="exact"/>
        <w:ind w:firstLine="672"/>
        <w:rPr>
          <w:color w:val="000000" w:themeColor="text1"/>
        </w:rPr>
      </w:pPr>
      <w:bookmarkStart w:id="58" w:name="_Toc10291"/>
      <w:r>
        <w:rPr>
          <w:rFonts w:hint="eastAsia"/>
          <w:color w:val="000000" w:themeColor="text1"/>
        </w:rPr>
        <w:t>一、从中长期看，盘山县处在战略抉择的关键时期</w:t>
      </w:r>
      <w:bookmarkEnd w:id="58"/>
    </w:p>
    <w:p w14:paraId="12EC2906">
      <w:pPr>
        <w:adjustRightInd w:val="0"/>
        <w:snapToGrid w:val="0"/>
        <w:spacing w:line="600" w:lineRule="exact"/>
        <w:ind w:firstLine="63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在看到发展成就的同时，也要清醒地认识到全县经济社会发展面临的制约和挑战。一是产业转型升级压力加大。未来五年盘山县“二产不精、三产不足”的结构性矛盾突出，新旧动能转换任务繁重。工业领域重化工比重高，易受市场波动影响，不稳定、不确定性风险加大；劳动力等传统要素的比较优势逐步衰减，新兴产业尚未形成规模效应，现有创新能力还难以形成新优势；现代服务业基础较弱，资源优势还没有转化为竞争优势。二是生态文明建设仍需加大力度。土地等资源供需矛盾将更加突出，空间资源约束性矛盾日益凸显；节能减排任务艰巨，资源利用效率仍然不高。三是镇域经济发展不均衡。西部三镇街发展不充分问题没有得到根本性转变，东郭街道、石新镇、高升街道区域内的油矿区改造升级、转型发展已刻不容缓。从中长期看，唯有提高产品和服务质量，向全球价值链中高端迈进，才能成功应对全球日益激烈和复杂的市场环境，焕发新生机、新活力。因此，“十四五”时期是盘山县新旧动能转换、产业转型升级的关键时期。</w:t>
      </w:r>
    </w:p>
    <w:p w14:paraId="21C1F702">
      <w:pPr>
        <w:pStyle w:val="8"/>
        <w:spacing w:line="600" w:lineRule="exact"/>
        <w:ind w:firstLine="672"/>
        <w:rPr>
          <w:color w:val="000000" w:themeColor="text1"/>
        </w:rPr>
      </w:pPr>
      <w:r>
        <w:rPr>
          <w:rFonts w:hint="eastAsia"/>
          <w:color w:val="000000" w:themeColor="text1"/>
        </w:rPr>
        <w:t>二、从全局看，盘山县具备转型升级的坚实基础和先导优势</w:t>
      </w:r>
      <w:bookmarkEnd w:id="57"/>
    </w:p>
    <w:p w14:paraId="303E1975">
      <w:pPr>
        <w:adjustRightInd w:val="0"/>
        <w:snapToGrid w:val="0"/>
        <w:spacing w:line="600" w:lineRule="exact"/>
        <w:ind w:firstLine="63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受疫情影响，部分经济指标增速有所回落，但盘山县总体保持了稳中有进、稳中有为的态势，特别是经过多年积累，转型升级的基础已经夯实，具备了五大优势。</w:t>
      </w:r>
    </w:p>
    <w:p w14:paraId="69EC56F3">
      <w:pPr>
        <w:adjustRightInd w:val="0"/>
        <w:snapToGrid w:val="0"/>
        <w:spacing w:line="600" w:lineRule="exact"/>
        <w:ind w:firstLine="632"/>
        <w:rPr>
          <w:rFonts w:ascii="仿宋_GB2312" w:hAnsi="仿宋_GB2312" w:eastAsia="仿宋_GB2312" w:cs="仿宋_GB2312"/>
          <w:color w:val="000000" w:themeColor="text1"/>
          <w:sz w:val="30"/>
          <w:szCs w:val="30"/>
        </w:rPr>
      </w:pPr>
      <w:r>
        <w:rPr>
          <w:rFonts w:hint="eastAsia" w:ascii="仿宋_GB2312" w:hAnsi="仿宋_GB2312" w:eastAsia="仿宋_GB2312" w:cs="仿宋_GB2312"/>
          <w:b/>
          <w:bCs/>
          <w:color w:val="000000" w:themeColor="text1"/>
          <w:sz w:val="30"/>
          <w:szCs w:val="30"/>
        </w:rPr>
        <w:t>一是转型升级的产业基础优势。</w:t>
      </w:r>
      <w:r>
        <w:rPr>
          <w:rFonts w:hint="eastAsia" w:ascii="仿宋_GB2312" w:hAnsi="仿宋_GB2312" w:eastAsia="仿宋_GB2312" w:cs="仿宋_GB2312"/>
          <w:color w:val="000000" w:themeColor="text1"/>
          <w:sz w:val="30"/>
          <w:szCs w:val="30"/>
        </w:rPr>
        <w:t>全县上下长期聚焦石化制造、精细化工、现代物流、新能源、新材料、品牌农业等主导产业，特别是在石化产业、农副产品加工等领域已基本形成集群化发展态势。“三区一园”具备了承接大项目、承载大投入、催生大产能的新条件。</w:t>
      </w:r>
    </w:p>
    <w:p w14:paraId="60C6B7BC">
      <w:pPr>
        <w:adjustRightInd w:val="0"/>
        <w:snapToGrid w:val="0"/>
        <w:spacing w:line="600" w:lineRule="exact"/>
        <w:ind w:firstLine="632"/>
        <w:rPr>
          <w:rFonts w:ascii="仿宋_GB2312" w:hAnsi="仿宋_GB2312" w:eastAsia="仿宋_GB2312" w:cs="仿宋_GB2312"/>
          <w:color w:val="000000" w:themeColor="text1"/>
          <w:sz w:val="30"/>
          <w:szCs w:val="30"/>
        </w:rPr>
      </w:pPr>
      <w:r>
        <w:rPr>
          <w:rFonts w:hint="eastAsia" w:ascii="仿宋_GB2312" w:hAnsi="仿宋_GB2312" w:eastAsia="仿宋_GB2312" w:cs="仿宋_GB2312"/>
          <w:b/>
          <w:bCs/>
          <w:color w:val="000000" w:themeColor="text1"/>
          <w:sz w:val="30"/>
          <w:szCs w:val="30"/>
        </w:rPr>
        <w:t>二是“区域协调合作”的战略机遇优势。</w:t>
      </w:r>
      <w:r>
        <w:rPr>
          <w:rFonts w:hint="eastAsia" w:ascii="仿宋_GB2312" w:hAnsi="仿宋_GB2312" w:eastAsia="仿宋_GB2312" w:cs="仿宋_GB2312"/>
          <w:color w:val="000000" w:themeColor="text1"/>
          <w:sz w:val="30"/>
          <w:szCs w:val="30"/>
        </w:rPr>
        <w:t>“国内国际双循环发展战略”、“一带一路”建设倡议、辽宁</w:t>
      </w:r>
      <w:r>
        <w:rPr>
          <w:rFonts w:hint="eastAsia" w:ascii="仿宋_GB2312" w:hAnsi="仿宋_GB2312" w:eastAsia="仿宋_GB2312" w:cs="仿宋_GB2312"/>
          <w:color w:val="333333"/>
          <w:sz w:val="30"/>
          <w:szCs w:val="30"/>
        </w:rPr>
        <w:t>“一圈”“一带”“两区”协同发展战略</w:t>
      </w:r>
      <w:r>
        <w:rPr>
          <w:rFonts w:hint="eastAsia" w:ascii="仿宋_GB2312" w:hAnsi="仿宋_GB2312" w:eastAsia="仿宋_GB2312" w:cs="仿宋_GB2312"/>
          <w:color w:val="000000" w:themeColor="text1"/>
          <w:sz w:val="30"/>
          <w:szCs w:val="30"/>
        </w:rPr>
        <w:t>等为盘山县转型升级提供了广阔的战略空间。盘山县交通条件便利，地处环渤海经济圈、辽宁沿海经济带、沈大经济圈的汇合处，是辽宁融入京津冀协同发展战略先导区的重要节点区域，为融入“国内国际双循环发展新格局”提供了基础支撑。</w:t>
      </w:r>
    </w:p>
    <w:p w14:paraId="7D2D0476">
      <w:pPr>
        <w:adjustRightInd w:val="0"/>
        <w:snapToGrid w:val="0"/>
        <w:spacing w:line="600" w:lineRule="exact"/>
        <w:ind w:firstLine="632"/>
        <w:rPr>
          <w:rFonts w:ascii="仿宋_GB2312" w:hAnsi="仿宋_GB2312" w:eastAsia="仿宋_GB2312" w:cs="仿宋_GB2312"/>
          <w:color w:val="000000" w:themeColor="text1"/>
          <w:sz w:val="30"/>
          <w:szCs w:val="30"/>
        </w:rPr>
      </w:pPr>
      <w:r>
        <w:rPr>
          <w:rFonts w:hint="eastAsia" w:ascii="仿宋_GB2312" w:hAnsi="仿宋_GB2312" w:eastAsia="仿宋_GB2312" w:cs="仿宋_GB2312"/>
          <w:b/>
          <w:bCs/>
          <w:color w:val="000000" w:themeColor="text1"/>
          <w:sz w:val="30"/>
          <w:szCs w:val="30"/>
        </w:rPr>
        <w:t>三是</w:t>
      </w:r>
      <w:bookmarkStart w:id="59" w:name="_Toc3227"/>
      <w:r>
        <w:rPr>
          <w:rFonts w:hint="eastAsia" w:ascii="仿宋_GB2312" w:hAnsi="仿宋_GB2312" w:eastAsia="仿宋_GB2312" w:cs="仿宋_GB2312"/>
          <w:b/>
          <w:bCs/>
          <w:color w:val="000000" w:themeColor="text1"/>
          <w:sz w:val="30"/>
          <w:szCs w:val="30"/>
        </w:rPr>
        <w:t>盘锦市“维护升级能源产业”的政策优势。</w:t>
      </w:r>
      <w:r>
        <w:rPr>
          <w:rFonts w:hint="eastAsia" w:ascii="仿宋_GB2312" w:hAnsi="仿宋_GB2312" w:eastAsia="仿宋_GB2312" w:cs="仿宋_GB2312"/>
          <w:color w:val="000000" w:themeColor="text1"/>
          <w:sz w:val="30"/>
          <w:szCs w:val="30"/>
        </w:rPr>
        <w:t>盘锦市确立打造世界级石化产业基地的目标，为盘山县推动石化及精细化工产业发展带来了新机遇，能够助推盘山县直接争取上级政策、项目、资金支持，助力石化产业集群化发展。</w:t>
      </w:r>
      <w:bookmarkEnd w:id="59"/>
    </w:p>
    <w:p w14:paraId="5D52740D">
      <w:pPr>
        <w:adjustRightInd w:val="0"/>
        <w:snapToGrid w:val="0"/>
        <w:spacing w:line="600" w:lineRule="exact"/>
        <w:ind w:firstLine="632"/>
        <w:rPr>
          <w:rFonts w:ascii="仿宋_GB2312" w:hAnsi="仿宋_GB2312" w:eastAsia="仿宋_GB2312" w:cs="仿宋_GB2312"/>
          <w:color w:val="000000" w:themeColor="text1"/>
          <w:sz w:val="30"/>
          <w:szCs w:val="30"/>
        </w:rPr>
      </w:pPr>
      <w:r>
        <w:rPr>
          <w:rFonts w:hint="eastAsia" w:ascii="仿宋_GB2312" w:hAnsi="仿宋_GB2312" w:eastAsia="仿宋_GB2312" w:cs="仿宋_GB2312"/>
          <w:b/>
          <w:bCs/>
          <w:color w:val="000000" w:themeColor="text1"/>
          <w:sz w:val="30"/>
          <w:szCs w:val="30"/>
        </w:rPr>
        <w:t>四是</w:t>
      </w:r>
      <w:bookmarkStart w:id="60" w:name="_Toc8115"/>
      <w:r>
        <w:rPr>
          <w:rFonts w:hint="eastAsia" w:ascii="仿宋_GB2312" w:hAnsi="仿宋_GB2312" w:eastAsia="仿宋_GB2312" w:cs="仿宋_GB2312"/>
          <w:b/>
          <w:bCs/>
          <w:color w:val="000000" w:themeColor="text1"/>
          <w:sz w:val="30"/>
          <w:szCs w:val="30"/>
        </w:rPr>
        <w:t>“东北振兴发展”的政策优势。</w:t>
      </w:r>
      <w:r>
        <w:rPr>
          <w:rFonts w:hint="eastAsia" w:ascii="仿宋_GB2312" w:hAnsi="仿宋_GB2312" w:eastAsia="仿宋_GB2312" w:cs="仿宋_GB2312"/>
          <w:color w:val="000000" w:themeColor="text1"/>
          <w:sz w:val="30"/>
          <w:szCs w:val="30"/>
        </w:rPr>
        <w:t>国家支持东北地区深化改革创新，推动高质量发展的一系列政策出台，市场、产业、绿色发展、民生保障等体系建设逐步完善，全面转型发展的政策优势前所未有。</w:t>
      </w:r>
      <w:bookmarkEnd w:id="60"/>
      <w:bookmarkStart w:id="61" w:name="_Toc16783"/>
    </w:p>
    <w:p w14:paraId="216D39CE">
      <w:pPr>
        <w:adjustRightInd w:val="0"/>
        <w:snapToGrid w:val="0"/>
        <w:spacing w:line="600" w:lineRule="exact"/>
        <w:ind w:firstLine="632"/>
        <w:rPr>
          <w:rFonts w:ascii="仿宋_GB2312" w:hAnsi="仿宋_GB2312" w:eastAsia="仿宋_GB2312" w:cs="仿宋_GB2312"/>
          <w:color w:val="000000" w:themeColor="text1"/>
          <w:sz w:val="30"/>
          <w:szCs w:val="30"/>
        </w:rPr>
      </w:pPr>
      <w:r>
        <w:rPr>
          <w:rFonts w:hint="eastAsia" w:ascii="仿宋_GB2312" w:hAnsi="仿宋_GB2312" w:eastAsia="仿宋_GB2312" w:cs="仿宋_GB2312"/>
          <w:b/>
          <w:bCs/>
          <w:color w:val="000000" w:themeColor="text1"/>
          <w:sz w:val="30"/>
          <w:szCs w:val="30"/>
        </w:rPr>
        <w:t>五是“干部作风转变”的政治优势。</w:t>
      </w:r>
      <w:r>
        <w:rPr>
          <w:rFonts w:hint="eastAsia" w:ascii="仿宋_GB2312" w:hAnsi="仿宋_GB2312" w:eastAsia="仿宋_GB2312" w:cs="仿宋_GB2312"/>
          <w:color w:val="000000" w:themeColor="text1"/>
          <w:sz w:val="30"/>
          <w:szCs w:val="30"/>
        </w:rPr>
        <w:t>近年来，全县上下积极践行“推进干部作风转变”，不断强化责任担当，领导干部坚持以身作则、以上率下，在全县上下营造了想干事、能干事、干成事的良好氛围。</w:t>
      </w:r>
      <w:bookmarkEnd w:id="61"/>
      <w:r>
        <w:rPr>
          <w:rFonts w:hint="eastAsia" w:ascii="仿宋_GB2312" w:hAnsi="仿宋_GB2312" w:eastAsia="仿宋_GB2312" w:cs="仿宋_GB2312"/>
          <w:color w:val="000000" w:themeColor="text1"/>
          <w:sz w:val="30"/>
          <w:szCs w:val="30"/>
        </w:rPr>
        <w:t>党员干部团结一致，人民群众热情高涨，为经济社会发展提供了政治保障。</w:t>
      </w:r>
    </w:p>
    <w:p w14:paraId="7966119D">
      <w:pPr>
        <w:pStyle w:val="8"/>
        <w:spacing w:line="600" w:lineRule="exact"/>
        <w:ind w:firstLine="672"/>
        <w:rPr>
          <w:color w:val="000000" w:themeColor="text1"/>
        </w:rPr>
      </w:pPr>
      <w:r>
        <w:rPr>
          <w:rFonts w:hint="eastAsia"/>
          <w:color w:val="000000" w:themeColor="text1"/>
        </w:rPr>
        <w:t>三、谋求转型升级、全面振兴发展新突破</w:t>
      </w:r>
    </w:p>
    <w:p w14:paraId="5FF9F802">
      <w:pPr>
        <w:adjustRightInd w:val="0"/>
        <w:snapToGrid w:val="0"/>
        <w:spacing w:line="600" w:lineRule="exact"/>
        <w:ind w:firstLine="632"/>
        <w:rPr>
          <w:rFonts w:ascii="仿宋_GB2312" w:hAnsi="仿宋_GB2312" w:eastAsia="仿宋_GB2312" w:cs="仿宋_GB2312"/>
          <w:color w:val="000000" w:themeColor="text1"/>
          <w:sz w:val="30"/>
          <w:szCs w:val="30"/>
        </w:rPr>
      </w:pPr>
      <w:r>
        <w:rPr>
          <w:rFonts w:hint="eastAsia" w:ascii="仿宋_GB2312" w:hAnsi="仿宋_GB2312" w:eastAsia="仿宋_GB2312" w:cs="仿宋_GB2312"/>
          <w:b/>
          <w:bCs/>
          <w:color w:val="000000" w:themeColor="text1"/>
          <w:sz w:val="30"/>
          <w:szCs w:val="30"/>
        </w:rPr>
        <w:t>综合判断，</w:t>
      </w:r>
      <w:r>
        <w:rPr>
          <w:rFonts w:hint="eastAsia" w:ascii="仿宋_GB2312" w:hAnsi="仿宋_GB2312" w:eastAsia="仿宋_GB2312" w:cs="仿宋_GB2312"/>
          <w:color w:val="000000" w:themeColor="text1"/>
          <w:sz w:val="30"/>
          <w:szCs w:val="30"/>
        </w:rPr>
        <w:t>盘山县发展仍处于可以大有作为的重要战略机遇期，同时也面临诸多矛盾和挑战，但机遇大于挑战、动力超过压力。从中长期发展趋势看，盘山县经济社会发展</w:t>
      </w:r>
      <w:r>
        <w:rPr>
          <w:rFonts w:hint="eastAsia" w:ascii="仿宋_GB2312" w:hAnsi="仿宋_GB2312" w:eastAsia="仿宋_GB2312" w:cs="仿宋_GB2312"/>
          <w:b/>
          <w:bCs/>
          <w:color w:val="000000" w:themeColor="text1"/>
          <w:sz w:val="30"/>
          <w:szCs w:val="30"/>
        </w:rPr>
        <w:t>必须</w:t>
      </w:r>
      <w:r>
        <w:rPr>
          <w:rFonts w:hint="eastAsia" w:ascii="仿宋_GB2312" w:hAnsi="仿宋_GB2312" w:eastAsia="仿宋_GB2312" w:cs="仿宋_GB2312"/>
          <w:color w:val="000000" w:themeColor="text1"/>
          <w:sz w:val="30"/>
          <w:szCs w:val="30"/>
        </w:rPr>
        <w:t>坚持党的全面领导，不断提高贯彻新发展理念的能力和水平，更加注重社会治理能力的整体提升；</w:t>
      </w:r>
      <w:r>
        <w:rPr>
          <w:rFonts w:hint="eastAsia" w:ascii="仿宋_GB2312" w:hAnsi="仿宋_GB2312" w:eastAsia="仿宋_GB2312" w:cs="仿宋_GB2312"/>
          <w:b/>
          <w:bCs/>
          <w:color w:val="000000" w:themeColor="text1"/>
          <w:sz w:val="30"/>
          <w:szCs w:val="30"/>
        </w:rPr>
        <w:t>必须</w:t>
      </w:r>
      <w:r>
        <w:rPr>
          <w:rFonts w:hint="eastAsia" w:ascii="仿宋_GB2312" w:hAnsi="仿宋_GB2312" w:eastAsia="仿宋_GB2312" w:cs="仿宋_GB2312"/>
          <w:color w:val="000000" w:themeColor="text1"/>
          <w:sz w:val="30"/>
          <w:szCs w:val="30"/>
        </w:rPr>
        <w:t>坚持以人民为中心，维护好人民群众根本利益，增进民生福祉，更加注重解决民生新关切、民生新期待；</w:t>
      </w:r>
      <w:r>
        <w:rPr>
          <w:rFonts w:hint="eastAsia" w:ascii="仿宋_GB2312" w:hAnsi="仿宋_GB2312" w:eastAsia="仿宋_GB2312" w:cs="仿宋_GB2312"/>
          <w:b/>
          <w:bCs/>
          <w:color w:val="000000" w:themeColor="text1"/>
          <w:sz w:val="30"/>
          <w:szCs w:val="30"/>
        </w:rPr>
        <w:t>必须</w:t>
      </w:r>
      <w:r>
        <w:rPr>
          <w:rFonts w:hint="eastAsia" w:ascii="仿宋_GB2312" w:hAnsi="仿宋_GB2312" w:eastAsia="仿宋_GB2312" w:cs="仿宋_GB2312"/>
          <w:color w:val="000000" w:themeColor="text1"/>
          <w:sz w:val="30"/>
          <w:szCs w:val="30"/>
        </w:rPr>
        <w:t>构建新发展格局，切实转变发展方式，更加注重创新与创意为核心的现代化要素驱动，提升产业科技创新核心竞争力；必须坚持深化改革开放，强化有利于提高资源配置效率和调动全社会积极性的改革开放举措，更加注重国内市场培育和参与国际分工、国际竞争、融入全球产业链、供应链和价值链网络；必须坚持系统观念，着力固根基、扬优势、补短板、强弱项，更加注重防范化解重大风险，发展城市软实力。</w:t>
      </w:r>
    </w:p>
    <w:p w14:paraId="797D748B">
      <w:pPr>
        <w:adjustRightInd w:val="0"/>
        <w:snapToGrid w:val="0"/>
        <w:spacing w:line="600" w:lineRule="exact"/>
        <w:ind w:firstLine="63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面对新时代、新特征、新机遇、新挑战，盘山县须准确把握战略机遇期内涵的深刻变化、国际国内基本发展趋势、全县发展阶段性特征和新任务新要求，务必保持清醒头脑，坚定信心，增强忧患意识、使命意识、机遇意识和担当意识，坚持求真务实、开拓进取、锐意改革，坚定不移地走“创新引领、人才支撑、产业强县、质量兴县”的大发展之路，释放开放互动、合作协同的巨大潜能，汇聚协调均衡、共建共享的强大力量，着力在“扩内需培动能、优结构强动力、化矛盾补短板”上持续用力，凝聚推动经济社会发展的强大正能量，谋求战略转型新突破、绘就盘山发展新蓝图，不断开创经济社会发展新格局。</w:t>
      </w:r>
    </w:p>
    <w:p w14:paraId="051D45E0">
      <w:pPr>
        <w:pStyle w:val="2"/>
        <w:spacing w:line="600" w:lineRule="exact"/>
        <w:ind w:left="590" w:firstLine="590"/>
        <w:rPr>
          <w:rFonts w:asciiTheme="minorEastAsia" w:hAnsiTheme="minorEastAsia" w:eastAsiaTheme="minorEastAsia" w:cstheme="minorEastAsia"/>
          <w:color w:val="000000" w:themeColor="text1"/>
          <w:szCs w:val="28"/>
        </w:rPr>
      </w:pPr>
    </w:p>
    <w:p w14:paraId="08E1E014">
      <w:pPr>
        <w:spacing w:line="600" w:lineRule="exact"/>
        <w:ind w:firstLine="590"/>
        <w:rPr>
          <w:rFonts w:asciiTheme="minorEastAsia" w:hAnsiTheme="minorEastAsia" w:eastAsiaTheme="minorEastAsia" w:cstheme="minorEastAsia"/>
          <w:color w:val="000000" w:themeColor="text1"/>
          <w:szCs w:val="28"/>
        </w:rPr>
      </w:pPr>
    </w:p>
    <w:p w14:paraId="78C6B754">
      <w:pPr>
        <w:pStyle w:val="2"/>
        <w:spacing w:line="600" w:lineRule="exact"/>
        <w:ind w:left="590" w:firstLine="590"/>
        <w:rPr>
          <w:rFonts w:hint="eastAsia"/>
        </w:rPr>
      </w:pPr>
    </w:p>
    <w:p w14:paraId="49DEF33E">
      <w:pPr>
        <w:pStyle w:val="2"/>
        <w:spacing w:line="600" w:lineRule="exact"/>
        <w:ind w:left="590" w:firstLine="590"/>
        <w:rPr>
          <w:rFonts w:asciiTheme="minorEastAsia" w:hAnsiTheme="minorEastAsia" w:eastAsiaTheme="minorEastAsia" w:cstheme="minorEastAsia"/>
          <w:color w:val="000000" w:themeColor="text1"/>
          <w:szCs w:val="28"/>
        </w:rPr>
      </w:pPr>
    </w:p>
    <w:p w14:paraId="1EA69483">
      <w:pPr>
        <w:pStyle w:val="6"/>
        <w:spacing w:line="600" w:lineRule="exact"/>
        <w:ind w:firstLine="0" w:firstLineChars="0"/>
        <w:jc w:val="center"/>
        <w:rPr>
          <w:color w:val="000000" w:themeColor="text1"/>
          <w:sz w:val="36"/>
          <w:szCs w:val="36"/>
        </w:rPr>
      </w:pPr>
      <w:bookmarkStart w:id="62" w:name="_Toc24430"/>
      <w:bookmarkStart w:id="63" w:name="_Toc3477"/>
      <w:bookmarkStart w:id="64" w:name="_Toc29141"/>
      <w:bookmarkStart w:id="65" w:name="_Toc2879"/>
      <w:bookmarkStart w:id="66" w:name="_Toc7428"/>
      <w:bookmarkStart w:id="67" w:name="_Toc23213"/>
      <w:bookmarkStart w:id="68" w:name="_Toc26214"/>
      <w:r>
        <w:rPr>
          <w:rFonts w:hint="eastAsia"/>
          <w:color w:val="000000" w:themeColor="text1"/>
          <w:sz w:val="36"/>
          <w:szCs w:val="36"/>
        </w:rPr>
        <w:t>第二章 攻坚克难 全面开创社会主义现代化建设新局面</w:t>
      </w:r>
      <w:bookmarkEnd w:id="62"/>
      <w:bookmarkEnd w:id="63"/>
      <w:bookmarkEnd w:id="64"/>
      <w:bookmarkEnd w:id="65"/>
      <w:bookmarkEnd w:id="66"/>
      <w:bookmarkEnd w:id="67"/>
      <w:bookmarkEnd w:id="68"/>
    </w:p>
    <w:p w14:paraId="2C9ABA44">
      <w:pPr>
        <w:pStyle w:val="7"/>
        <w:spacing w:line="600" w:lineRule="exact"/>
        <w:ind w:firstLine="0" w:firstLineChars="0"/>
        <w:jc w:val="center"/>
        <w:rPr>
          <w:rFonts w:ascii="黑体" w:hAnsi="黑体" w:cs="黑体"/>
          <w:color w:val="000000" w:themeColor="text1"/>
        </w:rPr>
      </w:pPr>
      <w:bookmarkStart w:id="69" w:name="_Toc26311"/>
      <w:bookmarkStart w:id="70" w:name="_Toc31225"/>
      <w:bookmarkStart w:id="71" w:name="_Toc12750"/>
      <w:bookmarkStart w:id="72" w:name="_Toc19488"/>
      <w:bookmarkStart w:id="73" w:name="_Toc15178"/>
      <w:bookmarkStart w:id="74" w:name="_Toc3205"/>
      <w:bookmarkStart w:id="75" w:name="_Toc14637"/>
      <w:r>
        <w:rPr>
          <w:rFonts w:hint="eastAsia" w:ascii="黑体" w:hAnsi="黑体" w:cs="黑体"/>
          <w:color w:val="000000" w:themeColor="text1"/>
        </w:rPr>
        <w:t>第一节 指导思想</w:t>
      </w:r>
      <w:bookmarkEnd w:id="69"/>
      <w:bookmarkEnd w:id="70"/>
      <w:bookmarkEnd w:id="71"/>
      <w:bookmarkEnd w:id="72"/>
      <w:bookmarkEnd w:id="73"/>
      <w:bookmarkEnd w:id="74"/>
      <w:bookmarkEnd w:id="75"/>
    </w:p>
    <w:p w14:paraId="5898030E">
      <w:pPr>
        <w:pStyle w:val="14"/>
        <w:adjustRightInd w:val="0"/>
        <w:snapToGrid w:val="0"/>
        <w:spacing w:line="600" w:lineRule="exact"/>
        <w:ind w:firstLine="63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五位一体”的总体布局和“四个全面”的战略布局，坚定不移贯彻新发展理念，坚持稳中求进工作总基调，以推动高质量发展为主题，以深化供给侧结构性改革为主线，以改革创新为根本动力，以满足人民日益增长的美好生活需要为根本目的，统筹发展和安全，</w:t>
      </w:r>
      <w:r>
        <w:rPr>
          <w:rFonts w:hint="eastAsia" w:ascii="仿宋_GB2312" w:hAnsi="仿宋_GB2312" w:eastAsia="仿宋_GB2312" w:cs="仿宋_GB2312"/>
          <w:color w:val="333333"/>
          <w:sz w:val="30"/>
          <w:szCs w:val="30"/>
        </w:rPr>
        <w:t>立足维护国家“五大安全”的战略定位，聚焦补齐“四个短板”，扎实做好“六项重点工作”，深入落实“四个着力”“三个推进”，</w:t>
      </w:r>
      <w:r>
        <w:rPr>
          <w:rFonts w:hint="eastAsia" w:ascii="仿宋_GB2312" w:hAnsi="仿宋_GB2312" w:eastAsia="仿宋_GB2312" w:cs="仿宋_GB2312"/>
          <w:color w:val="000000" w:themeColor="text1"/>
          <w:sz w:val="30"/>
          <w:szCs w:val="30"/>
        </w:rPr>
        <w:t>立足“大循环”谋篇“双循环”，加快建设现代化经济体系，不断提高社会治理体系和治理能力现代化水平，实现经济行稳致远、社会安定和谐，为全面建设社会主义现代化开好局、起好步，建成精致盘山、魅力盘山、幸福盘山！</w:t>
      </w:r>
    </w:p>
    <w:p w14:paraId="02BC1D1B">
      <w:pPr>
        <w:pStyle w:val="7"/>
        <w:spacing w:line="600" w:lineRule="exact"/>
        <w:ind w:firstLine="0" w:firstLineChars="0"/>
        <w:jc w:val="center"/>
        <w:rPr>
          <w:rFonts w:ascii="黑体" w:hAnsi="黑体" w:cs="黑体"/>
          <w:color w:val="000000" w:themeColor="text1"/>
        </w:rPr>
      </w:pPr>
      <w:bookmarkStart w:id="76" w:name="_Toc7732"/>
      <w:bookmarkStart w:id="77" w:name="_Toc19014"/>
      <w:r>
        <w:rPr>
          <w:rFonts w:hint="eastAsia" w:ascii="黑体" w:hAnsi="黑体" w:cs="黑体"/>
          <w:color w:val="000000" w:themeColor="text1"/>
        </w:rPr>
        <w:t>第二节 基本原则</w:t>
      </w:r>
      <w:bookmarkEnd w:id="76"/>
      <w:bookmarkEnd w:id="77"/>
    </w:p>
    <w:p w14:paraId="14BFAA63">
      <w:pPr>
        <w:pStyle w:val="14"/>
        <w:adjustRightInd w:val="0"/>
        <w:snapToGrid w:val="0"/>
        <w:spacing w:line="600" w:lineRule="exact"/>
        <w:ind w:firstLine="63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“十四五”经济社会发展主要坚持以下基本原则：</w:t>
      </w:r>
    </w:p>
    <w:p w14:paraId="338564BA">
      <w:pPr>
        <w:pStyle w:val="14"/>
        <w:adjustRightInd w:val="0"/>
        <w:snapToGrid w:val="0"/>
        <w:spacing w:line="600" w:lineRule="exact"/>
        <w:ind w:firstLine="630"/>
        <w:jc w:val="left"/>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——坚持党的全面领导。</w:t>
      </w:r>
      <w:r>
        <w:rPr>
          <w:rFonts w:hint="eastAsia" w:ascii="仿宋_GB2312" w:hAnsi="仿宋_GB2312" w:eastAsia="仿宋_GB2312" w:cs="仿宋_GB2312"/>
          <w:color w:val="000000" w:themeColor="text1"/>
          <w:sz w:val="30"/>
          <w:szCs w:val="30"/>
          <w:shd w:val="clear" w:color="auto" w:fill="FFFFFF"/>
        </w:rPr>
        <w:t>坚持党领导经济社会发展的体制机制，在经济社会发展各领域各方面切实贯彻“两个维护”的要求，不断提高贯彻新发展理念、构建新发展格局能力和水平，为新时代辽宁全面振兴全方位振兴提供根本保证。</w:t>
      </w:r>
    </w:p>
    <w:p w14:paraId="03430C37">
      <w:pPr>
        <w:pStyle w:val="14"/>
        <w:adjustRightInd w:val="0"/>
        <w:snapToGrid w:val="0"/>
        <w:spacing w:line="600" w:lineRule="exact"/>
        <w:ind w:firstLine="630"/>
        <w:jc w:val="left"/>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坚持以人民为中心。坚持人民主体地位，始终牢记以人民为中心的发展思想，推动发展成果由全县人民共享。着力解决好新时代盘山县居民日益增长的美好生活需求和不平衡不充分发展之间的矛盾，实现全县人民共同富裕，实现好、维护好、发展好全县人民根本利益，凝聚盘山县全面建设社会主义现代化的强大合力。</w:t>
      </w:r>
    </w:p>
    <w:p w14:paraId="09E439E9">
      <w:pPr>
        <w:pStyle w:val="14"/>
        <w:adjustRightInd w:val="0"/>
        <w:snapToGrid w:val="0"/>
        <w:spacing w:line="600" w:lineRule="exact"/>
        <w:ind w:firstLine="630"/>
        <w:jc w:val="left"/>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坚持新发展理念。把新发展理念贯穿全县发展全过程和各领域，构建新发展格局，切实转变发展方式，推动质量变革、效率变革、动力变革，实现更高质量、更有效率、更加公平、更可持续、更为安全的发展。</w:t>
      </w:r>
    </w:p>
    <w:p w14:paraId="360E5899">
      <w:pPr>
        <w:pStyle w:val="14"/>
        <w:adjustRightInd w:val="0"/>
        <w:snapToGrid w:val="0"/>
        <w:spacing w:line="600" w:lineRule="exact"/>
        <w:ind w:firstLine="630"/>
        <w:jc w:val="left"/>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——坚持深化改革开放。</w:t>
      </w:r>
      <w:r>
        <w:rPr>
          <w:rFonts w:hint="eastAsia" w:ascii="仿宋_GB2312" w:hAnsi="仿宋_GB2312" w:eastAsia="仿宋_GB2312" w:cs="仿宋_GB2312"/>
          <w:color w:val="000000" w:themeColor="text1"/>
          <w:sz w:val="30"/>
          <w:szCs w:val="30"/>
          <w:shd w:val="clear" w:color="auto" w:fill="FFFFFF"/>
        </w:rPr>
        <w:t>坚持深化改革、扩大开放、创新驱动协同发力，进一步解放思想，坚决破除体制机制障碍，充分释放开放活力，大力推进科技创新和制度创新，持续增强振兴发展的动力和活力。</w:t>
      </w:r>
    </w:p>
    <w:p w14:paraId="1D990450">
      <w:pPr>
        <w:pStyle w:val="14"/>
        <w:adjustRightInd w:val="0"/>
        <w:snapToGrid w:val="0"/>
        <w:spacing w:line="600" w:lineRule="exact"/>
        <w:ind w:firstLine="630"/>
        <w:jc w:val="left"/>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坚持系统观念。加强前瞻性思考、全局性谋划、战略性布局、整体性推进，统筹国内国际两个大局，办好发展安全两件大事，坚持全县一盘棋，更好发挥各方面积极性，着力固根基、扬优势、补短板、强弱项，注重防范化解重大风险挑战，实现发展质量、结构、规模、速度、效益、安全相统一。</w:t>
      </w:r>
    </w:p>
    <w:p w14:paraId="4170C6C8">
      <w:pPr>
        <w:pStyle w:val="7"/>
        <w:spacing w:line="600" w:lineRule="exact"/>
        <w:ind w:firstLine="0" w:firstLineChars="0"/>
        <w:jc w:val="center"/>
        <w:rPr>
          <w:rFonts w:ascii="黑体" w:hAnsi="黑体" w:cs="黑体"/>
          <w:color w:val="000000" w:themeColor="text1"/>
        </w:rPr>
      </w:pPr>
      <w:bookmarkStart w:id="78" w:name="_Toc10142"/>
      <w:bookmarkStart w:id="79" w:name="_Toc16497"/>
      <w:bookmarkStart w:id="80" w:name="_Toc11720"/>
      <w:bookmarkStart w:id="81" w:name="_Toc19430"/>
      <w:bookmarkStart w:id="82" w:name="_Toc13371"/>
      <w:bookmarkStart w:id="83" w:name="_Toc5180"/>
      <w:bookmarkStart w:id="84" w:name="_Toc12754"/>
      <w:r>
        <w:rPr>
          <w:rFonts w:hint="eastAsia" w:ascii="黑体" w:hAnsi="黑体" w:cs="黑体"/>
          <w:color w:val="000000" w:themeColor="text1"/>
        </w:rPr>
        <w:t>第三节 奋斗目标</w:t>
      </w:r>
      <w:bookmarkEnd w:id="78"/>
      <w:bookmarkEnd w:id="79"/>
      <w:bookmarkEnd w:id="80"/>
      <w:bookmarkEnd w:id="81"/>
      <w:bookmarkEnd w:id="82"/>
      <w:bookmarkEnd w:id="83"/>
      <w:bookmarkEnd w:id="84"/>
    </w:p>
    <w:p w14:paraId="1EBF642C">
      <w:pPr>
        <w:spacing w:beforeLines="50" w:line="600" w:lineRule="exact"/>
        <w:ind w:firstLine="632"/>
        <w:rPr>
          <w:rFonts w:ascii="仿宋_GB2312" w:hAnsi="仿宋_GB2312" w:eastAsia="仿宋_GB2312" w:cs="仿宋_GB2312"/>
          <w:color w:val="000000" w:themeColor="text1"/>
          <w:sz w:val="30"/>
          <w:szCs w:val="30"/>
        </w:rPr>
      </w:pPr>
      <w:r>
        <w:rPr>
          <w:rFonts w:hint="eastAsia" w:ascii="仿宋_GB2312" w:hAnsi="仿宋_GB2312" w:eastAsia="仿宋_GB2312" w:cs="仿宋_GB2312"/>
          <w:b/>
          <w:bCs/>
          <w:color w:val="000000" w:themeColor="text1"/>
          <w:sz w:val="30"/>
          <w:szCs w:val="30"/>
        </w:rPr>
        <w:t>二〇三五年基本实现社会主义现代化远景目标：</w:t>
      </w:r>
      <w:r>
        <w:rPr>
          <w:rFonts w:hint="eastAsia" w:ascii="仿宋_GB2312" w:hAnsi="仿宋_GB2312" w:eastAsia="仿宋_GB2312" w:cs="仿宋_GB2312"/>
          <w:color w:val="000000" w:themeColor="text1"/>
          <w:sz w:val="30"/>
          <w:szCs w:val="30"/>
        </w:rPr>
        <w:t>经济发展水平、科技创新能力将大幅跃升，经济总量和城乡居民人均收入将再迈上新的大台阶，主导产业领域关键核心技术实现重大突破，力争进入国内创新型县城前列；基本实现新型工业化、信息化、城镇化、农业现代化，建成现代化经济体系；基本实现治理体系和治理能力现代化，人民平等参与、平等发展权利得到充分保障，基本建成法治盘山、法治政府、法治社会；建成文化强县、教育强县、人才强县、健康盘山，居民素质和社会文明程度达到新高度，文化软实力显著增强；广泛形成绿色生产生活方式，不断拓展生态文明创建的广度和深度,持续巩固提升创建成果，美丽盘山、魅力盘山建设目标基本实现；形成对外开放新格局，参与区域经济合作和竞争新优势明显增强；人均地区生产总值提前达到中等发达国家水平，中等收入群体显著扩大，基本公共服务实现均等化；平安盘山建设达到更高水平，人民生活更加美好。</w:t>
      </w:r>
    </w:p>
    <w:p w14:paraId="55643D70">
      <w:pPr>
        <w:pStyle w:val="14"/>
        <w:spacing w:line="600" w:lineRule="exact"/>
        <w:ind w:firstLine="630"/>
        <w:jc w:val="left"/>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十四五”时期，要锚定二〇三五年远景目标，综合考虑国内外发展趋势和自身发展条件，坚持目标导向和问题导向相结合，坚持守正和创新相统一，持续推动“工业扩量升级、现代服务业提质增效、农业做精特色”，力争将盘山县建设成为“国家新型城镇化示范县”，高质量冲刺全国“百强县”，构建绿色转型升级、高质量发展新格局。具体目标如下：</w:t>
      </w:r>
    </w:p>
    <w:p w14:paraId="1CE11F78">
      <w:pPr>
        <w:adjustRightInd w:val="0"/>
        <w:snapToGrid w:val="0"/>
        <w:spacing w:line="600" w:lineRule="exact"/>
        <w:ind w:firstLine="632"/>
        <w:rPr>
          <w:rFonts w:ascii="仿宋_GB2312" w:hAnsi="仿宋_GB2312" w:eastAsia="仿宋_GB2312" w:cs="仿宋_GB2312"/>
          <w:color w:val="000000" w:themeColor="text1"/>
          <w:sz w:val="30"/>
          <w:szCs w:val="30"/>
        </w:rPr>
      </w:pPr>
      <w:r>
        <w:rPr>
          <w:rFonts w:hint="eastAsia" w:ascii="仿宋_GB2312" w:hAnsi="仿宋_GB2312" w:eastAsia="仿宋_GB2312" w:cs="仿宋_GB2312"/>
          <w:b/>
          <w:bCs/>
          <w:color w:val="000000" w:themeColor="text1"/>
          <w:sz w:val="30"/>
          <w:szCs w:val="30"/>
        </w:rPr>
        <w:t>——综合经济实力显著增强。</w:t>
      </w:r>
      <w:r>
        <w:rPr>
          <w:rFonts w:hint="eastAsia" w:ascii="仿宋_GB2312" w:hAnsi="仿宋_GB2312" w:eastAsia="仿宋_GB2312" w:cs="仿宋_GB2312"/>
          <w:color w:val="000000" w:themeColor="text1"/>
          <w:sz w:val="30"/>
          <w:szCs w:val="30"/>
        </w:rPr>
        <w:t>在质量效益明显提升的基础上，保持经济中高速增长，实现经济结构更加优化，创新能力显著提升，产业基础高级化、产业链现代化水平明显提高，农业品牌稳固提升，城乡区域发展协调性明显增强，现代化经济体系建设取得重大进展。确保实现GDP350亿元，年均增速确保达到9.5%；固定资产投资五年累计超过400亿元；一般公共财政预算收入确保达到45亿元。</w:t>
      </w:r>
    </w:p>
    <w:p w14:paraId="53BC840E">
      <w:pPr>
        <w:adjustRightInd w:val="0"/>
        <w:snapToGrid w:val="0"/>
        <w:spacing w:line="600" w:lineRule="exact"/>
        <w:ind w:firstLine="632"/>
        <w:jc w:val="left"/>
        <w:rPr>
          <w:rFonts w:ascii="仿宋_GB2312" w:hAnsi="仿宋_GB2312" w:eastAsia="仿宋_GB2312" w:cs="仿宋_GB2312"/>
          <w:b/>
          <w:bCs/>
          <w:color w:val="000000" w:themeColor="text1"/>
          <w:sz w:val="30"/>
          <w:szCs w:val="30"/>
        </w:rPr>
      </w:pPr>
      <w:r>
        <w:rPr>
          <w:rFonts w:hint="eastAsia" w:ascii="仿宋_GB2312" w:hAnsi="仿宋_GB2312" w:eastAsia="仿宋_GB2312" w:cs="仿宋_GB2312"/>
          <w:b/>
          <w:bCs/>
          <w:color w:val="000000" w:themeColor="text1"/>
          <w:sz w:val="30"/>
          <w:szCs w:val="30"/>
        </w:rPr>
        <w:t>——改革开放迈出新步伐。</w:t>
      </w:r>
      <w:r>
        <w:rPr>
          <w:rFonts w:hint="eastAsia" w:ascii="仿宋_GB2312" w:hAnsi="仿宋_GB2312" w:eastAsia="仿宋_GB2312" w:cs="仿宋_GB2312"/>
          <w:color w:val="000000" w:themeColor="text1"/>
          <w:sz w:val="30"/>
          <w:szCs w:val="30"/>
        </w:rPr>
        <w:t>社会主义市场经济体制更加完善，体制机制创新取得重大进展，市场化法治化国际化营商环境建设取得明显成效，产权制度改革和要素市场化配置改革更加深入，公平竞争机制更加健全，更高水平开放型经济新体制基本形成。</w:t>
      </w:r>
    </w:p>
    <w:p w14:paraId="438DE0D9">
      <w:pPr>
        <w:adjustRightInd w:val="0"/>
        <w:snapToGrid w:val="0"/>
        <w:spacing w:line="600" w:lineRule="exact"/>
        <w:ind w:firstLine="632"/>
        <w:jc w:val="left"/>
        <w:rPr>
          <w:rFonts w:ascii="仿宋_GB2312" w:hAnsi="仿宋_GB2312" w:eastAsia="仿宋_GB2312" w:cs="仿宋_GB2312"/>
          <w:color w:val="000000" w:themeColor="text1"/>
          <w:sz w:val="30"/>
          <w:szCs w:val="30"/>
        </w:rPr>
      </w:pPr>
      <w:r>
        <w:rPr>
          <w:rFonts w:hint="eastAsia" w:ascii="仿宋_GB2312" w:hAnsi="仿宋_GB2312" w:eastAsia="仿宋_GB2312" w:cs="仿宋_GB2312"/>
          <w:b/>
          <w:bCs/>
          <w:color w:val="000000" w:themeColor="text1"/>
          <w:sz w:val="30"/>
          <w:szCs w:val="30"/>
        </w:rPr>
        <w:t>——生态文明建设取得新进步。</w:t>
      </w:r>
      <w:r>
        <w:rPr>
          <w:rFonts w:hint="eastAsia" w:ascii="仿宋_GB2312" w:hAnsi="仿宋_GB2312" w:eastAsia="仿宋_GB2312" w:cs="仿宋_GB2312"/>
          <w:color w:val="000000" w:themeColor="text1"/>
          <w:sz w:val="30"/>
          <w:szCs w:val="30"/>
        </w:rPr>
        <w:t>国土空间开发保护格局得到优化，生产生活方式绿色转型成效显著，能源资源配置更加合理、利用效率大幅提高，主要污染物排放总量持续减少，生态环境尤其是城乡人居环境明显改善，生态安全屏障更加牢固，实现盘山的天更蓝、地更绿、水更清、村更美。</w:t>
      </w:r>
    </w:p>
    <w:p w14:paraId="0F7C23BA">
      <w:pPr>
        <w:adjustRightInd w:val="0"/>
        <w:snapToGrid w:val="0"/>
        <w:spacing w:line="600" w:lineRule="exact"/>
        <w:ind w:firstLine="632"/>
        <w:jc w:val="left"/>
        <w:rPr>
          <w:rFonts w:ascii="仿宋_GB2312" w:hAnsi="仿宋_GB2312" w:eastAsia="仿宋_GB2312" w:cs="仿宋_GB2312"/>
          <w:b/>
          <w:bCs/>
          <w:color w:val="000000" w:themeColor="text1"/>
          <w:sz w:val="30"/>
          <w:szCs w:val="30"/>
        </w:rPr>
      </w:pPr>
      <w:r>
        <w:rPr>
          <w:rFonts w:hint="eastAsia" w:ascii="仿宋_GB2312" w:hAnsi="仿宋_GB2312" w:eastAsia="仿宋_GB2312" w:cs="仿宋_GB2312"/>
          <w:b/>
          <w:bCs/>
          <w:color w:val="000000" w:themeColor="text1"/>
          <w:sz w:val="30"/>
          <w:szCs w:val="30"/>
        </w:rPr>
        <w:t>——民生福祉达到新水平。</w:t>
      </w:r>
      <w:r>
        <w:rPr>
          <w:rFonts w:hint="eastAsia" w:ascii="仿宋_GB2312" w:hAnsi="仿宋_GB2312" w:eastAsia="仿宋_GB2312" w:cs="仿宋_GB2312"/>
          <w:color w:val="000000" w:themeColor="text1"/>
          <w:sz w:val="30"/>
          <w:szCs w:val="30"/>
        </w:rPr>
        <w:t>教育、文化、社保、医疗等公共服务体系更加健全，基本公共服务实现均等化，实现更加充分更高质量就业，居民收入增长和经济增长基本同步，全民受教育程度不断提升，多层次社会保障体系更加健全，卫生健康体系更加完善，群众幸福感、获得感明显增强，改革发展成果更多、更公平地惠及全县人民。</w:t>
      </w:r>
    </w:p>
    <w:p w14:paraId="4CF89E14">
      <w:pPr>
        <w:adjustRightInd w:val="0"/>
        <w:snapToGrid w:val="0"/>
        <w:spacing w:line="600" w:lineRule="exact"/>
        <w:ind w:firstLine="632"/>
        <w:jc w:val="left"/>
        <w:rPr>
          <w:rFonts w:ascii="仿宋_GB2312" w:hAnsi="仿宋_GB2312" w:eastAsia="仿宋_GB2312" w:cs="仿宋_GB2312"/>
          <w:color w:val="000000" w:themeColor="text1"/>
          <w:sz w:val="30"/>
          <w:szCs w:val="30"/>
        </w:rPr>
      </w:pPr>
      <w:r>
        <w:rPr>
          <w:rFonts w:hint="eastAsia" w:ascii="仿宋_GB2312" w:hAnsi="仿宋_GB2312" w:eastAsia="仿宋_GB2312" w:cs="仿宋_GB2312"/>
          <w:b/>
          <w:bCs/>
          <w:color w:val="000000" w:themeColor="text1"/>
          <w:sz w:val="30"/>
          <w:szCs w:val="30"/>
        </w:rPr>
        <w:t>——乡村振兴获得新成效。</w:t>
      </w:r>
      <w:r>
        <w:rPr>
          <w:rFonts w:hint="eastAsia" w:ascii="仿宋_GB2312" w:hAnsi="仿宋_GB2312" w:eastAsia="仿宋_GB2312" w:cs="仿宋_GB2312"/>
          <w:color w:val="000000" w:themeColor="text1"/>
          <w:sz w:val="30"/>
          <w:szCs w:val="30"/>
        </w:rPr>
        <w:t>乡村振兴战略全面推进。现代农业体系初步构建，产业融合发展格局初步形成，农民增收渠道不断拓展；农村基础设施不断完善，基本公共服务供给质量显著提升；农村人居环境显著改善，美丽乡村建设扎实推进；乡村优秀传统文化得以传承发展，农民精神文化需求得到满足；乡村治理能力和治理体系进一步提升。</w:t>
      </w:r>
    </w:p>
    <w:p w14:paraId="0720F40F">
      <w:pPr>
        <w:pStyle w:val="14"/>
        <w:spacing w:line="600" w:lineRule="exact"/>
        <w:ind w:firstLine="632"/>
        <w:rPr>
          <w:rFonts w:ascii="仿宋_GB2312" w:hAnsi="仿宋_GB2312" w:eastAsia="仿宋_GB2312" w:cs="仿宋_GB2312"/>
          <w:color w:val="000000" w:themeColor="text1"/>
          <w:sz w:val="30"/>
          <w:szCs w:val="30"/>
        </w:rPr>
      </w:pPr>
      <w:r>
        <w:rPr>
          <w:rFonts w:hint="eastAsia" w:ascii="仿宋_GB2312" w:hAnsi="仿宋_GB2312" w:eastAsia="仿宋_GB2312" w:cs="仿宋_GB2312"/>
          <w:b/>
          <w:bCs/>
          <w:color w:val="000000" w:themeColor="text1"/>
          <w:sz w:val="30"/>
          <w:szCs w:val="30"/>
        </w:rPr>
        <w:t>——城镇化建设实现新突破。</w:t>
      </w:r>
      <w:r>
        <w:rPr>
          <w:rFonts w:hint="eastAsia" w:ascii="仿宋_GB2312" w:hAnsi="仿宋_GB2312" w:eastAsia="仿宋_GB2312" w:cs="仿宋_GB2312"/>
          <w:color w:val="000000" w:themeColor="text1"/>
          <w:sz w:val="30"/>
          <w:szCs w:val="30"/>
        </w:rPr>
        <w:t>坚持以“人的城镇化”为核心，统筹推进新型城镇化，构建“人与城”、“产与城”、“乡与城”融合互促的良好发展局面，全力打造生态环境高颜值、现代经济高质量、地域文化高特色、县域治理高水平、人民生活高品质的全国新型城镇化样板县，新型城镇化和新型工业化融合发展的示范县。</w:t>
      </w:r>
    </w:p>
    <w:p w14:paraId="2FC5C378">
      <w:pPr>
        <w:pStyle w:val="14"/>
        <w:spacing w:line="600" w:lineRule="exact"/>
        <w:ind w:firstLine="632"/>
        <w:rPr>
          <w:rFonts w:ascii="仿宋_GB2312" w:hAnsi="仿宋_GB2312" w:eastAsia="仿宋_GB2312" w:cs="仿宋_GB2312"/>
          <w:color w:val="000000" w:themeColor="text1"/>
          <w:sz w:val="30"/>
          <w:szCs w:val="30"/>
        </w:rPr>
      </w:pPr>
      <w:r>
        <w:rPr>
          <w:rFonts w:hint="eastAsia" w:ascii="仿宋_GB2312" w:hAnsi="仿宋_GB2312" w:eastAsia="仿宋_GB2312" w:cs="仿宋_GB2312"/>
          <w:b/>
          <w:bCs/>
          <w:color w:val="000000" w:themeColor="text1"/>
          <w:sz w:val="30"/>
          <w:szCs w:val="30"/>
        </w:rPr>
        <w:t>——社会文明程度有新提高。</w:t>
      </w:r>
      <w:r>
        <w:rPr>
          <w:rFonts w:hint="eastAsia" w:ascii="仿宋_GB2312" w:hAnsi="仿宋_GB2312" w:eastAsia="仿宋_GB2312" w:cs="仿宋_GB2312"/>
          <w:color w:val="000000" w:themeColor="text1"/>
          <w:sz w:val="30"/>
          <w:szCs w:val="30"/>
        </w:rPr>
        <w:t>社会主义核心价值观深入人心，人民思想道德素质、科学文化素质和身心健康素质明显提高，向上向善、诚信互助的社会风尚更加浓厚，公共文化服务体系基本建成，文化产业对全县经济增长的贡献率明显提高。人民精神文化生活日益丰富，人民群众凝聚力进一步增强。</w:t>
      </w:r>
    </w:p>
    <w:p w14:paraId="3F810363">
      <w:pPr>
        <w:spacing w:line="600" w:lineRule="exact"/>
        <w:ind w:firstLine="632"/>
        <w:rPr>
          <w:rFonts w:ascii="仿宋_GB2312" w:hAnsi="仿宋_GB2312" w:eastAsia="仿宋_GB2312" w:cs="仿宋_GB2312"/>
          <w:color w:val="000000" w:themeColor="text1"/>
          <w:sz w:val="30"/>
          <w:szCs w:val="30"/>
        </w:rPr>
      </w:pPr>
      <w:r>
        <w:rPr>
          <w:rFonts w:hint="eastAsia" w:ascii="仿宋_GB2312" w:hAnsi="仿宋_GB2312" w:eastAsia="仿宋_GB2312" w:cs="仿宋_GB2312"/>
          <w:b/>
          <w:bCs/>
          <w:color w:val="000000" w:themeColor="text1"/>
          <w:sz w:val="30"/>
          <w:szCs w:val="30"/>
        </w:rPr>
        <w:t>——社会治理效能得到新提升。</w:t>
      </w:r>
      <w:r>
        <w:rPr>
          <w:rFonts w:hint="eastAsia" w:ascii="仿宋_GB2312" w:hAnsi="仿宋_GB2312" w:eastAsia="仿宋_GB2312" w:cs="仿宋_GB2312"/>
          <w:color w:val="000000" w:themeColor="text1"/>
          <w:sz w:val="30"/>
          <w:szCs w:val="30"/>
        </w:rPr>
        <w:t>全社会法治意识不断增强，社会公平正义进一步彰显，政府作用更好发挥，行政效率和公信力显著提升，社会治理特别是基层治理水平明显提高，防范化解重大风险体制机制不断健全，突发公共事件应急能力显著增强，自然灾害防御水平明显提升，发展安全保障更加有力，治理体系和治理能力现代化迈出重大步伐。</w:t>
      </w:r>
    </w:p>
    <w:p w14:paraId="1CEF988D">
      <w:pPr>
        <w:adjustRightInd w:val="0"/>
        <w:snapToGrid w:val="0"/>
        <w:spacing w:beforeLines="50" w:line="600" w:lineRule="exact"/>
        <w:ind w:firstLine="0" w:firstLineChars="0"/>
        <w:jc w:val="center"/>
        <w:rPr>
          <w:rFonts w:ascii="宋体" w:hAnsi="宋体" w:eastAsia="宋体" w:cs="宋体"/>
          <w:b/>
          <w:bCs/>
          <w:color w:val="000000" w:themeColor="text1"/>
          <w:sz w:val="21"/>
          <w:szCs w:val="21"/>
          <w:highlight w:val="red"/>
        </w:rPr>
      </w:pPr>
      <w:r>
        <w:rPr>
          <w:rFonts w:hint="eastAsia" w:ascii="宋体" w:hAnsi="宋体" w:eastAsia="宋体" w:cs="宋体"/>
          <w:b/>
          <w:bCs/>
          <w:color w:val="000000" w:themeColor="text1"/>
          <w:sz w:val="24"/>
          <w:szCs w:val="24"/>
        </w:rPr>
        <w:t>表1-1盘山县“十四五”期间经济社会发展</w:t>
      </w:r>
      <w:r>
        <w:rPr>
          <w:rFonts w:hint="eastAsia" w:ascii="宋体" w:hAnsi="宋体" w:eastAsia="宋体" w:cs="宋体"/>
          <w:b/>
          <w:color w:val="000000"/>
          <w:kern w:val="0"/>
          <w:sz w:val="24"/>
          <w:szCs w:val="24"/>
        </w:rPr>
        <w:t>指标体系表</w:t>
      </w:r>
    </w:p>
    <w:tbl>
      <w:tblPr>
        <w:tblStyle w:val="23"/>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4"/>
        <w:gridCol w:w="4525"/>
        <w:gridCol w:w="1071"/>
        <w:gridCol w:w="1121"/>
        <w:gridCol w:w="1144"/>
        <w:gridCol w:w="951"/>
      </w:tblGrid>
      <w:tr w14:paraId="41CF4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tblHeader/>
        </w:trPr>
        <w:tc>
          <w:tcPr>
            <w:tcW w:w="30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4B148C4F">
            <w:pPr>
              <w:widowControl/>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类别</w:t>
            </w: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7D520D17">
            <w:pPr>
              <w:widowControl/>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指标</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38F4A658">
            <w:pPr>
              <w:widowControl/>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2020</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3B7CE402">
            <w:pPr>
              <w:widowControl/>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2025</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6987B0ED">
            <w:pPr>
              <w:widowControl/>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累计或年均增长（%）</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3343D55F">
            <w:pPr>
              <w:widowControl/>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属性</w:t>
            </w:r>
          </w:p>
        </w:tc>
      </w:tr>
      <w:tr w14:paraId="58649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restar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4AD16978">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经济发展</w:t>
            </w: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722C34E7">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地区生产总值（亿元）</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0F1134F9">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201.7</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321B1D99">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350-400</w:t>
            </w:r>
            <w:r>
              <w:rPr>
                <w:rFonts w:hint="eastAsia" w:ascii="宋体" w:hAnsi="宋体" w:eastAsia="宋体" w:cs="宋体"/>
                <w:color w:val="000000"/>
                <w:sz w:val="21"/>
                <w:szCs w:val="21"/>
                <w:vertAlign w:val="superscript"/>
              </w:rPr>
              <w:t>1</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4EBD2EF3">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9.5-11</w:t>
            </w:r>
            <w:r>
              <w:rPr>
                <w:rFonts w:hint="eastAsia" w:ascii="宋体" w:hAnsi="宋体" w:eastAsia="宋体" w:cs="宋体"/>
                <w:color w:val="000000"/>
                <w:sz w:val="21"/>
                <w:szCs w:val="21"/>
                <w:vertAlign w:val="superscript"/>
              </w:rPr>
              <w:t>2</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00C2C7B8">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预期性</w:t>
            </w:r>
          </w:p>
        </w:tc>
      </w:tr>
      <w:tr w14:paraId="36160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continue"/>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6BCFC0CE">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5E0A6C18">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一般公共预算收入（亿元）</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7582EE9A">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27</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555D8406">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45-50</w:t>
            </w:r>
            <w:r>
              <w:rPr>
                <w:rFonts w:hint="eastAsia" w:ascii="宋体" w:hAnsi="宋体" w:eastAsia="宋体" w:cs="宋体"/>
                <w:color w:val="000000"/>
                <w:sz w:val="21"/>
                <w:szCs w:val="21"/>
                <w:vertAlign w:val="superscript"/>
              </w:rPr>
              <w:t>3</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2B2CA340">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10.5-12.5</w:t>
            </w:r>
            <w:r>
              <w:rPr>
                <w:rFonts w:hint="eastAsia" w:ascii="宋体" w:hAnsi="宋体" w:eastAsia="宋体" w:cs="宋体"/>
                <w:color w:val="000000"/>
                <w:sz w:val="21"/>
                <w:szCs w:val="21"/>
                <w:vertAlign w:val="superscript"/>
              </w:rPr>
              <w:t>4</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729742D4">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预期性</w:t>
            </w:r>
          </w:p>
        </w:tc>
      </w:tr>
      <w:tr w14:paraId="4506A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continue"/>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6CA2963C">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78F5C487">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常住人口城镇化率（%）</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6EBAE771">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2</w:t>
            </w:r>
            <w:r>
              <w:rPr>
                <w:rFonts w:ascii="宋体" w:hAnsi="宋体" w:eastAsia="宋体" w:cs="宋体"/>
                <w:color w:val="000000"/>
                <w:sz w:val="21"/>
                <w:szCs w:val="21"/>
              </w:rPr>
              <w:t>7.5</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0904E95A">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2</w:t>
            </w:r>
            <w:r>
              <w:rPr>
                <w:rFonts w:ascii="宋体" w:hAnsi="宋体" w:eastAsia="宋体" w:cs="宋体"/>
                <w:color w:val="000000"/>
                <w:sz w:val="21"/>
                <w:szCs w:val="21"/>
              </w:rPr>
              <w:t>8.5</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1D4B6DB9">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7A3633EA">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预期性</w:t>
            </w:r>
          </w:p>
        </w:tc>
      </w:tr>
      <w:tr w14:paraId="1C580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continue"/>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12D1E061">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34C98FB5">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全员劳动生产率（万元/人）</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4A1C7D25">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0B6C0395">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38DB300E">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与经济增长同步</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1B955729">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预期性</w:t>
            </w:r>
          </w:p>
        </w:tc>
      </w:tr>
      <w:tr w14:paraId="16558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continue"/>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578A4641">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2E54D74B">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营商便利度</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76B05938">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0E0E07B3">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先进行列</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27E363A8">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09916D04">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预期性</w:t>
            </w:r>
          </w:p>
        </w:tc>
      </w:tr>
      <w:tr w14:paraId="783CD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continue"/>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5B9B6ACE">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555C3373">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制造业增加值率（%）</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2DC92791">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13.7</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38671378">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17.5</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38C7849D">
            <w:pPr>
              <w:widowControl/>
              <w:adjustRightInd w:val="0"/>
              <w:snapToGrid w:val="0"/>
              <w:spacing w:line="600" w:lineRule="exact"/>
              <w:ind w:firstLine="0" w:firstLineChars="0"/>
              <w:jc w:val="center"/>
              <w:rPr>
                <w:rFonts w:ascii="宋体" w:hAnsi="宋体" w:eastAsia="宋体" w:cs="宋体"/>
                <w:color w:val="000000"/>
                <w:sz w:val="21"/>
                <w:szCs w:val="21"/>
                <w:vertAlign w:val="superscript"/>
              </w:rPr>
            </w:pPr>
            <w:r>
              <w:rPr>
                <w:rFonts w:hint="eastAsia" w:ascii="宋体" w:hAnsi="宋体" w:eastAsia="宋体" w:cs="宋体"/>
                <w:color w:val="000000"/>
                <w:sz w:val="21"/>
                <w:szCs w:val="21"/>
              </w:rPr>
              <w:t>[</w:t>
            </w:r>
            <w:r>
              <w:rPr>
                <w:rFonts w:ascii="宋体" w:hAnsi="宋体" w:eastAsia="宋体" w:cs="宋体"/>
                <w:color w:val="000000"/>
                <w:sz w:val="21"/>
                <w:szCs w:val="21"/>
              </w:rPr>
              <w:t>27.7</w:t>
            </w:r>
            <w:r>
              <w:rPr>
                <w:rFonts w:hint="eastAsia" w:ascii="宋体" w:hAnsi="宋体" w:eastAsia="宋体" w:cs="宋体"/>
                <w:color w:val="000000"/>
                <w:sz w:val="21"/>
                <w:szCs w:val="21"/>
              </w:rPr>
              <w:t>]</w:t>
            </w:r>
            <w:r>
              <w:rPr>
                <w:rFonts w:ascii="宋体" w:hAnsi="宋体" w:eastAsia="宋体" w:cs="宋体"/>
                <w:color w:val="000000"/>
                <w:sz w:val="21"/>
                <w:szCs w:val="21"/>
                <w:vertAlign w:val="superscript"/>
              </w:rPr>
              <w:t>5</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5881244F">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预期性</w:t>
            </w:r>
          </w:p>
        </w:tc>
      </w:tr>
      <w:tr w14:paraId="3DF6E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continue"/>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7E6B7769">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6ACDA5C0">
            <w:pPr>
              <w:widowControl/>
              <w:adjustRightInd w:val="0"/>
              <w:snapToGrid w:val="0"/>
              <w:spacing w:line="600" w:lineRule="exac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高端装备制造业营业收入占装备制造业</w:t>
            </w:r>
          </w:p>
          <w:p w14:paraId="59B9DFF8">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营业收入比重（</w:t>
            </w:r>
            <w:r>
              <w:rPr>
                <w:rFonts w:ascii="宋体" w:hAnsi="宋体" w:eastAsia="宋体" w:cs="宋体"/>
                <w:color w:val="000000"/>
                <w:kern w:val="0"/>
                <w:sz w:val="21"/>
                <w:szCs w:val="21"/>
              </w:rPr>
              <w:t>%）</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2AFD28B1">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06F44A75">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6</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3700A53A">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3C979C80">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预期性</w:t>
            </w:r>
          </w:p>
        </w:tc>
      </w:tr>
      <w:tr w14:paraId="0FCD4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exact"/>
        </w:trPr>
        <w:tc>
          <w:tcPr>
            <w:tcW w:w="301" w:type="pct"/>
            <w:vMerge w:val="continue"/>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5A0D8774">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21F0B33E">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招商引资实到内资（亿元）</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28A6AD25">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47</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744ADA83">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70.7</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1A8FB217">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8.5</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6323CFFD">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预期性</w:t>
            </w:r>
          </w:p>
        </w:tc>
      </w:tr>
      <w:tr w14:paraId="7D5CF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continue"/>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3BF7C759">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07FFFC3E">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石化产业精细化率（%）</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5623CB02">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44B26299">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&gt;40</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13598F6E">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6D466CAC">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预期性</w:t>
            </w:r>
          </w:p>
        </w:tc>
      </w:tr>
      <w:tr w14:paraId="0387B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restart"/>
            <w:tcBorders>
              <w:top w:val="dotted" w:color="auto" w:sz="4" w:space="0"/>
              <w:left w:val="dotted" w:color="auto" w:sz="4" w:space="0"/>
              <w:right w:val="dotted" w:color="auto" w:sz="4" w:space="0"/>
              <w:tl2br w:val="nil"/>
              <w:tr2bl w:val="nil"/>
            </w:tcBorders>
            <w:shd w:val="clear" w:color="auto" w:fill="FFFFFF"/>
            <w:noWrap/>
            <w:tcMar>
              <w:top w:w="15" w:type="dxa"/>
              <w:left w:w="15" w:type="dxa"/>
              <w:right w:w="15" w:type="dxa"/>
            </w:tcMar>
            <w:vAlign w:val="center"/>
          </w:tcPr>
          <w:p w14:paraId="5E0946E4">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创新驱动</w:t>
            </w: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271D486B">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研究经费投入增长（%）</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6465D0B6">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6E1306D7">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62D8AA9E">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6</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12F2009B">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预期性</w:t>
            </w:r>
          </w:p>
        </w:tc>
      </w:tr>
      <w:tr w14:paraId="2FD3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trPr>
        <w:tc>
          <w:tcPr>
            <w:tcW w:w="301" w:type="pct"/>
            <w:vMerge w:val="continue"/>
            <w:tcBorders>
              <w:left w:val="dotted" w:color="auto" w:sz="4" w:space="0"/>
              <w:right w:val="dotted" w:color="auto" w:sz="4" w:space="0"/>
              <w:tl2br w:val="nil"/>
              <w:tr2bl w:val="nil"/>
            </w:tcBorders>
            <w:shd w:val="clear" w:color="auto" w:fill="FFFFFF"/>
            <w:noWrap/>
            <w:tcMar>
              <w:top w:w="15" w:type="dxa"/>
              <w:left w:w="15" w:type="dxa"/>
              <w:right w:w="15" w:type="dxa"/>
            </w:tcMar>
            <w:vAlign w:val="center"/>
          </w:tcPr>
          <w:p w14:paraId="3CE00063">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09A40F94">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每万家企业法人中科技型中小企业注册数（家）</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0BDC8930">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37</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62EEE1A3">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48</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7B4992A4">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5.3</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2957B82F">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预期性</w:t>
            </w:r>
          </w:p>
        </w:tc>
      </w:tr>
      <w:tr w14:paraId="5B59D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continue"/>
            <w:tcBorders>
              <w:left w:val="dotted" w:color="auto" w:sz="4" w:space="0"/>
              <w:right w:val="dotted" w:color="auto" w:sz="4" w:space="0"/>
              <w:tl2br w:val="nil"/>
              <w:tr2bl w:val="nil"/>
            </w:tcBorders>
            <w:shd w:val="clear" w:color="auto" w:fill="FFFFFF"/>
            <w:noWrap/>
            <w:tcMar>
              <w:top w:w="15" w:type="dxa"/>
              <w:left w:w="15" w:type="dxa"/>
              <w:right w:w="15" w:type="dxa"/>
            </w:tcMar>
            <w:vAlign w:val="center"/>
          </w:tcPr>
          <w:p w14:paraId="7E4EE1A3">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7AE6F0CF">
            <w:pPr>
              <w:widowControl/>
              <w:adjustRightInd w:val="0"/>
              <w:snapToGrid w:val="0"/>
              <w:spacing w:line="600" w:lineRule="exac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每万人口高价值发明专利拥有量（件）</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4AC941CB">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0</w:t>
            </w:r>
            <w:r>
              <w:rPr>
                <w:rFonts w:ascii="宋体" w:hAnsi="宋体" w:eastAsia="宋体" w:cs="宋体"/>
                <w:color w:val="000000"/>
                <w:sz w:val="21"/>
                <w:szCs w:val="21"/>
              </w:rPr>
              <w:t>.8</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480C3075">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1</w:t>
            </w:r>
            <w:r>
              <w:rPr>
                <w:rFonts w:ascii="宋体" w:hAnsi="宋体" w:eastAsia="宋体" w:cs="宋体"/>
                <w:color w:val="000000"/>
                <w:sz w:val="21"/>
                <w:szCs w:val="21"/>
              </w:rPr>
              <w:t>.1</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750381AB">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6</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17419C1F">
            <w:pPr>
              <w:widowControl/>
              <w:adjustRightInd w:val="0"/>
              <w:snapToGrid w:val="0"/>
              <w:spacing w:line="600" w:lineRule="exac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预期性</w:t>
            </w:r>
          </w:p>
        </w:tc>
      </w:tr>
      <w:tr w14:paraId="26E8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continue"/>
            <w:tcBorders>
              <w:left w:val="dotted" w:color="auto" w:sz="4" w:space="0"/>
              <w:right w:val="dotted" w:color="auto" w:sz="4" w:space="0"/>
              <w:tl2br w:val="nil"/>
              <w:tr2bl w:val="nil"/>
            </w:tcBorders>
            <w:shd w:val="clear" w:color="auto" w:fill="FFFFFF"/>
            <w:noWrap/>
            <w:tcMar>
              <w:top w:w="15" w:type="dxa"/>
              <w:left w:w="15" w:type="dxa"/>
              <w:right w:w="15" w:type="dxa"/>
            </w:tcMar>
            <w:vAlign w:val="center"/>
          </w:tcPr>
          <w:p w14:paraId="75D3E181">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2DAF3B88">
            <w:pPr>
              <w:widowControl/>
              <w:adjustRightInd w:val="0"/>
              <w:snapToGrid w:val="0"/>
              <w:spacing w:line="600" w:lineRule="exac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数字经济核心产业增加值占数字经济</w:t>
            </w:r>
          </w:p>
          <w:p w14:paraId="0DF161C0">
            <w:pPr>
              <w:widowControl/>
              <w:adjustRightInd w:val="0"/>
              <w:snapToGrid w:val="0"/>
              <w:spacing w:line="600" w:lineRule="exac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增加值比重（</w:t>
            </w:r>
            <w:r>
              <w:rPr>
                <w:rFonts w:ascii="宋体" w:hAnsi="宋体" w:eastAsia="宋体" w:cs="宋体"/>
                <w:color w:val="000000"/>
                <w:kern w:val="0"/>
                <w:sz w:val="21"/>
                <w:szCs w:val="21"/>
              </w:rPr>
              <w:t>%）</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752E06A5">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12D6DF7D">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18E707BC">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待市下达统计标准</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47F54F4C">
            <w:pPr>
              <w:widowControl/>
              <w:adjustRightInd w:val="0"/>
              <w:snapToGrid w:val="0"/>
              <w:spacing w:line="600" w:lineRule="exac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预期性</w:t>
            </w:r>
          </w:p>
        </w:tc>
      </w:tr>
      <w:tr w14:paraId="1CD68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continue"/>
            <w:tcBorders>
              <w:left w:val="dotted" w:color="auto" w:sz="4" w:space="0"/>
              <w:right w:val="dotted" w:color="auto" w:sz="4" w:space="0"/>
              <w:tl2br w:val="nil"/>
              <w:tr2bl w:val="nil"/>
            </w:tcBorders>
            <w:shd w:val="clear" w:color="auto" w:fill="FFFFFF"/>
            <w:noWrap/>
            <w:tcMar>
              <w:top w:w="15" w:type="dxa"/>
              <w:left w:w="15" w:type="dxa"/>
              <w:right w:w="15" w:type="dxa"/>
            </w:tcMar>
            <w:vAlign w:val="center"/>
          </w:tcPr>
          <w:p w14:paraId="71222325">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5759572A">
            <w:pPr>
              <w:widowControl/>
              <w:adjustRightInd w:val="0"/>
              <w:snapToGrid w:val="0"/>
              <w:spacing w:line="600" w:lineRule="exac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“三新”经济增加值占地区生产总值比重（</w:t>
            </w:r>
            <w:r>
              <w:rPr>
                <w:rFonts w:ascii="宋体" w:hAnsi="宋体" w:eastAsia="宋体" w:cs="宋体"/>
                <w:color w:val="000000"/>
                <w:kern w:val="0"/>
                <w:sz w:val="21"/>
                <w:szCs w:val="21"/>
              </w:rPr>
              <w:t>%）</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54B9AABC">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038251B3">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5370C43D">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待市下达统计标准</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3CB01AE1">
            <w:pPr>
              <w:widowControl/>
              <w:adjustRightInd w:val="0"/>
              <w:snapToGrid w:val="0"/>
              <w:spacing w:line="600" w:lineRule="exac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预期性</w:t>
            </w:r>
          </w:p>
        </w:tc>
      </w:tr>
      <w:tr w14:paraId="032EA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continue"/>
            <w:tcBorders>
              <w:left w:val="dotted" w:color="auto" w:sz="4" w:space="0"/>
              <w:right w:val="dotted" w:color="auto" w:sz="4" w:space="0"/>
              <w:tl2br w:val="nil"/>
              <w:tr2bl w:val="nil"/>
            </w:tcBorders>
            <w:shd w:val="clear" w:color="auto" w:fill="FFFFFF"/>
            <w:noWrap/>
            <w:tcMar>
              <w:top w:w="15" w:type="dxa"/>
              <w:left w:w="15" w:type="dxa"/>
              <w:right w:w="15" w:type="dxa"/>
            </w:tcMar>
            <w:vAlign w:val="center"/>
          </w:tcPr>
          <w:p w14:paraId="07D66969">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4BD2E701">
            <w:pPr>
              <w:widowControl/>
              <w:adjustRightInd w:val="0"/>
              <w:snapToGrid w:val="0"/>
              <w:spacing w:line="600" w:lineRule="exac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万名就业人员中研发人员数（人年）</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25A7DF13">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1</w:t>
            </w:r>
            <w:r>
              <w:rPr>
                <w:rFonts w:ascii="宋体" w:hAnsi="宋体" w:eastAsia="宋体" w:cs="宋体"/>
                <w:color w:val="000000"/>
                <w:sz w:val="21"/>
                <w:szCs w:val="21"/>
              </w:rPr>
              <w:t>0</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7FB72415">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1</w:t>
            </w:r>
            <w:r>
              <w:rPr>
                <w:rFonts w:ascii="宋体" w:hAnsi="宋体" w:eastAsia="宋体" w:cs="宋体"/>
                <w:color w:val="000000"/>
                <w:sz w:val="21"/>
                <w:szCs w:val="21"/>
              </w:rPr>
              <w:t>4</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05ECCD12">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7</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72825A0B">
            <w:pPr>
              <w:widowControl/>
              <w:adjustRightInd w:val="0"/>
              <w:snapToGrid w:val="0"/>
              <w:spacing w:line="600" w:lineRule="exac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预期性</w:t>
            </w:r>
          </w:p>
        </w:tc>
      </w:tr>
      <w:tr w14:paraId="2C88C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continue"/>
            <w:tcBorders>
              <w:left w:val="dotted" w:color="auto" w:sz="4" w:space="0"/>
              <w:right w:val="dotted" w:color="auto" w:sz="4" w:space="0"/>
              <w:tl2br w:val="nil"/>
              <w:tr2bl w:val="nil"/>
            </w:tcBorders>
            <w:shd w:val="clear" w:color="auto" w:fill="FFFFFF"/>
            <w:noWrap/>
            <w:tcMar>
              <w:top w:w="15" w:type="dxa"/>
              <w:left w:w="15" w:type="dxa"/>
              <w:right w:w="15" w:type="dxa"/>
            </w:tcMar>
            <w:vAlign w:val="center"/>
          </w:tcPr>
          <w:p w14:paraId="4BC2FEE2">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069AB638">
            <w:pPr>
              <w:widowControl/>
              <w:adjustRightInd w:val="0"/>
              <w:snapToGrid w:val="0"/>
              <w:spacing w:line="600" w:lineRule="exac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规模以上工业企业中有研发活动企业占比（</w:t>
            </w:r>
            <w:r>
              <w:rPr>
                <w:rFonts w:ascii="宋体" w:hAnsi="宋体" w:eastAsia="宋体" w:cs="宋体"/>
                <w:color w:val="000000"/>
                <w:kern w:val="0"/>
                <w:sz w:val="21"/>
                <w:szCs w:val="21"/>
              </w:rPr>
              <w:t>%）</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275A5F7E">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1</w:t>
            </w:r>
            <w:r>
              <w:rPr>
                <w:rFonts w:ascii="宋体" w:hAnsi="宋体" w:eastAsia="宋体" w:cs="宋体"/>
                <w:color w:val="000000"/>
                <w:sz w:val="21"/>
                <w:szCs w:val="21"/>
              </w:rPr>
              <w:t>9.7</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146D8A5C">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2</w:t>
            </w:r>
            <w:r>
              <w:rPr>
                <w:rFonts w:ascii="宋体" w:hAnsi="宋体" w:eastAsia="宋体" w:cs="宋体"/>
                <w:color w:val="000000"/>
                <w:sz w:val="21"/>
                <w:szCs w:val="21"/>
              </w:rPr>
              <w:t>3.8</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0FC31553">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w:t>
            </w:r>
            <w:r>
              <w:rPr>
                <w:rFonts w:ascii="宋体" w:hAnsi="宋体" w:eastAsia="宋体" w:cs="宋体"/>
                <w:color w:val="000000"/>
                <w:sz w:val="21"/>
                <w:szCs w:val="21"/>
              </w:rPr>
              <w:t>20.5]</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464514A7">
            <w:pPr>
              <w:widowControl/>
              <w:adjustRightInd w:val="0"/>
              <w:snapToGrid w:val="0"/>
              <w:spacing w:line="600" w:lineRule="exac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预期性</w:t>
            </w:r>
          </w:p>
        </w:tc>
      </w:tr>
      <w:tr w14:paraId="69161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continue"/>
            <w:tcBorders>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47B8512A">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04AFB54D">
            <w:pPr>
              <w:widowControl/>
              <w:adjustRightInd w:val="0"/>
              <w:snapToGrid w:val="0"/>
              <w:spacing w:line="600" w:lineRule="exac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规模以上工业企业连接工业互联网率（</w:t>
            </w:r>
            <w:r>
              <w:rPr>
                <w:rFonts w:ascii="宋体" w:hAnsi="宋体" w:eastAsia="宋体" w:cs="宋体"/>
                <w:color w:val="000000"/>
                <w:kern w:val="0"/>
                <w:sz w:val="21"/>
                <w:szCs w:val="21"/>
              </w:rPr>
              <w:t>%）</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6AA76206">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3</w:t>
            </w:r>
            <w:r>
              <w:rPr>
                <w:rFonts w:ascii="宋体" w:hAnsi="宋体" w:eastAsia="宋体" w:cs="宋体"/>
                <w:color w:val="000000"/>
                <w:sz w:val="21"/>
                <w:szCs w:val="21"/>
              </w:rPr>
              <w:t>0.3</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4F6FE07B">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9</w:t>
            </w:r>
            <w:r>
              <w:rPr>
                <w:rFonts w:ascii="宋体" w:hAnsi="宋体" w:eastAsia="宋体" w:cs="宋体"/>
                <w:color w:val="000000"/>
                <w:sz w:val="21"/>
                <w:szCs w:val="21"/>
              </w:rPr>
              <w:t>5</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60483C15">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2</w:t>
            </w:r>
            <w:r>
              <w:rPr>
                <w:rFonts w:ascii="宋体" w:hAnsi="宋体" w:eastAsia="宋体" w:cs="宋体"/>
                <w:color w:val="000000"/>
                <w:sz w:val="21"/>
                <w:szCs w:val="21"/>
              </w:rPr>
              <w:t>5.7</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5EEC9B1B">
            <w:pPr>
              <w:widowControl/>
              <w:adjustRightInd w:val="0"/>
              <w:snapToGrid w:val="0"/>
              <w:spacing w:line="600" w:lineRule="exac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预期性</w:t>
            </w:r>
          </w:p>
        </w:tc>
      </w:tr>
      <w:tr w14:paraId="28AA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restar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1139BC94">
            <w:pPr>
              <w:widowControl/>
              <w:adjustRightInd w:val="0"/>
              <w:snapToGrid w:val="0"/>
              <w:spacing w:line="600" w:lineRule="exact"/>
              <w:ind w:firstLine="0" w:firstLineChars="0"/>
              <w:jc w:val="center"/>
              <w:rPr>
                <w:rFonts w:ascii="宋体" w:hAnsi="宋体" w:eastAsia="宋体" w:cs="宋体"/>
                <w:color w:val="000000"/>
                <w:kern w:val="0"/>
                <w:sz w:val="21"/>
                <w:szCs w:val="21"/>
              </w:rPr>
            </w:pPr>
          </w:p>
          <w:p w14:paraId="608460E6">
            <w:pPr>
              <w:widowControl/>
              <w:adjustRightInd w:val="0"/>
              <w:snapToGrid w:val="0"/>
              <w:spacing w:line="600" w:lineRule="exact"/>
              <w:ind w:firstLine="0" w:firstLineChars="0"/>
              <w:jc w:val="center"/>
              <w:rPr>
                <w:rFonts w:ascii="宋体" w:hAnsi="宋体" w:eastAsia="宋体" w:cs="宋体"/>
                <w:color w:val="000000"/>
                <w:kern w:val="0"/>
                <w:sz w:val="21"/>
                <w:szCs w:val="21"/>
              </w:rPr>
            </w:pPr>
          </w:p>
          <w:p w14:paraId="5CD3F0F9">
            <w:pPr>
              <w:widowControl/>
              <w:adjustRightInd w:val="0"/>
              <w:snapToGrid w:val="0"/>
              <w:spacing w:line="600" w:lineRule="exact"/>
              <w:ind w:firstLine="0" w:firstLineChars="0"/>
              <w:jc w:val="center"/>
              <w:rPr>
                <w:rFonts w:ascii="宋体" w:hAnsi="宋体" w:eastAsia="宋体" w:cs="宋体"/>
                <w:color w:val="000000"/>
                <w:kern w:val="0"/>
                <w:sz w:val="21"/>
                <w:szCs w:val="21"/>
              </w:rPr>
            </w:pPr>
          </w:p>
          <w:p w14:paraId="66024F0F">
            <w:pPr>
              <w:widowControl/>
              <w:adjustRightInd w:val="0"/>
              <w:snapToGrid w:val="0"/>
              <w:spacing w:line="600" w:lineRule="exact"/>
              <w:ind w:firstLine="0" w:firstLineChars="0"/>
              <w:jc w:val="center"/>
              <w:rPr>
                <w:rFonts w:ascii="宋体" w:hAnsi="宋体" w:eastAsia="宋体" w:cs="宋体"/>
                <w:color w:val="000000"/>
                <w:kern w:val="0"/>
                <w:sz w:val="21"/>
                <w:szCs w:val="21"/>
              </w:rPr>
            </w:pPr>
          </w:p>
          <w:p w14:paraId="23D4E0DF">
            <w:pPr>
              <w:widowControl/>
              <w:adjustRightInd w:val="0"/>
              <w:snapToGrid w:val="0"/>
              <w:spacing w:line="600" w:lineRule="exact"/>
              <w:ind w:firstLine="0" w:firstLineChars="0"/>
              <w:jc w:val="center"/>
              <w:rPr>
                <w:rFonts w:ascii="宋体" w:hAnsi="宋体" w:eastAsia="宋体" w:cs="宋体"/>
                <w:color w:val="000000"/>
                <w:kern w:val="0"/>
                <w:sz w:val="21"/>
                <w:szCs w:val="21"/>
              </w:rPr>
            </w:pPr>
          </w:p>
          <w:p w14:paraId="7F06FC14">
            <w:pPr>
              <w:widowControl/>
              <w:adjustRightInd w:val="0"/>
              <w:snapToGrid w:val="0"/>
              <w:spacing w:line="600" w:lineRule="exact"/>
              <w:ind w:firstLine="0" w:firstLineChars="0"/>
              <w:jc w:val="center"/>
              <w:rPr>
                <w:rFonts w:ascii="宋体" w:hAnsi="宋体" w:eastAsia="宋体" w:cs="宋体"/>
                <w:color w:val="000000"/>
                <w:kern w:val="0"/>
                <w:sz w:val="21"/>
                <w:szCs w:val="21"/>
              </w:rPr>
            </w:pPr>
          </w:p>
          <w:p w14:paraId="52B84E92">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民生福祉</w:t>
            </w: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0079DD2D">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农村常住居民人均可支配收入（元）</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7853A508">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21190</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16B0CC3E">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30000</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255AFAB7">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7以上</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6174FDEA">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预期性</w:t>
            </w:r>
          </w:p>
        </w:tc>
      </w:tr>
      <w:tr w14:paraId="5C911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continue"/>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0BB502AA">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14F4DF66">
            <w:pPr>
              <w:widowControl/>
              <w:adjustRightInd w:val="0"/>
              <w:snapToGrid w:val="0"/>
              <w:spacing w:line="600" w:lineRule="exac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劳动年龄人口平均受教育年限（年）</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5C554F08">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1</w:t>
            </w:r>
            <w:r>
              <w:rPr>
                <w:rFonts w:ascii="宋体" w:hAnsi="宋体" w:eastAsia="宋体" w:cs="宋体"/>
                <w:color w:val="000000"/>
                <w:sz w:val="21"/>
                <w:szCs w:val="21"/>
              </w:rPr>
              <w:t>0.8</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1B71E908">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1</w:t>
            </w:r>
            <w:r>
              <w:rPr>
                <w:rFonts w:ascii="宋体" w:hAnsi="宋体" w:eastAsia="宋体" w:cs="宋体"/>
                <w:color w:val="000000"/>
                <w:sz w:val="21"/>
                <w:szCs w:val="21"/>
              </w:rPr>
              <w:t>1.3</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2BB4000C">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41A32F6D">
            <w:pPr>
              <w:widowControl/>
              <w:adjustRightInd w:val="0"/>
              <w:snapToGrid w:val="0"/>
              <w:spacing w:line="600" w:lineRule="exac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预期性</w:t>
            </w:r>
          </w:p>
        </w:tc>
      </w:tr>
      <w:tr w14:paraId="5265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continue"/>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0DC7949B">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5AEC518E">
            <w:pPr>
              <w:widowControl/>
              <w:adjustRightInd w:val="0"/>
              <w:snapToGrid w:val="0"/>
              <w:spacing w:line="600" w:lineRule="exac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每千人口拥有执业（助理）医师数（人）</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53A9D342">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2</w:t>
            </w:r>
            <w:r>
              <w:rPr>
                <w:rFonts w:ascii="宋体" w:hAnsi="宋体" w:eastAsia="宋体" w:cs="宋体"/>
                <w:color w:val="000000"/>
                <w:sz w:val="21"/>
                <w:szCs w:val="21"/>
              </w:rPr>
              <w:t>.1</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7C426D72">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3906CAF9">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7</w:t>
            </w:r>
            <w:r>
              <w:rPr>
                <w:rFonts w:ascii="宋体" w:hAnsi="宋体" w:eastAsia="宋体" w:cs="宋体"/>
                <w:color w:val="000000"/>
                <w:sz w:val="21"/>
                <w:szCs w:val="21"/>
              </w:rPr>
              <w:t>.6</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73104F92">
            <w:pPr>
              <w:widowControl/>
              <w:adjustRightInd w:val="0"/>
              <w:snapToGrid w:val="0"/>
              <w:spacing w:line="600" w:lineRule="exac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预期性</w:t>
            </w:r>
          </w:p>
        </w:tc>
      </w:tr>
      <w:tr w14:paraId="3B818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continue"/>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3BD53CEF">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5B19352A">
            <w:pPr>
              <w:widowControl/>
              <w:adjustRightInd w:val="0"/>
              <w:snapToGrid w:val="0"/>
              <w:spacing w:line="600" w:lineRule="exac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基本养老保险参保率（</w:t>
            </w:r>
            <w:r>
              <w:rPr>
                <w:rFonts w:ascii="宋体" w:hAnsi="宋体" w:eastAsia="宋体" w:cs="宋体"/>
                <w:color w:val="000000"/>
                <w:kern w:val="0"/>
                <w:sz w:val="21"/>
                <w:szCs w:val="21"/>
              </w:rPr>
              <w:t>%）</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268A8A69">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9</w:t>
            </w:r>
            <w:r>
              <w:rPr>
                <w:rFonts w:ascii="宋体" w:hAnsi="宋体" w:eastAsia="宋体" w:cs="宋体"/>
                <w:color w:val="000000"/>
                <w:sz w:val="21"/>
                <w:szCs w:val="21"/>
              </w:rPr>
              <w:t>7</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3C2E8F6B">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9</w:t>
            </w:r>
            <w:r>
              <w:rPr>
                <w:rFonts w:ascii="宋体" w:hAnsi="宋体" w:eastAsia="宋体" w:cs="宋体"/>
                <w:color w:val="000000"/>
                <w:sz w:val="21"/>
                <w:szCs w:val="21"/>
              </w:rPr>
              <w:t>8</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5B336C3E">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049A5163">
            <w:pPr>
              <w:widowControl/>
              <w:adjustRightInd w:val="0"/>
              <w:snapToGrid w:val="0"/>
              <w:spacing w:line="600" w:lineRule="exac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预期性</w:t>
            </w:r>
          </w:p>
        </w:tc>
      </w:tr>
      <w:tr w14:paraId="45F41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continue"/>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418989C3">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0E35661B">
            <w:pPr>
              <w:widowControl/>
              <w:adjustRightInd w:val="0"/>
              <w:snapToGrid w:val="0"/>
              <w:spacing w:line="600" w:lineRule="exac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每千人口拥有</w:t>
            </w:r>
            <w:r>
              <w:rPr>
                <w:rFonts w:ascii="宋体" w:hAnsi="宋体" w:eastAsia="宋体" w:cs="宋体"/>
                <w:color w:val="000000"/>
                <w:kern w:val="0"/>
                <w:sz w:val="21"/>
                <w:szCs w:val="21"/>
              </w:rPr>
              <w:t>3岁以下婴幼儿托位数（个）</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7044801F">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0</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5F6E08F4">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0A25AC5C">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1755114D">
            <w:pPr>
              <w:widowControl/>
              <w:adjustRightInd w:val="0"/>
              <w:snapToGrid w:val="0"/>
              <w:spacing w:line="600" w:lineRule="exac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预期性</w:t>
            </w:r>
          </w:p>
        </w:tc>
      </w:tr>
      <w:tr w14:paraId="04D11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continue"/>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4122EEB8">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0F07BB6D">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城镇登记失业率（%）</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4028EBE0">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2.7</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48396DCD">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00C42FBF">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6AD42F22">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预期性</w:t>
            </w:r>
          </w:p>
        </w:tc>
      </w:tr>
      <w:tr w14:paraId="0EC5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continue"/>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0E696ACF">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5C8FEEDD">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普惠性幼儿园覆盖率（%）</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5ECE9DED">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80</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6725CD6B">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90</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5B41FEF2">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[12.5]</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6F0C7D9F">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约束性</w:t>
            </w:r>
          </w:p>
        </w:tc>
      </w:tr>
      <w:tr w14:paraId="070CA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continue"/>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486A0488">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687C6476">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人均预期寿命（岁）</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19FF7A02">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79.5</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7465AA17">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80.6</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5AD68375">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55A4E950">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预期性</w:t>
            </w:r>
          </w:p>
        </w:tc>
      </w:tr>
      <w:tr w14:paraId="5A6BD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restar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763F5874">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生态文明</w:t>
            </w: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4ECBD7AA">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人均公园绿地面积（平方米/人）</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79CF45B1">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30.0</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49A77C55">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32</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38DB0A3E">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0.5</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27A30E5B">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约束性</w:t>
            </w:r>
          </w:p>
        </w:tc>
      </w:tr>
      <w:tr w14:paraId="10959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continue"/>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35D992E9">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57264928">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单位地区生产总值能源消耗降低（</w:t>
            </w:r>
            <w:r>
              <w:rPr>
                <w:rFonts w:ascii="宋体" w:hAnsi="宋体" w:eastAsia="宋体" w:cs="宋体"/>
                <w:color w:val="000000"/>
                <w:kern w:val="0"/>
                <w:sz w:val="21"/>
                <w:szCs w:val="21"/>
              </w:rPr>
              <w:t>%）</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611A0079">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09371F43">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3.2</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3765E234">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1F212801">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约束性</w:t>
            </w:r>
          </w:p>
        </w:tc>
      </w:tr>
      <w:tr w14:paraId="1F6B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continue"/>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313162D4">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1E9747A1">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单位地区生产总值二氧化碳排放降低（</w:t>
            </w:r>
            <w:r>
              <w:rPr>
                <w:rFonts w:ascii="宋体" w:hAnsi="宋体" w:eastAsia="宋体" w:cs="宋体"/>
                <w:color w:val="000000"/>
                <w:sz w:val="21"/>
                <w:szCs w:val="21"/>
              </w:rPr>
              <w:t>%）</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7723AF84">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612D7E10">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09444EC2">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待省下</w:t>
            </w:r>
          </w:p>
          <w:p w14:paraId="0CA37F85">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达指标</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3D7EB0B7">
            <w:pPr>
              <w:widowControl/>
              <w:adjustRightInd w:val="0"/>
              <w:snapToGrid w:val="0"/>
              <w:spacing w:line="600" w:lineRule="exac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约束性</w:t>
            </w:r>
          </w:p>
        </w:tc>
      </w:tr>
      <w:tr w14:paraId="755B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continue"/>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346BF48D">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52113FC9">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地级及以上城市空气质量优良天数比率（</w:t>
            </w:r>
            <w:r>
              <w:rPr>
                <w:rFonts w:ascii="宋体" w:hAnsi="宋体" w:eastAsia="宋体" w:cs="宋体"/>
                <w:color w:val="000000"/>
                <w:sz w:val="21"/>
                <w:szCs w:val="21"/>
              </w:rPr>
              <w:t>%）</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68590E9D">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83.8</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399A0A38">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8</w:t>
            </w:r>
            <w:r>
              <w:rPr>
                <w:rFonts w:ascii="宋体" w:hAnsi="宋体" w:eastAsia="宋体" w:cs="宋体"/>
                <w:color w:val="000000"/>
                <w:sz w:val="21"/>
                <w:szCs w:val="21"/>
              </w:rPr>
              <w:t>8.8</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55C719A6">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[5.9]</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5344B3DE">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约束性</w:t>
            </w:r>
          </w:p>
        </w:tc>
      </w:tr>
      <w:tr w14:paraId="74846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continue"/>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0CD0A72F">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589FC4DF">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万元地区生产总值用水量下降率（</w:t>
            </w:r>
            <w:r>
              <w:rPr>
                <w:rFonts w:ascii="宋体" w:hAnsi="宋体" w:eastAsia="宋体" w:cs="宋体"/>
                <w:color w:val="000000"/>
                <w:sz w:val="21"/>
                <w:szCs w:val="21"/>
              </w:rPr>
              <w:t>%）</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2101E15A">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2</w:t>
            </w:r>
            <w:r>
              <w:rPr>
                <w:rFonts w:ascii="宋体" w:hAnsi="宋体" w:eastAsia="宋体" w:cs="宋体"/>
                <w:color w:val="000000"/>
                <w:sz w:val="21"/>
                <w:szCs w:val="21"/>
              </w:rPr>
              <w:t>0.1</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76972D65">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09424C8D">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待省下</w:t>
            </w:r>
          </w:p>
          <w:p w14:paraId="225495D9">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达指标</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4ABBC136">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约束性</w:t>
            </w:r>
          </w:p>
        </w:tc>
      </w:tr>
      <w:tr w14:paraId="278FA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continue"/>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028410D6">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1B481733">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地表水达到或好于</w:t>
            </w:r>
            <w:r>
              <w:rPr>
                <w:rFonts w:ascii="宋体" w:hAnsi="宋体" w:eastAsia="宋体" w:cs="宋体"/>
                <w:color w:val="000000"/>
                <w:sz w:val="21"/>
                <w:szCs w:val="21"/>
              </w:rPr>
              <w:t>N类水体比例(%)(国考断面)</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3862AD56">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1</w:t>
            </w:r>
            <w:r>
              <w:rPr>
                <w:rFonts w:ascii="宋体" w:hAnsi="宋体" w:eastAsia="宋体" w:cs="宋体"/>
                <w:color w:val="000000"/>
                <w:sz w:val="21"/>
                <w:szCs w:val="21"/>
              </w:rPr>
              <w:t>00</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4617F660">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1</w:t>
            </w:r>
            <w:r>
              <w:rPr>
                <w:rFonts w:ascii="宋体" w:hAnsi="宋体" w:eastAsia="宋体" w:cs="宋体"/>
                <w:color w:val="000000"/>
                <w:sz w:val="21"/>
                <w:szCs w:val="21"/>
              </w:rPr>
              <w:t>00</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7BCCF7CF">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150BAA23">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约束性</w:t>
            </w:r>
          </w:p>
        </w:tc>
      </w:tr>
      <w:tr w14:paraId="5FF8F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continue"/>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64A0A85F">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27F25242">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城市生活垃圾回收利用率（</w:t>
            </w:r>
            <w:r>
              <w:rPr>
                <w:rFonts w:ascii="宋体" w:hAnsi="宋体" w:eastAsia="宋体" w:cs="宋体"/>
                <w:color w:val="000000"/>
                <w:sz w:val="21"/>
                <w:szCs w:val="21"/>
              </w:rPr>
              <w:t>%）</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1CDED78F">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15</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6FC97ACD">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3</w:t>
            </w:r>
            <w:r>
              <w:rPr>
                <w:rFonts w:ascii="宋体" w:hAnsi="宋体" w:eastAsia="宋体" w:cs="宋体"/>
                <w:color w:val="000000"/>
                <w:sz w:val="21"/>
                <w:szCs w:val="21"/>
              </w:rPr>
              <w:t>5</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365FB173">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599821CA">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约束性</w:t>
            </w:r>
          </w:p>
        </w:tc>
      </w:tr>
      <w:tr w14:paraId="7B39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419FE9C9">
            <w:pPr>
              <w:widowControl/>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安全生产</w:t>
            </w: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2A7094B8">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粮食综合生产能力（万吨）</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5DBAB015">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5</w:t>
            </w:r>
            <w:r>
              <w:rPr>
                <w:rFonts w:ascii="宋体" w:hAnsi="宋体" w:eastAsia="宋体" w:cs="宋体"/>
                <w:color w:val="000000"/>
                <w:sz w:val="21"/>
                <w:szCs w:val="21"/>
              </w:rPr>
              <w:t>0.4</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62BC934C">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≥5</w:t>
            </w:r>
            <w:r>
              <w:rPr>
                <w:rFonts w:ascii="宋体" w:hAnsi="宋体" w:eastAsia="宋体" w:cs="宋体"/>
                <w:color w:val="000000"/>
                <w:sz w:val="21"/>
                <w:szCs w:val="21"/>
              </w:rPr>
              <w:t>0.5</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738AFC97">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141653DF">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约束性</w:t>
            </w:r>
          </w:p>
        </w:tc>
      </w:tr>
    </w:tbl>
    <w:p w14:paraId="63B5D818">
      <w:pPr>
        <w:pStyle w:val="42"/>
        <w:spacing w:line="600" w:lineRule="exact"/>
        <w:ind w:firstLine="590"/>
      </w:pPr>
      <w:r>
        <w:rPr>
          <w:rFonts w:hint="eastAsia"/>
        </w:rPr>
        <w:t>注：</w:t>
      </w:r>
      <w:r>
        <w:t>1.确保实现GDP350亿元，力争实现400亿元，年均增速</w:t>
      </w:r>
      <w:r>
        <w:rPr>
          <w:rFonts w:hint="eastAsia"/>
        </w:rPr>
        <w:t>确保达到</w:t>
      </w:r>
      <w:r>
        <w:t>9.5%，力争实现11%；2.参照2010年至2019年盘锦市物价上涨指数，根据市场价格基本规律考虑了物价上涨因素后，确定地区生产总值的年均增速在9.5%-11%的增长区间；3.一般公共财政预算收入确保达到45亿元，力争实现50亿元；4.参照2010年至2019年盘锦市物价上涨指数，根据市场价格基本规律考虑了物价上涨因素后，确定一般公共财政预算收入增速在10.5-12.5之间，增速高于地区生产总值增速，是经济高质量增长的重大体现；5.[]为五年累计数值。</w:t>
      </w:r>
      <w:bookmarkStart w:id="85" w:name="_Toc5303"/>
      <w:bookmarkStart w:id="86" w:name="_Toc26844"/>
      <w:bookmarkStart w:id="87" w:name="_Toc32746"/>
      <w:bookmarkStart w:id="88" w:name="_Toc13461"/>
      <w:bookmarkStart w:id="89" w:name="_Toc6590"/>
      <w:bookmarkStart w:id="90" w:name="_Toc2345"/>
      <w:bookmarkStart w:id="91" w:name="_Toc5190"/>
    </w:p>
    <w:p w14:paraId="2F34C08D">
      <w:pPr>
        <w:pStyle w:val="6"/>
        <w:spacing w:line="600" w:lineRule="exact"/>
        <w:ind w:firstLine="0" w:firstLineChars="0"/>
        <w:jc w:val="center"/>
        <w:rPr>
          <w:color w:val="000000" w:themeColor="text1"/>
          <w:sz w:val="36"/>
          <w:szCs w:val="36"/>
        </w:rPr>
      </w:pPr>
      <w:r>
        <w:rPr>
          <w:rFonts w:hint="eastAsia"/>
          <w:color w:val="000000" w:themeColor="text1"/>
          <w:sz w:val="36"/>
          <w:szCs w:val="36"/>
        </w:rPr>
        <w:t>第三章 创新驱动 培育高质量发展新动能</w:t>
      </w:r>
      <w:bookmarkEnd w:id="85"/>
      <w:bookmarkEnd w:id="86"/>
      <w:bookmarkEnd w:id="87"/>
      <w:bookmarkEnd w:id="88"/>
      <w:bookmarkEnd w:id="89"/>
      <w:bookmarkEnd w:id="90"/>
      <w:bookmarkEnd w:id="91"/>
    </w:p>
    <w:p w14:paraId="4C7005D9">
      <w:pPr>
        <w:pStyle w:val="14"/>
        <w:adjustRightInd w:val="0"/>
        <w:snapToGrid w:val="0"/>
        <w:spacing w:afterLines="50" w:line="600" w:lineRule="exact"/>
        <w:ind w:firstLine="63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以提高科技创新对产业发展支撑能力为目标，发挥政府引导作用，营造良好的科技创新生态，推动创新链、产业链、资金链深度融合，大幅度提高技术创新引领能力和融通创新能力，发挥企业主体作用、人才支撑作用和成果转化作用，助力高新技术产业集群培育和主导优势产业集群升级，促进经济发展由资源主导型向创新主导型转变。</w:t>
      </w:r>
    </w:p>
    <w:p w14:paraId="61445FAC">
      <w:pPr>
        <w:pStyle w:val="7"/>
        <w:spacing w:line="600" w:lineRule="exact"/>
        <w:ind w:firstLine="670"/>
        <w:jc w:val="center"/>
        <w:rPr>
          <w:rFonts w:ascii="黑体" w:hAnsi="黑体" w:cs="黑体"/>
          <w:color w:val="000000" w:themeColor="text1"/>
        </w:rPr>
      </w:pPr>
      <w:bookmarkStart w:id="92" w:name="_Toc20597"/>
      <w:bookmarkStart w:id="93" w:name="_Toc24359"/>
      <w:bookmarkStart w:id="94" w:name="_Toc25847"/>
      <w:bookmarkStart w:id="95" w:name="_Toc29902"/>
      <w:bookmarkStart w:id="96" w:name="_Toc13471"/>
      <w:bookmarkStart w:id="97" w:name="_Toc32096"/>
      <w:bookmarkStart w:id="98" w:name="_Toc5441"/>
      <w:r>
        <w:rPr>
          <w:rFonts w:hint="eastAsia" w:ascii="黑体" w:hAnsi="黑体" w:cs="黑体"/>
          <w:color w:val="000000" w:themeColor="text1"/>
        </w:rPr>
        <w:t>第一节 完善产业科技创新生态系统</w:t>
      </w:r>
      <w:bookmarkEnd w:id="92"/>
      <w:bookmarkEnd w:id="93"/>
      <w:bookmarkEnd w:id="94"/>
      <w:bookmarkEnd w:id="95"/>
      <w:bookmarkEnd w:id="96"/>
      <w:bookmarkEnd w:id="97"/>
      <w:bookmarkEnd w:id="98"/>
    </w:p>
    <w:p w14:paraId="2DAE2906">
      <w:pPr>
        <w:pStyle w:val="14"/>
        <w:adjustRightInd w:val="0"/>
        <w:snapToGrid w:val="0"/>
        <w:spacing w:afterLines="50" w:line="600" w:lineRule="exact"/>
        <w:ind w:firstLine="63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围绕解决产业科技创新能力弱、科技与经济发展供需失衡等矛盾，瞄准创新全链条培育，畅通产业科技“创新-转化-应用”通道，加快完善科学规范、富有效率、充满活力的创新生态系统。</w:t>
      </w:r>
    </w:p>
    <w:p w14:paraId="1D0E964D">
      <w:pPr>
        <w:pStyle w:val="8"/>
        <w:spacing w:line="600" w:lineRule="exact"/>
        <w:ind w:firstLine="672"/>
        <w:rPr>
          <w:color w:val="000000" w:themeColor="text1"/>
        </w:rPr>
      </w:pPr>
      <w:bookmarkStart w:id="99" w:name="_Toc20947"/>
      <w:r>
        <w:rPr>
          <w:rFonts w:hint="eastAsia"/>
          <w:color w:val="000000" w:themeColor="text1"/>
        </w:rPr>
        <w:t>一、建设创新服务型政府</w:t>
      </w:r>
      <w:bookmarkEnd w:id="99"/>
    </w:p>
    <w:p w14:paraId="073F7755">
      <w:pPr>
        <w:pStyle w:val="14"/>
        <w:adjustRightInd w:val="0"/>
        <w:snapToGrid w:val="0"/>
        <w:spacing w:afterLines="50" w:line="600" w:lineRule="exact"/>
        <w:ind w:firstLine="63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以政府的优质服务唤醒企业创新意识，营造产业科技创新发展的浓厚氛围。着力破除制约产业科技创新的思想障碍和制度藩篱，树立一切围绕创新主体服务的政府服务理念，变“被动服务”为“主动服务”，推动政府职能从行政管理向创新服务转变。探索创新服务模式，提供“政策扶持+企业上市+创新融资+人才招聘”等全方位创新服务，构建“联络员+辅导员+创新孵化导师”的三位一体服务模式；建立依托专业机构管理科研项目的新机制，运用财政后补助、间接投入等方式带动社会资本参与创新。力争建成以创新需求为导向、运行机制灵活高效、接轨国内一流水平的创新服务政务环境。</w:t>
      </w:r>
    </w:p>
    <w:p w14:paraId="3D6608C0">
      <w:pPr>
        <w:pStyle w:val="8"/>
        <w:spacing w:line="600" w:lineRule="exact"/>
        <w:ind w:firstLine="672"/>
        <w:rPr>
          <w:color w:val="000000" w:themeColor="text1"/>
        </w:rPr>
      </w:pPr>
      <w:bookmarkStart w:id="100" w:name="_Toc30993"/>
      <w:r>
        <w:rPr>
          <w:rFonts w:hint="eastAsia"/>
          <w:color w:val="000000" w:themeColor="text1"/>
        </w:rPr>
        <w:t>二、完善产业创新成果转化服务体系</w:t>
      </w:r>
      <w:bookmarkEnd w:id="100"/>
    </w:p>
    <w:p w14:paraId="794B087C">
      <w:pPr>
        <w:pStyle w:val="14"/>
        <w:adjustRightInd w:val="0"/>
        <w:snapToGrid w:val="0"/>
        <w:spacing w:afterLines="50" w:line="600" w:lineRule="exact"/>
        <w:ind w:firstLine="63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建立有利于科技成果转化的体制机制和配套完善的政策体系，以促进科技成果转化为现实生产力。支持宝来生物、浩业化工等行业骨干企业，联合大连理工等市内高校及国内其他知名科研院所组建产业技术创新战略联盟，依托联盟开展技术合作，推动产业关键共性技术突破，制定产业技术标准，实行知识产权共享，提升产业整体竞争力。发挥技术转化中心等政产学研合作载体功能，促进科技成果转移转化。完善科技中介服务体系，健全科技中介服务链条，加快推进技术转化、第三方检验检测认证、知识产权服务等中介机构的专业化、市场化进程。积极发展技术交易市场，支持技术转化机构、技术经纪人到盘山开展技术转化服务。鼓励社会资本进入战略性新兴产业、精细化工及新材料、农产品种苗繁育、特色农业等科技成果转化服务领域，推动产业联盟和工程中心等面向市场开展中试和技术熟化等集成服务。加强知识产权保护和运用，努力把盘山建成能够为创新者“保驾护航”的知识产权强县。</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14:paraId="5DA28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5000" w:type="pct"/>
            <w:tcBorders>
              <w:top w:val="dotted" w:color="auto" w:sz="4" w:space="0"/>
              <w:left w:val="dotted" w:color="auto" w:sz="4" w:space="0"/>
              <w:bottom w:val="dotted" w:color="auto" w:sz="4" w:space="0"/>
              <w:right w:val="dotted" w:color="auto" w:sz="4" w:space="0"/>
            </w:tcBorders>
            <w:shd w:val="clear" w:color="auto" w:fill="FFFFFF"/>
          </w:tcPr>
          <w:p w14:paraId="46562D9D">
            <w:pPr>
              <w:pStyle w:val="21"/>
              <w:widowControl/>
              <w:spacing w:line="600" w:lineRule="exact"/>
              <w:ind w:firstLine="511"/>
              <w:jc w:val="center"/>
              <w:rPr>
                <w:rFonts w:asciiTheme="minorEastAsia" w:hAnsiTheme="minorEastAsia" w:eastAsiaTheme="minorEastAsia" w:cstheme="minorEastAsia"/>
                <w:color w:val="000000" w:themeColor="text1"/>
                <w:szCs w:val="24"/>
                <w:shd w:val="clear" w:color="auto" w:fill="FFFFFF"/>
              </w:rPr>
            </w:pPr>
            <w:r>
              <w:rPr>
                <w:rFonts w:hint="eastAsia" w:asciiTheme="minorEastAsia" w:hAnsiTheme="minorEastAsia" w:eastAsiaTheme="minorEastAsia" w:cstheme="minorEastAsia"/>
                <w:b/>
                <w:bCs/>
                <w:color w:val="000000" w:themeColor="text1"/>
                <w:szCs w:val="24"/>
                <w:shd w:val="clear" w:color="auto" w:fill="FFFFFF"/>
              </w:rPr>
              <w:t>专栏3-1 探索建立创新型知识产权保护试验区</w:t>
            </w:r>
          </w:p>
        </w:tc>
      </w:tr>
      <w:tr w14:paraId="4C86D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dotted" w:color="auto" w:sz="4" w:space="0"/>
              <w:left w:val="dotted" w:color="auto" w:sz="4" w:space="0"/>
              <w:bottom w:val="dotted" w:color="auto" w:sz="4" w:space="0"/>
              <w:right w:val="dotted" w:color="auto" w:sz="4" w:space="0"/>
            </w:tcBorders>
            <w:shd w:val="clear" w:color="auto" w:fill="FFFFFF"/>
          </w:tcPr>
          <w:p w14:paraId="6F3D746A">
            <w:pPr>
              <w:pStyle w:val="14"/>
              <w:adjustRightInd w:val="0"/>
              <w:snapToGrid w:val="0"/>
              <w:spacing w:line="600" w:lineRule="exact"/>
              <w:ind w:firstLine="510"/>
              <w:rPr>
                <w:rFonts w:asciiTheme="minorEastAsia" w:hAnsiTheme="minorEastAsia" w:eastAsiaTheme="minorEastAsia" w:cstheme="minorEastAsia"/>
                <w:color w:val="000000" w:themeColor="text1"/>
                <w:sz w:val="24"/>
                <w:szCs w:val="24"/>
                <w:shd w:val="clear" w:color="auto" w:fill="FFFFFF"/>
              </w:rPr>
            </w:pPr>
            <w:r>
              <w:rPr>
                <w:rFonts w:hint="eastAsia" w:asciiTheme="minorEastAsia" w:hAnsiTheme="minorEastAsia" w:eastAsiaTheme="minorEastAsia" w:cstheme="minorEastAsia"/>
                <w:color w:val="000000" w:themeColor="text1"/>
                <w:sz w:val="24"/>
                <w:szCs w:val="24"/>
              </w:rPr>
              <w:t>探索建立知识产权纠纷调解、仲裁等多元化解决模式，积极申请建设“盘山县知识产权保护试验区”。为知识产权持有者提供从认定申领——交易转化——权益维护全流程保姆式服务、保护、帮助，推动知识产权快速维权。建立知识产权重大涉外案件报备、通报制度和涉外知识产权争端联合处置保护机制，逐步完善海外知识产权保护和风险预警等服务网络，为企业参与国际竞争、应对知识产权争端保驾护航。力争全县专利行政执法案件及商标案件年度结案率达到95%以上，商标投诉和举报的回复率达到100%。</w:t>
            </w:r>
          </w:p>
        </w:tc>
      </w:tr>
    </w:tbl>
    <w:p w14:paraId="4A53D9D9">
      <w:pPr>
        <w:pStyle w:val="8"/>
        <w:spacing w:line="600" w:lineRule="exact"/>
        <w:ind w:firstLine="672"/>
        <w:rPr>
          <w:color w:val="000000" w:themeColor="text1"/>
        </w:rPr>
      </w:pPr>
      <w:bookmarkStart w:id="101" w:name="_Toc19458"/>
      <w:r>
        <w:rPr>
          <w:rFonts w:hint="eastAsia"/>
          <w:color w:val="000000" w:themeColor="text1"/>
        </w:rPr>
        <w:t>三、打造产业科技创新服务平台</w:t>
      </w:r>
      <w:bookmarkEnd w:id="101"/>
    </w:p>
    <w:p w14:paraId="322BAE7B">
      <w:pPr>
        <w:pStyle w:val="14"/>
        <w:adjustRightInd w:val="0"/>
        <w:snapToGrid w:val="0"/>
        <w:spacing w:afterLines="50" w:line="600" w:lineRule="exact"/>
        <w:ind w:firstLine="63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制定社会资本参与产业科技创新平台建设的鼓励政策，构建财政科技投入与社会资金搭配机制，完善以产业为导向的区域科研体系。制定鼓励政策，瞄准京津冀产业集群的技术优势和产业转移需求，引导实体产业实现共性技术创新有新突破。重点支持精细化工、新材料、农产品深加工、生物产业（生物活性成分提取）、智能制造、农药残留和食品安全快速检测技术等重大产业科技方向，推进重点实验室、企业技术中心、公共研发平台、专家工作站等技术创新平台建设，实现关键共性技术的零突破；尝试建立或引进一批产业科技创新中心等新型研发组织和跨地区综合性服务平台。依托产业发展需求，培育一批国内外知名的科技服务机构和龙头企业；鼓励和推动高校、科研院所与企业形成利益共同体，扶持大连理工大学盘锦产业研究院浩业分院建设，建立“科技引领——资本助推——要素集聚”的三级创新服务体系。到2025年，基本建成技术创新资源共享、系统化、集成化的创新服务支撑体系，建成2-3家成熟的产业创新联盟、5-6个产业技术创新中心。</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14:paraId="33B58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000" w:type="pct"/>
            <w:tcBorders>
              <w:top w:val="dotted" w:color="auto" w:sz="4" w:space="0"/>
              <w:left w:val="dotted" w:color="auto" w:sz="4" w:space="0"/>
              <w:bottom w:val="dotted" w:color="auto" w:sz="4" w:space="0"/>
              <w:right w:val="dotted" w:color="auto" w:sz="4" w:space="0"/>
            </w:tcBorders>
            <w:shd w:val="clear" w:color="auto" w:fill="FFFFFF"/>
          </w:tcPr>
          <w:p w14:paraId="27DD2554">
            <w:pPr>
              <w:pStyle w:val="21"/>
              <w:widowControl/>
              <w:spacing w:line="600" w:lineRule="exact"/>
              <w:ind w:firstLine="511"/>
              <w:jc w:val="center"/>
              <w:rPr>
                <w:rFonts w:asciiTheme="minorEastAsia" w:hAnsiTheme="minorEastAsia" w:eastAsiaTheme="minorEastAsia" w:cstheme="minorEastAsia"/>
                <w:color w:val="000000" w:themeColor="text1"/>
                <w:szCs w:val="24"/>
                <w:shd w:val="clear" w:color="auto" w:fill="FFFFFF"/>
              </w:rPr>
            </w:pPr>
            <w:bookmarkStart w:id="102" w:name="_Toc5154"/>
            <w:r>
              <w:rPr>
                <w:rFonts w:hint="eastAsia" w:asciiTheme="minorEastAsia" w:hAnsiTheme="minorEastAsia" w:eastAsiaTheme="minorEastAsia" w:cstheme="minorEastAsia"/>
                <w:b/>
                <w:bCs/>
                <w:color w:val="000000" w:themeColor="text1"/>
                <w:szCs w:val="24"/>
                <w:shd w:val="clear" w:color="auto" w:fill="FFFFFF"/>
              </w:rPr>
              <w:t>专栏3-2 知识产权交易市场培育工程</w:t>
            </w:r>
          </w:p>
        </w:tc>
      </w:tr>
      <w:tr w14:paraId="12D79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dotted" w:color="auto" w:sz="4" w:space="0"/>
              <w:left w:val="dotted" w:color="auto" w:sz="4" w:space="0"/>
              <w:bottom w:val="dotted" w:color="auto" w:sz="4" w:space="0"/>
              <w:right w:val="dotted" w:color="auto" w:sz="4" w:space="0"/>
            </w:tcBorders>
            <w:shd w:val="clear" w:color="auto" w:fill="FFFFFF"/>
          </w:tcPr>
          <w:p w14:paraId="7893A522">
            <w:pPr>
              <w:pStyle w:val="21"/>
              <w:widowControl/>
              <w:spacing w:line="600" w:lineRule="exact"/>
              <w:ind w:firstLine="510"/>
              <w:jc w:val="both"/>
              <w:rPr>
                <w:rFonts w:asciiTheme="minorEastAsia" w:hAnsiTheme="minorEastAsia" w:eastAsiaTheme="minorEastAsia" w:cstheme="minorEastAsia"/>
                <w:color w:val="000000" w:themeColor="text1"/>
                <w:szCs w:val="24"/>
                <w:shd w:val="clear" w:color="auto" w:fill="FFFFFF"/>
              </w:rPr>
            </w:pPr>
            <w:r>
              <w:rPr>
                <w:rFonts w:hint="eastAsia" w:asciiTheme="minorEastAsia" w:hAnsiTheme="minorEastAsia" w:eastAsiaTheme="minorEastAsia" w:cstheme="minorEastAsia"/>
                <w:color w:val="000000" w:themeColor="text1"/>
                <w:kern w:val="2"/>
                <w:szCs w:val="24"/>
                <w:shd w:val="clear" w:color="auto" w:fill="FFFFFF"/>
              </w:rPr>
              <w:t>制定鼓励政策，培育引进一批特色突出、运营模式领先的知识产权运营企业或机构，推动开展知识产权交易服务，以知识产权交易市场建设引领产业科技创新和创新科技成果转化。对接好国家专利技术展示交易中心，力争在盘山县设立分中心，构建能够链接国际一流的知识产权创新主体、服务机构和产业资本的区域性知识产权交易体系，带动完善知识产权运营体系，推动知识产权资产流转更加顺畅。</w:t>
            </w:r>
          </w:p>
        </w:tc>
      </w:tr>
      <w:bookmarkEnd w:id="102"/>
    </w:tbl>
    <w:p w14:paraId="74770718">
      <w:pPr>
        <w:pStyle w:val="7"/>
        <w:spacing w:line="600" w:lineRule="exact"/>
        <w:ind w:firstLine="670"/>
        <w:jc w:val="center"/>
        <w:rPr>
          <w:rFonts w:ascii="黑体" w:hAnsi="黑体" w:cs="黑体"/>
          <w:color w:val="000000" w:themeColor="text1"/>
        </w:rPr>
      </w:pPr>
      <w:bookmarkStart w:id="103" w:name="_Toc21362"/>
      <w:bookmarkStart w:id="104" w:name="_Toc4800"/>
      <w:bookmarkStart w:id="105" w:name="_Toc1394"/>
      <w:bookmarkStart w:id="106" w:name="_Toc11999"/>
      <w:bookmarkStart w:id="107" w:name="_Toc15872"/>
      <w:bookmarkStart w:id="108" w:name="_Toc2195"/>
      <w:bookmarkStart w:id="109" w:name="_Toc18182"/>
      <w:r>
        <w:rPr>
          <w:rFonts w:hint="eastAsia" w:ascii="黑体" w:hAnsi="黑体" w:cs="黑体"/>
          <w:color w:val="000000" w:themeColor="text1"/>
        </w:rPr>
        <w:t>第二节 培育创新引领型企业</w:t>
      </w:r>
      <w:bookmarkEnd w:id="103"/>
      <w:bookmarkEnd w:id="104"/>
      <w:bookmarkEnd w:id="105"/>
      <w:bookmarkEnd w:id="106"/>
      <w:bookmarkEnd w:id="107"/>
      <w:bookmarkEnd w:id="108"/>
      <w:bookmarkEnd w:id="109"/>
    </w:p>
    <w:p w14:paraId="547340E2">
      <w:pPr>
        <w:pStyle w:val="14"/>
        <w:adjustRightInd w:val="0"/>
        <w:snapToGrid w:val="0"/>
        <w:spacing w:afterLines="50" w:line="600" w:lineRule="exact"/>
        <w:ind w:firstLine="63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坚持“政府扶持平台，平台服务企业，企业自主创新”的发展思路，培育扶持核心企业，发挥创新引领示范作用，建立完善技术创新和科技企业孵化体系，培育一批具有规模优势和较强竞争力的高新技术核心企业和传统产业升级改造示范引领型企业。</w:t>
      </w:r>
    </w:p>
    <w:p w14:paraId="76D92AF7">
      <w:pPr>
        <w:pStyle w:val="8"/>
        <w:spacing w:line="600" w:lineRule="exact"/>
        <w:ind w:firstLine="672"/>
        <w:rPr>
          <w:color w:val="000000" w:themeColor="text1"/>
        </w:rPr>
      </w:pPr>
      <w:r>
        <w:rPr>
          <w:rFonts w:hint="eastAsia"/>
          <w:color w:val="000000" w:themeColor="text1"/>
        </w:rPr>
        <w:t>一、大力培育高新技术企业</w:t>
      </w:r>
    </w:p>
    <w:p w14:paraId="3CF2EAD1">
      <w:pPr>
        <w:pStyle w:val="14"/>
        <w:adjustRightInd w:val="0"/>
        <w:snapToGrid w:val="0"/>
        <w:spacing w:line="600" w:lineRule="exact"/>
        <w:ind w:firstLine="63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按照成熟期、成长期、初创期类型，培育或引进一批科技型企业，对照高新技术企业认定标准，精准帮扶施策，落实支持政策，壮大高新技术产业规模。遴选不同成长阶段的企业20家左右，遵循“科技型中小企业——高新技术企业——瞪羚企业”的梯次链条，力争实现科技型中小企业、高新技术企业新突破，集中力量培育3家具有区域影响力和较强市场竞争力的瞪羚（或独角兽）企业。另外，积极引导企业加大研发投入，开展高新技术产品研发创新，加大创新人才引进和政策激励力度，发挥企业和企业家在政府产业规划、技术创新决策中的重要作用，促进企业向高新技术方向靠拢、转型。力争到2025年，全县高新技术企业总户数超过35户。</w:t>
      </w:r>
    </w:p>
    <w:p w14:paraId="62A22C6D">
      <w:pPr>
        <w:pStyle w:val="8"/>
        <w:spacing w:line="600" w:lineRule="exact"/>
        <w:ind w:firstLine="672"/>
        <w:rPr>
          <w:color w:val="000000" w:themeColor="text1"/>
        </w:rPr>
      </w:pPr>
      <w:r>
        <w:rPr>
          <w:rFonts w:hint="eastAsia"/>
          <w:color w:val="000000" w:themeColor="text1"/>
        </w:rPr>
        <w:t>二、全力培育农业创新型企业</w:t>
      </w:r>
    </w:p>
    <w:p w14:paraId="646A80F6">
      <w:pPr>
        <w:pStyle w:val="14"/>
        <w:adjustRightInd w:val="0"/>
        <w:snapToGrid w:val="0"/>
        <w:spacing w:line="600" w:lineRule="exact"/>
        <w:ind w:firstLine="63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围绕提升农副产品资源价值，大力实施特色农产品精深加工科技企业培育计划。围绕优质水稻、河蟹、设施果蔬、苇艺草编、特色养殖五大特色领域，以现代种业、配方施肥、农机农艺融合、病虫害统防统治和物联网信息化为重点，支持农业龙头企业、合作社加强重大关键技术的引进、科研攻关和集成示范建设。重点支持企业开展特色农产品品质提升工程、绿色食品有机认证，引导大米、河蟹、碱地柿子、草虾、萝卜等农特产品由初级加工向高附加值精深加工转变，由传统加工工艺向先进实用技术和现代高新技术转变。力争到2025年，在大米、河蟹、碱地柿子、草虾、萝卜等领域，培育农业创新型企业5家以上。</w:t>
      </w:r>
    </w:p>
    <w:p w14:paraId="48A3B8B3">
      <w:pPr>
        <w:pStyle w:val="8"/>
        <w:spacing w:line="600" w:lineRule="exact"/>
        <w:ind w:firstLine="672"/>
        <w:rPr>
          <w:color w:val="000000" w:themeColor="text1"/>
        </w:rPr>
      </w:pPr>
      <w:r>
        <w:rPr>
          <w:rFonts w:hint="eastAsia"/>
          <w:color w:val="000000" w:themeColor="text1"/>
        </w:rPr>
        <w:t>三、着力培育创新型服务企业</w:t>
      </w:r>
    </w:p>
    <w:p w14:paraId="69E3A3C8">
      <w:pPr>
        <w:pStyle w:val="14"/>
        <w:adjustRightInd w:val="0"/>
        <w:snapToGrid w:val="0"/>
        <w:spacing w:line="600" w:lineRule="exact"/>
        <w:ind w:firstLine="63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把握国家“互联网+”行动计划战略机遇，实施创新型服务企业培育工程，积极培育一批骨干创新型服务企业。积极推动服务业标准化体系建设，创新现代服务业培育模式，明确服务业龙头企业、重点集聚区、重点项目等认定标准，制定相应的扶持政策，吸引社会资本积极参与拓展服务业发展空间。重点围绕电商物流、石化物流、特色农产品物流、文化旅游创意产业发展，强化新一代人工智能、5G先进适用技术的集成示范和推广，鼓励企业搭建和应用电子商务类、功能型专业市场类、专业服务类平台。</w:t>
      </w:r>
    </w:p>
    <w:p w14:paraId="0D035687">
      <w:pPr>
        <w:pStyle w:val="8"/>
        <w:spacing w:line="600" w:lineRule="exact"/>
        <w:ind w:firstLine="672"/>
        <w:rPr>
          <w:color w:val="000000" w:themeColor="text1"/>
        </w:rPr>
      </w:pPr>
      <w:bookmarkStart w:id="110" w:name="_Toc26389"/>
      <w:r>
        <w:rPr>
          <w:rFonts w:hint="eastAsia"/>
          <w:color w:val="000000" w:themeColor="text1"/>
        </w:rPr>
        <w:t>四、加快建设产业科技金融支撑体系</w:t>
      </w:r>
      <w:bookmarkEnd w:id="110"/>
    </w:p>
    <w:p w14:paraId="74BBE6C7">
      <w:pPr>
        <w:pStyle w:val="14"/>
        <w:adjustRightInd w:val="0"/>
        <w:snapToGrid w:val="0"/>
        <w:spacing w:afterLines="50" w:line="600" w:lineRule="exact"/>
        <w:ind w:firstLine="63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强化科技金融支撑实体经济发展服务功能。探索建立从实验开发、中试到生产全过程科技创新融资模式，推动各类创新要素加速集聚。探索建设盘山县太平镇金融小镇、古城子基金小镇，吸引设立新兴产业创业投资基金，引进社会资本和风投机构，推动政府创投引导基金专业化、市场化运作，加速推进创新链、产业链、资本链协同融合。积极申报国家知识产权投融资试点，研究和推进知识产权投融资服务体系。推动成立盘山县知识产权金融服务联盟，建立系统化、流程化、专业化的知识产权金融服务机制；完善知识产权质押风险补偿基金等风险分担机制，积极培育和规范专利保险市场。</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14:paraId="686C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tcBorders>
              <w:top w:val="dotted" w:color="auto" w:sz="4" w:space="0"/>
              <w:left w:val="dotted" w:color="auto" w:sz="4" w:space="0"/>
              <w:bottom w:val="dotted" w:color="auto" w:sz="4" w:space="0"/>
              <w:right w:val="dotted" w:color="auto" w:sz="4" w:space="0"/>
            </w:tcBorders>
            <w:shd w:val="clear" w:color="auto" w:fill="FFFFFF"/>
          </w:tcPr>
          <w:p w14:paraId="2016FDE7">
            <w:pPr>
              <w:pStyle w:val="14"/>
              <w:spacing w:line="600" w:lineRule="exact"/>
              <w:ind w:firstLine="511"/>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b/>
                <w:bCs/>
                <w:color w:val="000000" w:themeColor="text1"/>
                <w:kern w:val="0"/>
                <w:sz w:val="24"/>
                <w:szCs w:val="24"/>
                <w:shd w:val="clear" w:color="auto" w:fill="FFFFFF"/>
              </w:rPr>
              <w:t>专栏3-3 平台协同创新工程</w:t>
            </w:r>
          </w:p>
        </w:tc>
      </w:tr>
      <w:tr w14:paraId="659E0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71" w:type="dxa"/>
            <w:tcBorders>
              <w:top w:val="dotted" w:color="auto" w:sz="4" w:space="0"/>
              <w:left w:val="dotted" w:color="auto" w:sz="4" w:space="0"/>
              <w:bottom w:val="dotted" w:color="auto" w:sz="4" w:space="0"/>
              <w:right w:val="dotted" w:color="auto" w:sz="4" w:space="0"/>
            </w:tcBorders>
            <w:shd w:val="clear" w:color="auto" w:fill="FFFFFF"/>
          </w:tcPr>
          <w:p w14:paraId="5985FAD6">
            <w:pPr>
              <w:adjustRightInd w:val="0"/>
              <w:snapToGrid w:val="0"/>
              <w:spacing w:line="600" w:lineRule="exact"/>
              <w:ind w:firstLine="51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坚持前端聚焦，推进中间协同，加快企业技术研发平台协同创新。注重后端转化，积极引导社会资本加大对盘山主导产业科技领域的投资。通过举办主导产业经济成果交易展览会等形式，鼓励国内外科研院校、企业到盘山举办技术成果推介会，支持入驻盘山的各类技术市场主体建设面向东北亚的区域性创新中心。</w:t>
            </w:r>
          </w:p>
        </w:tc>
      </w:tr>
    </w:tbl>
    <w:p w14:paraId="1A708123">
      <w:pPr>
        <w:pStyle w:val="7"/>
        <w:spacing w:line="600" w:lineRule="exact"/>
        <w:ind w:firstLine="0" w:firstLineChars="0"/>
        <w:jc w:val="center"/>
        <w:rPr>
          <w:rFonts w:ascii="黑体" w:hAnsi="黑体" w:cs="黑体"/>
          <w:color w:val="000000" w:themeColor="text1"/>
        </w:rPr>
      </w:pPr>
      <w:bookmarkStart w:id="111" w:name="_Toc17706"/>
      <w:bookmarkStart w:id="112" w:name="_Toc29941"/>
      <w:bookmarkStart w:id="113" w:name="_Toc29575"/>
      <w:bookmarkStart w:id="114" w:name="_Toc1226"/>
      <w:bookmarkStart w:id="115" w:name="_Toc3999"/>
      <w:bookmarkStart w:id="116" w:name="_Toc6853"/>
      <w:bookmarkStart w:id="117" w:name="_Toc11145"/>
      <w:r>
        <w:rPr>
          <w:rFonts w:hint="eastAsia" w:ascii="黑体" w:hAnsi="黑体" w:cs="黑体"/>
          <w:color w:val="000000" w:themeColor="text1"/>
        </w:rPr>
        <w:t>第三节 打造创新创业人才新高地</w:t>
      </w:r>
      <w:bookmarkEnd w:id="111"/>
      <w:bookmarkEnd w:id="112"/>
      <w:bookmarkEnd w:id="113"/>
      <w:bookmarkEnd w:id="114"/>
      <w:bookmarkEnd w:id="115"/>
      <w:bookmarkEnd w:id="116"/>
      <w:bookmarkEnd w:id="117"/>
    </w:p>
    <w:p w14:paraId="2F6E9564">
      <w:pPr>
        <w:pStyle w:val="14"/>
        <w:adjustRightInd w:val="0"/>
        <w:snapToGrid w:val="0"/>
        <w:spacing w:line="600" w:lineRule="exact"/>
        <w:ind w:firstLine="63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坚持“服务发展、开放创新、产业导向、高端引领、引育用并举”原则，积极探索盘山县优秀人才“招引用”新模式，培养一支专业化的人才队伍，为盘山县区域竞争力的提升提供有力的人才支撑。</w:t>
      </w:r>
    </w:p>
    <w:p w14:paraId="327A2397">
      <w:pPr>
        <w:pStyle w:val="8"/>
        <w:spacing w:line="600" w:lineRule="exact"/>
        <w:ind w:firstLine="672"/>
        <w:rPr>
          <w:color w:val="000000" w:themeColor="text1"/>
        </w:rPr>
      </w:pPr>
      <w:r>
        <w:rPr>
          <w:rFonts w:hint="eastAsia"/>
          <w:color w:val="000000" w:themeColor="text1"/>
        </w:rPr>
        <w:t>一、实施“双招双引”工程，推动产业与人才深度融合</w:t>
      </w:r>
    </w:p>
    <w:p w14:paraId="2F858F9D">
      <w:pPr>
        <w:pStyle w:val="14"/>
        <w:adjustRightInd w:val="0"/>
        <w:snapToGrid w:val="0"/>
        <w:spacing w:line="600" w:lineRule="exact"/>
        <w:ind w:firstLine="630"/>
        <w:jc w:val="left"/>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深入实施“人才强县”战略，建立人才、项目、资金、技术、平台“五位一体”才智引聚机制，切实搞好招商引资和招才引智的协同融合。重点聚焦石化及精细化工、农产品深加工、机械制造、物流商贸领域“打造高端产业链”所需求的紧缺型高层次人才，以及支撑战略性新兴产业培育发展的高校本科以上毕业生、高技能人才，夯实重点产业发展的人才基础。积极参与实施国家“</w:t>
      </w:r>
      <w:r>
        <w:rPr>
          <w:rFonts w:hint="eastAsia" w:ascii="仿宋_GB2312" w:hAnsi="仿宋_GB2312" w:eastAsia="仿宋_GB2312" w:cs="仿宋_GB2312"/>
          <w:color w:val="000000" w:themeColor="text1"/>
          <w:sz w:val="30"/>
          <w:szCs w:val="30"/>
          <w:lang w:eastAsia="zh-CN"/>
        </w:rPr>
        <w:t>政治事件</w:t>
      </w:r>
      <w:r>
        <w:rPr>
          <w:rFonts w:hint="eastAsia" w:ascii="仿宋_GB2312" w:hAnsi="仿宋_GB2312" w:eastAsia="仿宋_GB2312" w:cs="仿宋_GB2312"/>
          <w:color w:val="000000" w:themeColor="text1"/>
          <w:sz w:val="30"/>
          <w:szCs w:val="30"/>
        </w:rPr>
        <w:t>”、“双创计划”等人才工程，力争高端人才引进方面有历史性突破；建立以企业为主体、市场为导向、盘山县职业教育中心为依托的技能型人才培养体系，培育一批促进产业转型升级的技术工人队伍。依托省、市出台《关于推进人才集聚的若干政策》，高质量集聚优秀人才、创业创新项目，扶持建设人才发展载体，激发人才创新创业活力，吸引本地在外人员和域外人员来盘山创业，实施“项目+团队”的“带土移植”工程，借机盘活闲置楼宇，打造楼宇孵化园。到2025年，力争引进和培育高端创新人才20名，创新团队10个。</w:t>
      </w:r>
    </w:p>
    <w:p w14:paraId="78670B3C">
      <w:pPr>
        <w:pStyle w:val="8"/>
        <w:spacing w:line="600" w:lineRule="exact"/>
        <w:ind w:firstLine="672"/>
        <w:rPr>
          <w:color w:val="000000" w:themeColor="text1"/>
        </w:rPr>
      </w:pPr>
      <w:bookmarkStart w:id="118" w:name="_Toc22042"/>
      <w:r>
        <w:rPr>
          <w:rFonts w:hint="eastAsia"/>
          <w:color w:val="000000" w:themeColor="text1"/>
        </w:rPr>
        <w:t>二、</w:t>
      </w:r>
      <w:bookmarkEnd w:id="118"/>
      <w:bookmarkStart w:id="119" w:name="_Toc21615"/>
      <w:r>
        <w:rPr>
          <w:rFonts w:hint="eastAsia"/>
          <w:color w:val="000000" w:themeColor="text1"/>
        </w:rPr>
        <w:t>探索建立有效集聚全球战略资源的人才引进工作机制</w:t>
      </w:r>
      <w:bookmarkEnd w:id="119"/>
    </w:p>
    <w:p w14:paraId="07421563">
      <w:pPr>
        <w:pStyle w:val="14"/>
        <w:adjustRightInd w:val="0"/>
        <w:snapToGrid w:val="0"/>
        <w:spacing w:line="600" w:lineRule="exact"/>
        <w:ind w:firstLine="630"/>
        <w:jc w:val="left"/>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制定人才政策，完善领军型创业人才引进培育机制，构建引进性资助、扶持性资助和激励性资助相互支撑的分层分行业政策体系。探索实行人才引进遴选机制，不拘一格选人才、用人才，不唯学历、不唯学校排名，探索建立高端科技人才引进“一事一议”制度。探索完善人才柔性引进方式，大力吸引“候鸟型教授”、“星期天工程师”等人才。重点根据产业结构优化需要调整人才引进方向，采取团队化人才引进模式；注重培养既通科技又懂市场的复合型创新人才，实施具有国际视野和资源整合能力的优秀企业家引育计划；在西部三镇街、各产业园区、绕阳湾景区建立创新创业人才特区。</w:t>
      </w:r>
    </w:p>
    <w:p w14:paraId="5CC31C9A">
      <w:pPr>
        <w:pStyle w:val="8"/>
        <w:spacing w:line="600" w:lineRule="exact"/>
        <w:ind w:firstLine="672"/>
        <w:rPr>
          <w:color w:val="000000" w:themeColor="text1"/>
        </w:rPr>
      </w:pPr>
      <w:r>
        <w:rPr>
          <w:rFonts w:hint="eastAsia"/>
          <w:color w:val="000000" w:themeColor="text1"/>
        </w:rPr>
        <w:t>三、以战略视野优化完善人才管理服务体系</w:t>
      </w:r>
    </w:p>
    <w:p w14:paraId="67F62804">
      <w:pPr>
        <w:pStyle w:val="14"/>
        <w:adjustRightInd w:val="0"/>
        <w:snapToGrid w:val="0"/>
        <w:spacing w:afterLines="50" w:line="600" w:lineRule="exact"/>
        <w:ind w:firstLine="63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 xml:space="preserve">探索建立各类政府需求型服务人才战略储备库，建设领军人才创新创业项目信息管理平台，利用“大数据”为领军人才获得政府、资本、金融支持搭建好桥梁。完善政府购买科技服务政策，扩大政府采购，鼓励科技中介服务机构为中小企业服务，鼓励科技人才到盘山提供各类培训服务；制定政策鼓励各类科技人才到盘山创新创业，引导“科学家”向“科技企业家”转变。推行终身职业技能培训制度，全面落实“兴辽英才计划”，推行工学结合、校企合作的订单式技工人才培养模式，构建劳动者终身职业培训体系，培养技能型劳动大军。制定具有市场竞争力的人才使用激励政策，完善依据市场标准评价、使用和激励人才的政策机制。畅通人才服务“绿色通道”，全方位提升服务水平。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14:paraId="6D43A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9571" w:type="dxa"/>
            <w:tcBorders>
              <w:top w:val="dotted" w:color="auto" w:sz="4" w:space="0"/>
              <w:left w:val="dotted" w:color="auto" w:sz="4" w:space="0"/>
              <w:bottom w:val="dotted" w:color="auto" w:sz="4" w:space="0"/>
              <w:right w:val="dotted" w:color="auto" w:sz="4" w:space="0"/>
            </w:tcBorders>
            <w:shd w:val="clear" w:color="auto" w:fill="FFFFFF"/>
          </w:tcPr>
          <w:p w14:paraId="6DC35986">
            <w:pPr>
              <w:spacing w:line="600" w:lineRule="exact"/>
              <w:ind w:firstLine="511"/>
              <w:jc w:val="center"/>
              <w:rPr>
                <w:rFonts w:hint="eastAsia"/>
                <w:color w:val="000000" w:themeColor="text1"/>
                <w:szCs w:val="24"/>
              </w:rPr>
            </w:pPr>
            <w:r>
              <w:rPr>
                <w:rFonts w:hint="eastAsia" w:asciiTheme="minorEastAsia" w:hAnsiTheme="minorEastAsia" w:eastAsiaTheme="minorEastAsia" w:cstheme="minorEastAsia"/>
                <w:b/>
                <w:bCs/>
                <w:color w:val="000000" w:themeColor="text1"/>
                <w:kern w:val="0"/>
                <w:sz w:val="24"/>
                <w:szCs w:val="24"/>
                <w:shd w:val="clear" w:color="auto" w:fill="FFFFFF"/>
              </w:rPr>
              <w:t>专栏3-4 主导产业科技人才团队引进工程</w:t>
            </w:r>
          </w:p>
        </w:tc>
      </w:tr>
      <w:tr w14:paraId="14359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tcBorders>
              <w:top w:val="dotted" w:color="auto" w:sz="4" w:space="0"/>
              <w:left w:val="dotted" w:color="auto" w:sz="4" w:space="0"/>
              <w:bottom w:val="dotted" w:color="auto" w:sz="4" w:space="0"/>
              <w:right w:val="dotted" w:color="auto" w:sz="4" w:space="0"/>
            </w:tcBorders>
            <w:shd w:val="clear" w:color="auto" w:fill="FFFFFF"/>
          </w:tcPr>
          <w:p w14:paraId="56F19691">
            <w:pPr>
              <w:adjustRightInd w:val="0"/>
              <w:snapToGrid w:val="0"/>
              <w:spacing w:line="600" w:lineRule="exact"/>
              <w:ind w:firstLine="510"/>
              <w:rPr>
                <w:rFonts w:hint="eastAsia"/>
                <w:color w:val="000000" w:themeColor="text1"/>
                <w:sz w:val="24"/>
                <w:szCs w:val="24"/>
              </w:rPr>
            </w:pPr>
            <w:r>
              <w:rPr>
                <w:rFonts w:hint="eastAsia" w:asciiTheme="minorEastAsia" w:hAnsiTheme="minorEastAsia" w:eastAsiaTheme="minorEastAsia" w:cstheme="minorEastAsia"/>
                <w:color w:val="000000" w:themeColor="text1"/>
                <w:sz w:val="24"/>
                <w:szCs w:val="24"/>
              </w:rPr>
              <w:t>围绕吸引和培养生物制药、新能源、装备制造、节能环保、数字经济、智能制造等重点领域人才，在经费资助、重大专项、成果转化等方面予以倾斜，加快引进从事产业技术创新、成果产业化和技能攻关的国内外高端领军人才。</w:t>
            </w:r>
          </w:p>
        </w:tc>
      </w:tr>
    </w:tbl>
    <w:p w14:paraId="37ED55A8">
      <w:pPr>
        <w:widowControl/>
        <w:spacing w:line="600" w:lineRule="exact"/>
        <w:ind w:firstLine="590"/>
        <w:jc w:val="left"/>
        <w:rPr>
          <w:rFonts w:asciiTheme="minorEastAsia" w:hAnsiTheme="minorEastAsia" w:eastAsiaTheme="minorEastAsia" w:cstheme="minorEastAsia"/>
          <w:color w:val="000000" w:themeColor="text1"/>
          <w:szCs w:val="28"/>
        </w:rPr>
        <w:sectPr>
          <w:footerReference r:id="rId12" w:type="default"/>
          <w:pgSz w:w="11906" w:h="16838"/>
          <w:pgMar w:top="1417" w:right="1134" w:bottom="1134" w:left="1417" w:header="851" w:footer="992" w:gutter="0"/>
          <w:pgNumType w:fmt="numberInDash" w:start="1"/>
          <w:cols w:space="0" w:num="1"/>
          <w:docGrid w:type="linesAndChars" w:linePitch="585" w:charSpace="3031"/>
        </w:sectPr>
      </w:pPr>
    </w:p>
    <w:p w14:paraId="5ED2EED8">
      <w:pPr>
        <w:pStyle w:val="6"/>
        <w:spacing w:line="600" w:lineRule="exact"/>
        <w:ind w:firstLine="0" w:firstLineChars="0"/>
        <w:jc w:val="center"/>
        <w:rPr>
          <w:color w:val="000000" w:themeColor="text1"/>
          <w:sz w:val="36"/>
          <w:szCs w:val="36"/>
        </w:rPr>
      </w:pPr>
      <w:bookmarkStart w:id="120" w:name="_Toc23521"/>
      <w:bookmarkStart w:id="121" w:name="_Toc19467"/>
      <w:bookmarkStart w:id="122" w:name="_Toc12037"/>
      <w:bookmarkStart w:id="123" w:name="_Toc6554"/>
      <w:bookmarkStart w:id="124" w:name="_Toc29819"/>
      <w:bookmarkStart w:id="125" w:name="_Toc31948"/>
      <w:bookmarkStart w:id="126" w:name="_Toc25340"/>
      <w:r>
        <w:rPr>
          <w:rFonts w:hint="eastAsia"/>
          <w:color w:val="000000" w:themeColor="text1"/>
          <w:sz w:val="36"/>
          <w:szCs w:val="36"/>
        </w:rPr>
        <w:t>第四章 扩量升级 构建现代化工业新</w:t>
      </w:r>
      <w:bookmarkEnd w:id="120"/>
      <w:bookmarkEnd w:id="121"/>
      <w:bookmarkEnd w:id="122"/>
      <w:bookmarkEnd w:id="123"/>
      <w:bookmarkEnd w:id="124"/>
      <w:bookmarkEnd w:id="125"/>
      <w:r>
        <w:rPr>
          <w:rFonts w:hint="eastAsia"/>
          <w:color w:val="000000" w:themeColor="text1"/>
          <w:sz w:val="36"/>
          <w:szCs w:val="36"/>
        </w:rPr>
        <w:t>势能</w:t>
      </w:r>
      <w:bookmarkEnd w:id="126"/>
    </w:p>
    <w:p w14:paraId="4CDC316C">
      <w:pPr>
        <w:pStyle w:val="14"/>
        <w:adjustRightInd w:val="0"/>
        <w:snapToGrid w:val="0"/>
        <w:spacing w:line="600" w:lineRule="exact"/>
        <w:ind w:firstLine="63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坚持提升增量与优化存量并举，提质量与促发展并重，围绕全市“1+2+3”产业发展方向，推动产业融合、产业链条延伸，重点打造</w:t>
      </w:r>
      <w:r>
        <w:rPr>
          <w:rFonts w:hint="eastAsia" w:ascii="仿宋_GB2312" w:hAnsi="仿宋_GB2312" w:eastAsia="仿宋_GB2312" w:cs="仿宋_GB2312"/>
          <w:b/>
          <w:bCs/>
          <w:color w:val="000000" w:themeColor="text1"/>
          <w:sz w:val="30"/>
          <w:szCs w:val="30"/>
        </w:rPr>
        <w:t>石化、新材料、农产品深加工、数字经济</w:t>
      </w:r>
      <w:r>
        <w:rPr>
          <w:rFonts w:hint="eastAsia" w:ascii="仿宋_GB2312" w:hAnsi="仿宋_GB2312" w:eastAsia="仿宋_GB2312" w:cs="仿宋_GB2312"/>
          <w:color w:val="000000" w:themeColor="text1"/>
          <w:sz w:val="30"/>
          <w:szCs w:val="30"/>
        </w:rPr>
        <w:t>四大产业集群，推动全县工业由要素驱动向创新驱动转变，提高产业核心竞争力，构建多点支撑、多元发展的工业化新体系。</w:t>
      </w:r>
    </w:p>
    <w:p w14:paraId="72462632">
      <w:pPr>
        <w:pStyle w:val="7"/>
        <w:spacing w:line="600" w:lineRule="exact"/>
        <w:ind w:firstLine="0" w:firstLineChars="0"/>
        <w:jc w:val="center"/>
        <w:rPr>
          <w:rFonts w:ascii="黑体" w:hAnsi="黑体" w:cs="黑体"/>
          <w:color w:val="000000" w:themeColor="text1"/>
        </w:rPr>
      </w:pPr>
      <w:bookmarkStart w:id="127" w:name="_Toc10941"/>
      <w:bookmarkStart w:id="128" w:name="_Toc22114"/>
      <w:bookmarkStart w:id="129" w:name="_Toc25377"/>
      <w:bookmarkStart w:id="130" w:name="_Toc18139"/>
      <w:bookmarkStart w:id="131" w:name="_Toc27784"/>
      <w:bookmarkStart w:id="132" w:name="_Toc18507"/>
      <w:bookmarkStart w:id="133" w:name="_Toc9215"/>
      <w:r>
        <w:rPr>
          <w:rFonts w:hint="eastAsia" w:ascii="黑体" w:hAnsi="黑体" w:cs="黑体"/>
          <w:color w:val="000000" w:themeColor="text1"/>
        </w:rPr>
        <w:t>第一节 打造绿色石化产业集群</w:t>
      </w:r>
      <w:bookmarkEnd w:id="127"/>
      <w:bookmarkEnd w:id="128"/>
      <w:bookmarkEnd w:id="129"/>
    </w:p>
    <w:bookmarkEnd w:id="130"/>
    <w:bookmarkEnd w:id="131"/>
    <w:bookmarkEnd w:id="132"/>
    <w:bookmarkEnd w:id="133"/>
    <w:p w14:paraId="6E88281C">
      <w:pPr>
        <w:pStyle w:val="14"/>
        <w:adjustRightInd w:val="0"/>
        <w:snapToGrid w:val="0"/>
        <w:spacing w:line="600" w:lineRule="exact"/>
        <w:ind w:firstLine="63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主动融入全市建设世界级石化产业基地发展格局，按照循环经济、绿色低碳的发展要求，加快推动石油化工产业由粗放、低端、高能耗向高端、高附加值转化，从产业链低端迈向中高端。</w:t>
      </w:r>
    </w:p>
    <w:p w14:paraId="5039E689">
      <w:pPr>
        <w:pStyle w:val="8"/>
        <w:spacing w:line="600" w:lineRule="exact"/>
        <w:ind w:firstLine="0" w:firstLineChars="0"/>
        <w:jc w:val="center"/>
        <w:rPr>
          <w:rFonts w:eastAsia="华文楷体"/>
          <w:color w:val="000000" w:themeColor="text1"/>
        </w:rPr>
      </w:pPr>
      <w:r>
        <w:rPr>
          <w:rFonts w:hint="eastAsia" w:eastAsia="华文楷体"/>
          <w:color w:val="000000" w:themeColor="text1"/>
        </w:rPr>
        <w:t>一、</w:t>
      </w:r>
      <w:r>
        <w:rPr>
          <w:rFonts w:hint="eastAsia"/>
          <w:color w:val="000000" w:themeColor="text1"/>
        </w:rPr>
        <w:t>推动石化产业延链补链强链</w:t>
      </w:r>
    </w:p>
    <w:p w14:paraId="7E66A3E2">
      <w:pPr>
        <w:pStyle w:val="14"/>
        <w:adjustRightInd w:val="0"/>
        <w:snapToGrid w:val="0"/>
        <w:spacing w:line="600" w:lineRule="exact"/>
        <w:ind w:firstLine="63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发挥宝来生物、浩业化工等传统石化骨干企业“龙头”带动作用和宝来巴赛尔等大型企业丰富的原材料优势，依托盘锦辽河口经济开发区、辽宁新材料产业开发区等发展载体，坚持炼化一体化、产业高端化、集约化、生态化发展方向，打造盘山县“油头——化身——高化尾”的石油炼化产业链条。重点依托柴油、溶剂油、催化裂化油浆、聚乙烯等基础产品，延伸上下游配套的石化产业链条，着力扶持发展高性能纤维、高端聚烯烃弹性体、特种橡胶和高端化工助剂等领域，推动石化产品向高性能沥青、针状焦、橡胶增塑剂、精制溶剂油以及高端精细化工产品方向拓展升级。 重点支持宝来生物向重质碳系列高端碳材料和特种环保油品产业链方向升级，鼓励宝来生物上市；推动浩业化工向延迟焦化、釜式焦化工艺方向拓展，增强乙烯、丙烯、丁烯等烯烃类基础化学原料供给能力，全力推动浩业化工转型升级；引导辽宁新材料产业经济开发区向合成树脂、合成橡胶、新型工程塑料等石化产业链中下游领域转型；着力引进塑料助剂、改性塑料等化工新材料企业，持续丰富精细化工及新材料产品。力争到2025年，石化及精细化工产业集群工业企业营业收入超过2000亿元，助力全市建成世界级石化产业基地。</w:t>
      </w:r>
    </w:p>
    <w:p w14:paraId="191A03B8">
      <w:pPr>
        <w:pStyle w:val="8"/>
        <w:keepNext w:val="0"/>
        <w:keepLines w:val="0"/>
        <w:widowControl/>
        <w:shd w:val="clear" w:color="auto" w:fill="FFFFFF"/>
        <w:spacing w:line="600" w:lineRule="exact"/>
        <w:ind w:firstLine="670"/>
        <w:rPr>
          <w:rFonts w:eastAsia="华文楷体"/>
          <w:color w:val="000000" w:themeColor="text1"/>
          <w:sz w:val="30"/>
        </w:rPr>
      </w:pPr>
      <w:r>
        <w:rPr>
          <w:rFonts w:hint="eastAsia" w:eastAsia="华文楷体"/>
          <w:color w:val="000000" w:themeColor="text1"/>
        </w:rPr>
        <w:t>二、</w:t>
      </w:r>
      <w:r>
        <w:rPr>
          <w:rFonts w:hint="eastAsia" w:eastAsia="华文楷体"/>
          <w:color w:val="000000" w:themeColor="text1"/>
          <w:sz w:val="30"/>
          <w:shd w:val="clear" w:color="auto" w:fill="FFFFFF"/>
        </w:rPr>
        <w:t>强化</w:t>
      </w:r>
      <w:r>
        <w:rPr>
          <w:rFonts w:hint="eastAsia"/>
          <w:color w:val="000000" w:themeColor="text1"/>
          <w:sz w:val="30"/>
          <w:shd w:val="clear" w:color="auto" w:fill="FFFFFF"/>
        </w:rPr>
        <w:t>石化</w:t>
      </w:r>
      <w:r>
        <w:rPr>
          <w:rFonts w:hint="eastAsia" w:eastAsia="华文楷体"/>
          <w:color w:val="000000" w:themeColor="text1"/>
          <w:sz w:val="30"/>
          <w:shd w:val="clear" w:color="auto" w:fill="FFFFFF"/>
        </w:rPr>
        <w:t>产业发展</w:t>
      </w:r>
      <w:r>
        <w:rPr>
          <w:rFonts w:hint="eastAsia"/>
          <w:color w:val="000000" w:themeColor="text1"/>
          <w:sz w:val="30"/>
          <w:shd w:val="clear" w:color="auto" w:fill="FFFFFF"/>
        </w:rPr>
        <w:t>的配套服务</w:t>
      </w:r>
      <w:r>
        <w:rPr>
          <w:rFonts w:hint="eastAsia" w:eastAsia="华文楷体"/>
          <w:color w:val="000000" w:themeColor="text1"/>
          <w:sz w:val="30"/>
          <w:shd w:val="clear" w:color="auto" w:fill="FFFFFF"/>
        </w:rPr>
        <w:t>支撑</w:t>
      </w:r>
      <w:r>
        <w:rPr>
          <w:rFonts w:hint="eastAsia"/>
          <w:color w:val="000000" w:themeColor="text1"/>
          <w:sz w:val="30"/>
        </w:rPr>
        <w:t>体系</w:t>
      </w:r>
    </w:p>
    <w:p w14:paraId="6D15E035">
      <w:pPr>
        <w:pStyle w:val="14"/>
        <w:widowControl/>
        <w:spacing w:line="600" w:lineRule="exact"/>
        <w:ind w:firstLine="590" w:firstLineChars="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强化要素支撑，</w:t>
      </w:r>
      <w:r>
        <w:rPr>
          <w:rFonts w:hint="eastAsia" w:ascii="仿宋_GB2312" w:hAnsi="仿宋_GB2312" w:eastAsia="仿宋_GB2312" w:cs="仿宋_GB2312"/>
          <w:color w:val="000000"/>
          <w:sz w:val="30"/>
          <w:szCs w:val="30"/>
        </w:rPr>
        <w:t>鼓励发展石化产品研发设计、投融资服务、管理咨询、技术评估、产权产易等各种石化专业化服务体系</w:t>
      </w:r>
      <w:r>
        <w:rPr>
          <w:rFonts w:hint="eastAsia" w:ascii="仿宋_GB2312" w:hAnsi="仿宋_GB2312" w:eastAsia="仿宋_GB2312" w:cs="仿宋_GB2312"/>
          <w:color w:val="000000" w:themeColor="text1"/>
          <w:sz w:val="30"/>
          <w:szCs w:val="30"/>
        </w:rPr>
        <w:t>，助力盘山形成更强创新力、更高附加值的石化产业链供应链。</w:t>
      </w:r>
      <w:r>
        <w:rPr>
          <w:rFonts w:hint="eastAsia" w:ascii="仿宋_GB2312" w:hAnsi="仿宋_GB2312" w:eastAsia="仿宋_GB2312" w:cs="仿宋_GB2312"/>
          <w:color w:val="000000"/>
          <w:sz w:val="30"/>
          <w:szCs w:val="30"/>
        </w:rPr>
        <w:t>鼓励宝来生物、浩业化工等骨干企业建立技术开发、检验检测、技术转移公共服务平台。</w:t>
      </w:r>
      <w:r>
        <w:rPr>
          <w:rFonts w:hint="eastAsia" w:ascii="仿宋_GB2312" w:hAnsi="仿宋_GB2312" w:eastAsia="仿宋_GB2312" w:cs="仿宋_GB2312"/>
          <w:color w:val="000000" w:themeColor="text1"/>
          <w:sz w:val="30"/>
          <w:szCs w:val="30"/>
        </w:rPr>
        <w:t>发挥宝来生物等石化骨干企业、中科院大化所盘锦研究院、大工盘锦研究院以及清华大学李亚栋院士工作站、刘维民院士高性能润滑材料联合研究中心的作用，建设研发和中试开放服务平台、产品实验化验中心；</w:t>
      </w:r>
      <w:r>
        <w:rPr>
          <w:rFonts w:hint="eastAsia" w:ascii="仿宋_GB2312" w:hAnsi="仿宋_GB2312" w:eastAsia="仿宋_GB2312" w:cs="仿宋_GB2312"/>
          <w:color w:val="000000"/>
          <w:sz w:val="30"/>
          <w:szCs w:val="30"/>
        </w:rPr>
        <w:t>鼓励盘山县职业教育中心与石化企业进行校企合作，根据企业需要定向培训专业技能型</w:t>
      </w:r>
      <w:r>
        <w:rPr>
          <w:rFonts w:hint="eastAsia" w:ascii="仿宋_GB2312" w:hAnsi="仿宋_GB2312" w:eastAsia="仿宋_GB2312" w:cs="仿宋_GB2312"/>
          <w:color w:val="000000" w:themeColor="text1"/>
          <w:sz w:val="30"/>
          <w:szCs w:val="30"/>
        </w:rPr>
        <w:t>人才，</w:t>
      </w:r>
      <w:r>
        <w:rPr>
          <w:rFonts w:hint="eastAsia" w:ascii="仿宋_GB2312" w:hAnsi="仿宋_GB2312" w:eastAsia="仿宋_GB2312" w:cs="仿宋_GB2312"/>
          <w:color w:val="000000"/>
          <w:sz w:val="30"/>
          <w:szCs w:val="30"/>
        </w:rPr>
        <w:t>为石化产业发展培养具有一定生产技能的高素质产业工人。</w:t>
      </w:r>
      <w:r>
        <w:rPr>
          <w:rFonts w:hint="eastAsia" w:ascii="仿宋_GB2312" w:hAnsi="仿宋_GB2312" w:eastAsia="仿宋_GB2312" w:cs="仿宋_GB2312"/>
          <w:color w:val="000000" w:themeColor="text1"/>
          <w:sz w:val="30"/>
          <w:szCs w:val="30"/>
        </w:rPr>
        <w:t>提高节能减排水平，强化对可燃气体、有毒有害物质存储、运输以及废气、废水等污染物排放的自动监控、自动报警，提升安全环保水平；建立安全生产风险分级管控和隐患治理双重防控机制，加强石化产业应急救援队伍建设，实现关键设备检测预警与预防性维修，提高资产全生命周期管理水平。到2025年，重点石化产品质量标准与国际接轨，石化企业研发投入年均增长15%，基本建成科技创新、人才保障、金融服务、绿色环保、应急救援的国际化配套支撑体系。</w:t>
      </w:r>
    </w:p>
    <w:p w14:paraId="6CA365DA">
      <w:pPr>
        <w:pStyle w:val="7"/>
        <w:keepNext w:val="0"/>
        <w:keepLines w:val="0"/>
        <w:widowControl/>
        <w:spacing w:line="600" w:lineRule="exact"/>
        <w:ind w:firstLine="0" w:firstLineChars="0"/>
        <w:jc w:val="center"/>
        <w:rPr>
          <w:rFonts w:ascii="黑体" w:hAnsi="黑体" w:cs="黑体"/>
          <w:color w:val="000000" w:themeColor="text1"/>
        </w:rPr>
      </w:pPr>
      <w:bookmarkStart w:id="134" w:name="_Toc31047"/>
      <w:bookmarkStart w:id="135" w:name="_Toc5342"/>
      <w:bookmarkStart w:id="136" w:name="_Toc11984"/>
      <w:r>
        <w:rPr>
          <w:rFonts w:hint="eastAsia" w:ascii="黑体" w:hAnsi="黑体" w:cs="黑体"/>
          <w:color w:val="000000" w:themeColor="text1"/>
        </w:rPr>
        <w:t>第二节 积极培育战略性新兴产业</w:t>
      </w:r>
      <w:bookmarkEnd w:id="134"/>
      <w:bookmarkEnd w:id="135"/>
      <w:bookmarkEnd w:id="136"/>
    </w:p>
    <w:p w14:paraId="326273FC">
      <w:pPr>
        <w:pStyle w:val="14"/>
        <w:adjustRightInd w:val="0"/>
        <w:snapToGrid w:val="0"/>
        <w:spacing w:line="600" w:lineRule="exact"/>
        <w:ind w:firstLine="63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以“星星之火，可以燎原”的决心和意志，全面落实新型工业化、“中国制造2025”等国家战略，按照国家关于发展新材料、新一代信息技术、生物产业等战略性新兴产业的政策导向，制定鼓励发展政策，持续推动集聚“尖峰产业”，力争在新材料等战略性新兴产业领域取得新突破。</w:t>
      </w:r>
    </w:p>
    <w:p w14:paraId="1A4E538C">
      <w:pPr>
        <w:pStyle w:val="8"/>
        <w:spacing w:line="600" w:lineRule="exact"/>
        <w:ind w:firstLine="672"/>
        <w:jc w:val="left"/>
        <w:rPr>
          <w:color w:val="000000" w:themeColor="text1"/>
        </w:rPr>
      </w:pPr>
      <w:r>
        <w:rPr>
          <w:rFonts w:hint="eastAsia"/>
          <w:color w:val="000000" w:themeColor="text1"/>
        </w:rPr>
        <w:t>一、着力发展化工新材料产业</w:t>
      </w:r>
    </w:p>
    <w:p w14:paraId="236C19D6">
      <w:pPr>
        <w:pStyle w:val="14"/>
        <w:adjustRightInd w:val="0"/>
        <w:snapToGrid w:val="0"/>
        <w:spacing w:line="600" w:lineRule="exact"/>
        <w:ind w:firstLine="63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立足盘山及周边区域丰富的烯烃资源，遵循“链条一体、产业一体、区域一体”的协同发展思路，重点依托宝来生物、浩业化工，推动产业链向高性能复合材料等领域延展，拓展化工新材料产业链条，引领盘山加快形成先导性、支柱性和战略性新兴产业集群。聚力发展溶聚丁苯橡胶、稀土顺丁橡胶等高性能橡胶、弹性体及碳纤维、超高分子量聚乙烯纤维、间位芳纶高性能纤维等高端产品，重点培育宝来生物重质碳系列高端碳材料、特种环保油品产业链条，突破</w:t>
      </w:r>
      <w:r>
        <w:rPr>
          <w:rFonts w:hint="eastAsia" w:ascii="仿宋_GB2312" w:hAnsi="仿宋_GB2312" w:eastAsia="仿宋_GB2312" w:cs="仿宋_GB2312"/>
          <w:color w:val="000000" w:themeColor="text1"/>
          <w:sz w:val="30"/>
          <w:szCs w:val="30"/>
          <w:lang w:val="zh-CN"/>
        </w:rPr>
        <w:t>橡胶轮胎生产企业</w:t>
      </w:r>
      <w:r>
        <w:rPr>
          <w:rFonts w:hint="eastAsia" w:ascii="仿宋_GB2312" w:hAnsi="仿宋_GB2312" w:eastAsia="仿宋_GB2312" w:cs="仿宋_GB2312"/>
          <w:color w:val="000000" w:themeColor="text1"/>
          <w:sz w:val="30"/>
          <w:szCs w:val="30"/>
        </w:rPr>
        <w:t>在</w:t>
      </w:r>
      <w:r>
        <w:rPr>
          <w:rFonts w:hint="eastAsia" w:ascii="仿宋_GB2312" w:hAnsi="仿宋_GB2312" w:eastAsia="仿宋_GB2312" w:cs="仿宋_GB2312"/>
          <w:color w:val="000000" w:themeColor="text1"/>
          <w:sz w:val="30"/>
          <w:szCs w:val="30"/>
          <w:lang w:val="zh-CN"/>
        </w:rPr>
        <w:t>环保型原料</w:t>
      </w:r>
      <w:r>
        <w:rPr>
          <w:rFonts w:hint="eastAsia" w:ascii="仿宋_GB2312" w:hAnsi="仿宋_GB2312" w:eastAsia="仿宋_GB2312" w:cs="仿宋_GB2312"/>
          <w:color w:val="000000" w:themeColor="text1"/>
          <w:sz w:val="30"/>
          <w:szCs w:val="30"/>
        </w:rPr>
        <w:t>方面被国外垄断的</w:t>
      </w:r>
      <w:r>
        <w:rPr>
          <w:rFonts w:hint="eastAsia" w:ascii="仿宋_GB2312" w:hAnsi="仿宋_GB2312" w:eastAsia="仿宋_GB2312" w:cs="仿宋_GB2312"/>
          <w:color w:val="000000" w:themeColor="text1"/>
          <w:sz w:val="30"/>
          <w:szCs w:val="30"/>
          <w:lang w:val="zh-CN"/>
        </w:rPr>
        <w:t>局面，</w:t>
      </w:r>
      <w:r>
        <w:rPr>
          <w:rFonts w:hint="eastAsia" w:ascii="仿宋_GB2312" w:hAnsi="仿宋_GB2312" w:eastAsia="仿宋_GB2312" w:cs="仿宋_GB2312"/>
          <w:color w:val="000000" w:themeColor="text1"/>
          <w:sz w:val="30"/>
          <w:szCs w:val="30"/>
        </w:rPr>
        <w:t>实现</w:t>
      </w:r>
      <w:r>
        <w:rPr>
          <w:rFonts w:hint="eastAsia" w:ascii="仿宋_GB2312" w:hAnsi="仿宋_GB2312" w:eastAsia="仿宋_GB2312" w:cs="仿宋_GB2312"/>
          <w:color w:val="000000" w:themeColor="text1"/>
          <w:sz w:val="30"/>
          <w:szCs w:val="30"/>
          <w:lang w:val="zh-CN"/>
        </w:rPr>
        <w:t>针状焦、负极材料系列产品全面替代进口。</w:t>
      </w:r>
      <w:r>
        <w:rPr>
          <w:rFonts w:hint="eastAsia" w:ascii="仿宋_GB2312" w:hAnsi="仿宋_GB2312" w:eastAsia="仿宋_GB2312" w:cs="仿宋_GB2312"/>
          <w:color w:val="000000" w:themeColor="text1"/>
          <w:sz w:val="30"/>
          <w:szCs w:val="30"/>
        </w:rPr>
        <w:t>大力发展超高分子量聚乙烯、聚丁烯-1等特种聚烯烃产品；围绕汽车轻量化零部件、电子设备外壳材料、医疗器械塑料、包装材料等方向，大力发展ABS、聚碳酸脂、聚酰亚胺、聚醚醚酮等特种工程塑料，拓展产业链条。</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626AD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dotted" w:color="auto" w:sz="4" w:space="0"/>
              <w:left w:val="dotted" w:color="auto" w:sz="4" w:space="0"/>
              <w:bottom w:val="dotted" w:color="auto" w:sz="4" w:space="0"/>
              <w:right w:val="dotted" w:color="auto" w:sz="4" w:space="0"/>
            </w:tcBorders>
            <w:shd w:val="clear" w:color="auto" w:fill="FFFFFF"/>
          </w:tcPr>
          <w:p w14:paraId="742A3A96">
            <w:pPr>
              <w:pStyle w:val="8"/>
              <w:spacing w:line="600" w:lineRule="exact"/>
              <w:ind w:firstLine="0" w:firstLineChars="0"/>
              <w:jc w:val="center"/>
              <w:outlineLvl w:val="3"/>
              <w:rPr>
                <w:rFonts w:ascii="宋体" w:hAnsi="宋体" w:eastAsia="宋体" w:cs="宋体"/>
                <w:color w:val="000000" w:themeColor="text1"/>
                <w:sz w:val="24"/>
                <w:szCs w:val="24"/>
              </w:rPr>
            </w:pPr>
            <w:r>
              <w:rPr>
                <w:rFonts w:hint="eastAsia" w:asciiTheme="minorEastAsia" w:hAnsiTheme="minorEastAsia" w:eastAsiaTheme="minorEastAsia" w:cstheme="minorEastAsia"/>
                <w:color w:val="000000" w:themeColor="text1"/>
                <w:sz w:val="24"/>
                <w:szCs w:val="24"/>
              </w:rPr>
              <w:t>专栏4-1 新材料产业链“长板锻造”工程</w:t>
            </w:r>
          </w:p>
        </w:tc>
      </w:tr>
      <w:tr w14:paraId="0D21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dotted" w:color="auto" w:sz="4" w:space="0"/>
              <w:left w:val="dotted" w:color="auto" w:sz="4" w:space="0"/>
              <w:bottom w:val="dotted" w:color="auto" w:sz="4" w:space="0"/>
              <w:right w:val="dotted" w:color="auto" w:sz="4" w:space="0"/>
            </w:tcBorders>
            <w:shd w:val="clear" w:color="auto" w:fill="FFFFFF"/>
          </w:tcPr>
          <w:p w14:paraId="5A635CB7">
            <w:pPr>
              <w:pStyle w:val="14"/>
              <w:adjustRightInd w:val="0"/>
              <w:snapToGrid w:val="0"/>
              <w:spacing w:line="600" w:lineRule="exact"/>
              <w:ind w:firstLine="510"/>
              <w:rPr>
                <w:rFonts w:hAnsi="宋体" w:eastAsia="宋体" w:cs="宋体"/>
                <w:color w:val="000000" w:themeColor="text1"/>
                <w:sz w:val="24"/>
                <w:szCs w:val="24"/>
              </w:rPr>
            </w:pPr>
            <w:r>
              <w:rPr>
                <w:rFonts w:hint="eastAsia" w:asciiTheme="minorEastAsia" w:hAnsiTheme="minorEastAsia" w:eastAsiaTheme="minorEastAsia" w:cstheme="minorEastAsia"/>
                <w:color w:val="000000" w:themeColor="text1"/>
                <w:sz w:val="24"/>
                <w:szCs w:val="24"/>
              </w:rPr>
              <w:t>制定产业政策，紧密对接高端装备制造产业需求，在宝来生物、浩业化工骨干企业和已形成一定配套能力的企业基础上，实施精准招商、产业链招商，营造以商招商新环境，积极推动精细化工新材料产业链向石化机械装备等高端装备制造产业领域延伸，突出“高端化、集群化、特色化”发展方向。</w:t>
            </w:r>
          </w:p>
        </w:tc>
      </w:tr>
      <w:tr w14:paraId="7ED5E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000" w:type="pct"/>
            <w:tcBorders>
              <w:top w:val="dotted" w:color="auto" w:sz="4" w:space="0"/>
              <w:left w:val="dotted" w:color="auto" w:sz="4" w:space="0"/>
              <w:bottom w:val="dotted" w:color="auto" w:sz="4" w:space="0"/>
              <w:right w:val="dotted" w:color="auto" w:sz="4" w:space="0"/>
            </w:tcBorders>
            <w:shd w:val="clear" w:color="auto" w:fill="FFFFFF"/>
          </w:tcPr>
          <w:p w14:paraId="4EB9585A">
            <w:pPr>
              <w:spacing w:line="600" w:lineRule="exact"/>
              <w:ind w:firstLine="511"/>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b/>
                <w:bCs/>
                <w:color w:val="000000" w:themeColor="text1"/>
                <w:sz w:val="24"/>
                <w:szCs w:val="24"/>
              </w:rPr>
              <w:t>专栏4-2 宝来生物碳素材料产业新产品培育工程</w:t>
            </w:r>
          </w:p>
        </w:tc>
      </w:tr>
      <w:tr w14:paraId="7CD34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dotted" w:color="auto" w:sz="4" w:space="0"/>
              <w:left w:val="dotted" w:color="auto" w:sz="4" w:space="0"/>
              <w:bottom w:val="dotted" w:color="auto" w:sz="4" w:space="0"/>
              <w:right w:val="dotted" w:color="auto" w:sz="4" w:space="0"/>
            </w:tcBorders>
            <w:shd w:val="clear" w:color="auto" w:fill="FFFFFF"/>
          </w:tcPr>
          <w:p w14:paraId="60969A9A">
            <w:pPr>
              <w:spacing w:line="600" w:lineRule="exact"/>
              <w:ind w:firstLine="51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依托宝来生物能源等企业，拓展延伸碳纤维产业，研发生产沥青基、PAN（聚丙烯腈）基碳纤维产品，在预浸料制备、单体聚合、纤维成型、表面处理、复合材料设计制造、产品检验检测等关键工艺技术领域取得突破。到2025年，形成千吨级T800及以上型号碳纤维生产线，产值达到20亿元。</w:t>
            </w:r>
          </w:p>
        </w:tc>
      </w:tr>
    </w:tbl>
    <w:p w14:paraId="2C1EF6B8">
      <w:pPr>
        <w:pStyle w:val="8"/>
        <w:spacing w:line="600" w:lineRule="exact"/>
        <w:ind w:firstLine="672"/>
        <w:jc w:val="left"/>
        <w:rPr>
          <w:color w:val="000000" w:themeColor="text1"/>
        </w:rPr>
      </w:pPr>
      <w:r>
        <w:rPr>
          <w:rFonts w:hint="eastAsia"/>
          <w:color w:val="000000" w:themeColor="text1"/>
        </w:rPr>
        <w:t>二、积极培育生物健康产业</w:t>
      </w:r>
    </w:p>
    <w:p w14:paraId="392B1BD4">
      <w:pPr>
        <w:pStyle w:val="14"/>
        <w:spacing w:afterLines="50" w:line="600" w:lineRule="exact"/>
        <w:ind w:firstLine="63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依托盘锦高升现代农业综合示范区，重点围绕生物健康产业发展方向，积极培育生物产业集群，拓展战略性新兴产业发展领域，打造盘山产业发展新动能。依托沃德水飞蓟生物医药产业基础优势和市场品牌优势，聚焦生物保健、生物医药等细分领域</w:t>
      </w:r>
      <w:r>
        <w:rPr>
          <w:rFonts w:hint="eastAsia" w:ascii="仿宋_GB2312" w:hAnsi="仿宋_GB2312" w:eastAsia="仿宋_GB2312" w:cs="仿宋_GB2312"/>
          <w:color w:val="333333"/>
          <w:sz w:val="30"/>
          <w:szCs w:val="30"/>
          <w:shd w:val="clear" w:color="auto" w:fill="FFFFFF"/>
        </w:rPr>
        <w:t>龙头企业发展，</w:t>
      </w:r>
      <w:r>
        <w:rPr>
          <w:rFonts w:hint="eastAsia" w:ascii="仿宋_GB2312" w:hAnsi="仿宋_GB2312" w:eastAsia="仿宋_GB2312" w:cs="仿宋_GB2312"/>
          <w:color w:val="000000" w:themeColor="text1"/>
          <w:sz w:val="30"/>
          <w:szCs w:val="30"/>
        </w:rPr>
        <w:t>实施精准招商，重点鼓励沃德水飞蓟素系列新产品研发和深加工产业链拓展，研发生产高纯度水飞蓟宾、水飞蓟亭、水飞蓟宁等原料药，做强生物基精深加工产业，</w:t>
      </w:r>
      <w:r>
        <w:rPr>
          <w:rFonts w:hint="eastAsia" w:ascii="仿宋_GB2312" w:hAnsi="仿宋_GB2312" w:eastAsia="仿宋_GB2312" w:cs="仿宋_GB2312"/>
          <w:color w:val="333333"/>
          <w:sz w:val="30"/>
          <w:szCs w:val="30"/>
          <w:shd w:val="clear" w:color="auto" w:fill="FFFFFF"/>
        </w:rPr>
        <w:t>带动上下游产业链的发展壮大，</w:t>
      </w:r>
      <w:r>
        <w:rPr>
          <w:rFonts w:hint="eastAsia" w:ascii="仿宋_GB2312" w:hAnsi="仿宋_GB2312" w:eastAsia="仿宋_GB2312" w:cs="仿宋_GB2312"/>
          <w:color w:val="000000" w:themeColor="text1"/>
          <w:sz w:val="30"/>
          <w:szCs w:val="30"/>
        </w:rPr>
        <w:t>做强做大国内最大的水飞蓟出口生产基地。依托长寿乐产业基地，持续引进、发展啤酒酵母、粮油压榨余料提取物、衍生物添加剂等生物高科技产品。</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19E95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dotted" w:color="auto" w:sz="4" w:space="0"/>
              <w:left w:val="dotted" w:color="auto" w:sz="4" w:space="0"/>
              <w:bottom w:val="dotted" w:color="auto" w:sz="4" w:space="0"/>
              <w:right w:val="dotted" w:color="auto" w:sz="4" w:space="0"/>
            </w:tcBorders>
            <w:shd w:val="clear" w:color="auto" w:fill="FFFFFF"/>
          </w:tcPr>
          <w:p w14:paraId="0B8DFB86">
            <w:pPr>
              <w:spacing w:line="600" w:lineRule="exact"/>
              <w:ind w:firstLine="511"/>
              <w:jc w:val="center"/>
              <w:rPr>
                <w:rFonts w:ascii="宋体" w:hAnsi="宋体" w:eastAsia="宋体" w:cs="宋体"/>
                <w:color w:val="000000" w:themeColor="text1"/>
                <w:sz w:val="24"/>
                <w:szCs w:val="24"/>
              </w:rPr>
            </w:pPr>
            <w:r>
              <w:rPr>
                <w:rFonts w:hint="eastAsia" w:ascii="宋体" w:hAnsi="宋体" w:eastAsia="宋体" w:cs="宋体"/>
                <w:b/>
                <w:bCs/>
                <w:color w:val="000000" w:themeColor="text1"/>
                <w:sz w:val="24"/>
                <w:szCs w:val="24"/>
              </w:rPr>
              <w:t>专栏4-3 “工业强基”工程</w:t>
            </w:r>
          </w:p>
        </w:tc>
      </w:tr>
      <w:tr w14:paraId="5EAA1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dotted" w:color="auto" w:sz="4" w:space="0"/>
              <w:left w:val="dotted" w:color="auto" w:sz="4" w:space="0"/>
              <w:bottom w:val="dotted" w:color="auto" w:sz="4" w:space="0"/>
              <w:right w:val="dotted" w:color="auto" w:sz="4" w:space="0"/>
            </w:tcBorders>
            <w:shd w:val="clear" w:color="auto" w:fill="FFFFFF"/>
          </w:tcPr>
          <w:p w14:paraId="603295CE">
            <w:pPr>
              <w:spacing w:line="600" w:lineRule="exact"/>
              <w:ind w:firstLine="510"/>
              <w:rPr>
                <w:rFonts w:ascii="宋体" w:hAnsi="宋体" w:eastAsia="宋体" w:cs="宋体"/>
                <w:color w:val="000000" w:themeColor="text1"/>
                <w:sz w:val="24"/>
                <w:szCs w:val="24"/>
              </w:rPr>
            </w:pPr>
            <w:r>
              <w:rPr>
                <w:rFonts w:hint="eastAsia" w:ascii="宋体" w:hAnsi="宋体" w:eastAsia="宋体" w:cs="宋体"/>
                <w:color w:val="000000" w:themeColor="text1"/>
                <w:sz w:val="24"/>
                <w:szCs w:val="24"/>
                <w:shd w:val="clear" w:color="auto" w:fill="FFFFFF"/>
              </w:rPr>
              <w:t>围绕优势主导产业发展方向，瞄准产业关键技术、基础零部件、先进基础工艺、关键基础材料等方面引进或培育1-2家新型科创机构，推进</w:t>
            </w:r>
            <w:r>
              <w:rPr>
                <w:rFonts w:hint="eastAsia" w:ascii="宋体" w:hAnsi="宋体" w:eastAsia="宋体" w:cs="宋体"/>
                <w:color w:val="000000" w:themeColor="text1"/>
                <w:sz w:val="24"/>
                <w:szCs w:val="24"/>
              </w:rPr>
              <w:t>新一代电子信息、高端装备制造、新材料、工业设计、软件设计、医疗器械、生物医药</w:t>
            </w:r>
            <w:r>
              <w:rPr>
                <w:rFonts w:hint="eastAsia" w:ascii="宋体" w:hAnsi="宋体" w:eastAsia="宋体" w:cs="宋体"/>
                <w:color w:val="000000" w:themeColor="text1"/>
                <w:sz w:val="24"/>
                <w:szCs w:val="24"/>
                <w:shd w:val="clear" w:color="auto" w:fill="FFFFFF"/>
              </w:rPr>
              <w:t>等领域重大项目建设，特别是基因保健药物、抗体药物、多肽药物、核酸药物等领域，力争到2025年，组织实施核心技术攻关项目3个以上。</w:t>
            </w:r>
          </w:p>
        </w:tc>
      </w:tr>
    </w:tbl>
    <w:p w14:paraId="24D4D7EF">
      <w:pPr>
        <w:pStyle w:val="8"/>
        <w:spacing w:line="600" w:lineRule="exact"/>
        <w:ind w:firstLine="672"/>
        <w:rPr>
          <w:color w:val="000000" w:themeColor="text1"/>
        </w:rPr>
      </w:pPr>
      <w:r>
        <w:rPr>
          <w:rFonts w:hint="eastAsia"/>
          <w:color w:val="000000" w:themeColor="text1"/>
        </w:rPr>
        <w:t>三、推动新材料与高端装备制造产业融合发展</w:t>
      </w:r>
    </w:p>
    <w:p w14:paraId="0742101B">
      <w:pPr>
        <w:pStyle w:val="14"/>
        <w:spacing w:line="600" w:lineRule="exact"/>
        <w:ind w:firstLine="63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突出“高端化、集群化、特色化”发展方向，紧密对接高端装备制造产业需求，注重开展有针对性的产业链招商，通过产业链延伸，促进产业融合发展。优化升级辽宁新材料产业经济开发区产业结构，着力发展高性能、高环保、高附加值的精细化工新材料、建筑新材料等产业，实现结构调整和转型升级。在宝来生物、浩业化工骨干企业和已形成一定配套能力的企业基础上，实施精准招商、产业链招商，营造以商招商新环境，积极推动石化机械制造等关联产业发展，推动精细化工新材料产业链向石化机械装备等高端装备制造产业领域延伸。</w:t>
      </w:r>
    </w:p>
    <w:p w14:paraId="023313AB">
      <w:pPr>
        <w:pStyle w:val="7"/>
        <w:spacing w:line="600" w:lineRule="exact"/>
        <w:ind w:firstLine="0" w:firstLineChars="0"/>
        <w:jc w:val="center"/>
        <w:rPr>
          <w:rFonts w:ascii="黑体" w:hAnsi="黑体" w:cs="黑体"/>
          <w:color w:val="000000" w:themeColor="text1"/>
        </w:rPr>
      </w:pPr>
      <w:bookmarkStart w:id="137" w:name="_Toc7568"/>
      <w:bookmarkStart w:id="138" w:name="_Toc7824"/>
      <w:bookmarkStart w:id="139" w:name="_Toc18835"/>
      <w:r>
        <w:rPr>
          <w:rFonts w:hint="eastAsia" w:ascii="黑体" w:hAnsi="黑体" w:cs="黑体"/>
          <w:color w:val="000000" w:themeColor="text1"/>
        </w:rPr>
        <w:t>第三节 完善“三产融合型”农产品深加工产业链</w:t>
      </w:r>
      <w:bookmarkEnd w:id="137"/>
      <w:bookmarkEnd w:id="138"/>
      <w:bookmarkEnd w:id="139"/>
    </w:p>
    <w:p w14:paraId="22ABCCEB">
      <w:pPr>
        <w:pStyle w:val="14"/>
        <w:widowControl/>
        <w:spacing w:line="600" w:lineRule="exact"/>
        <w:ind w:firstLine="630"/>
        <w:rPr>
          <w:rFonts w:ascii="仿宋_GB2312" w:hAnsi="仿宋_GB2312" w:eastAsia="仿宋_GB2312" w:cs="仿宋_GB2312"/>
          <w:color w:val="000000" w:themeColor="text1"/>
          <w:sz w:val="30"/>
          <w:szCs w:val="30"/>
          <w:lang w:val="zh-CN"/>
        </w:rPr>
      </w:pPr>
      <w:r>
        <w:rPr>
          <w:rFonts w:hint="eastAsia" w:ascii="仿宋_GB2312" w:hAnsi="仿宋_GB2312" w:eastAsia="仿宋_GB2312" w:cs="仿宋_GB2312"/>
          <w:color w:val="000000" w:themeColor="text1"/>
          <w:sz w:val="30"/>
          <w:szCs w:val="30"/>
        </w:rPr>
        <w:t>依托盘山县国家农村产业融合发展示范园、盘锦高升经济区长寿乐三产融合发展示范园，</w:t>
      </w:r>
      <w:r>
        <w:rPr>
          <w:rFonts w:hint="eastAsia" w:ascii="仿宋_GB2312" w:hAnsi="仿宋_GB2312" w:eastAsia="仿宋_GB2312" w:cs="仿宋_GB2312"/>
          <w:color w:val="000000"/>
          <w:sz w:val="30"/>
          <w:szCs w:val="30"/>
        </w:rPr>
        <w:t>践行循环经济和产业融合发展新理念，</w:t>
      </w:r>
      <w:r>
        <w:rPr>
          <w:rFonts w:hint="eastAsia" w:ascii="仿宋_GB2312" w:hAnsi="仿宋_GB2312" w:eastAsia="仿宋_GB2312" w:cs="仿宋_GB2312"/>
          <w:color w:val="000000" w:themeColor="text1"/>
          <w:sz w:val="30"/>
          <w:szCs w:val="30"/>
        </w:rPr>
        <w:t>推动特色农产品加工业集聚发展、多业态融合发展。发挥盘山县及周边地区优质大米、果蔬种植、水飞蓟种植、畜禽养殖和水产养殖等产业基础优势，围绕盘锦高升经济区特色农产品加工、胡家河蟹商贸交易和深加工、西部三镇街玉米和特色萝卜等食品深加工，加快招商一批“三产融合、三位一体”的产业融合型循环经济项目，扶持</w:t>
      </w:r>
      <w:r>
        <w:rPr>
          <w:rFonts w:hint="eastAsia" w:ascii="仿宋_GB2312" w:hAnsi="仿宋_GB2312" w:eastAsia="仿宋_GB2312" w:cs="仿宋_GB2312"/>
          <w:color w:val="000000" w:themeColor="text1"/>
          <w:sz w:val="30"/>
          <w:szCs w:val="30"/>
          <w:lang w:val="zh-CN"/>
        </w:rPr>
        <w:t>长寿乐、开味食品、沃德水飞蓟、益海嘉里等</w:t>
      </w:r>
      <w:r>
        <w:rPr>
          <w:rFonts w:hint="eastAsia" w:ascii="仿宋_GB2312" w:hAnsi="仿宋_GB2312" w:eastAsia="仿宋_GB2312" w:cs="仿宋_GB2312"/>
          <w:color w:val="000000" w:themeColor="text1"/>
          <w:sz w:val="30"/>
          <w:szCs w:val="30"/>
        </w:rPr>
        <w:t>一批龙头企业，培育“农旅融合型现代都市农业、现代农产品种养、加工、良种繁育和线上线下交易市场”协同一体的“农产品加工基地”，</w:t>
      </w:r>
      <w:r>
        <w:rPr>
          <w:rFonts w:hint="eastAsia" w:ascii="仿宋_GB2312" w:hAnsi="仿宋_GB2312" w:eastAsia="仿宋_GB2312" w:cs="仿宋_GB2312"/>
          <w:color w:val="000000"/>
          <w:sz w:val="30"/>
          <w:szCs w:val="30"/>
        </w:rPr>
        <w:t>构建循环经济型产业融合示范中心、农业科技教育中心、农业产业孵化中心、农耕文化传承中心，探索产业“兴村强县”新路径。</w:t>
      </w:r>
      <w:r>
        <w:rPr>
          <w:rFonts w:hint="eastAsia" w:ascii="仿宋_GB2312" w:hAnsi="仿宋_GB2312" w:eastAsia="仿宋_GB2312" w:cs="仿宋_GB2312"/>
          <w:color w:val="000000" w:themeColor="text1"/>
          <w:sz w:val="30"/>
          <w:szCs w:val="30"/>
        </w:rPr>
        <w:t>重点鼓励长寿乐发展营养性食品饮品和功能性食品，以稻米副产物为原料开发培育谷维素、香兰素、白炭黑等生物高科技产品；发展大豆精深加工产业，培育植物油酸、抗磨剂、硬脂酸、植物沥青等生物化工产品；延伸发展维生素类、氨基酸类等药品级保健功能产品。力争到</w:t>
      </w:r>
      <w:r>
        <w:rPr>
          <w:rFonts w:hint="eastAsia" w:ascii="仿宋_GB2312" w:hAnsi="仿宋_GB2312" w:eastAsia="仿宋_GB2312" w:cs="仿宋_GB2312"/>
          <w:color w:val="000000" w:themeColor="text1"/>
          <w:sz w:val="30"/>
          <w:szCs w:val="30"/>
          <w:lang w:val="zh-CN"/>
        </w:rPr>
        <w:t>2025年，把盘山县打造成年流通量150万吨的粮食加工聚集区，农产品深加工产业集群工业企业营业收入超过120亿元。</w:t>
      </w:r>
    </w:p>
    <w:p w14:paraId="66BAD529">
      <w:pPr>
        <w:pStyle w:val="7"/>
        <w:spacing w:line="600" w:lineRule="exact"/>
        <w:ind w:firstLine="0" w:firstLineChars="0"/>
        <w:jc w:val="center"/>
        <w:rPr>
          <w:color w:val="000000" w:themeColor="text1"/>
        </w:rPr>
      </w:pPr>
      <w:bookmarkStart w:id="140" w:name="_Toc19575"/>
      <w:bookmarkStart w:id="141" w:name="_Toc7747"/>
      <w:bookmarkStart w:id="142" w:name="_Toc14603"/>
      <w:r>
        <w:rPr>
          <w:rFonts w:hint="eastAsia"/>
          <w:color w:val="000000" w:themeColor="text1"/>
        </w:rPr>
        <w:t>第四节 加快数字化发展</w:t>
      </w:r>
      <w:bookmarkEnd w:id="140"/>
      <w:bookmarkEnd w:id="141"/>
      <w:bookmarkEnd w:id="142"/>
    </w:p>
    <w:p w14:paraId="45065381">
      <w:pPr>
        <w:pStyle w:val="14"/>
        <w:adjustRightInd w:val="0"/>
        <w:snapToGrid w:val="0"/>
        <w:spacing w:line="600" w:lineRule="exact"/>
        <w:ind w:firstLine="630"/>
        <w:jc w:val="left"/>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运用互联网、大数据、人工智能等现代技术，推动生产、管理和营销模式变革，采用数据和平台新规则加快构建网络化、智能化、服务化、协同化的“互联网+”产业生态系统，推进数字产业化和产业数字化，打造具有较强竞争力的数字经济。</w:t>
      </w:r>
    </w:p>
    <w:p w14:paraId="75CFC95F">
      <w:pPr>
        <w:pStyle w:val="8"/>
        <w:spacing w:line="600" w:lineRule="exact"/>
        <w:ind w:firstLine="672"/>
        <w:rPr>
          <w:color w:val="000000" w:themeColor="text1"/>
        </w:rPr>
      </w:pPr>
      <w:r>
        <w:rPr>
          <w:rFonts w:hint="eastAsia"/>
          <w:color w:val="000000" w:themeColor="text1"/>
        </w:rPr>
        <w:t>一、积极培育数字经济</w:t>
      </w:r>
    </w:p>
    <w:p w14:paraId="757F860F">
      <w:pPr>
        <w:pStyle w:val="14"/>
        <w:adjustRightInd w:val="0"/>
        <w:snapToGrid w:val="0"/>
        <w:spacing w:line="600" w:lineRule="exact"/>
        <w:ind w:firstLine="63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加快引进、培育和发展一批大数据龙头企业，围绕大数据采集、传输、存储、分析、交易、应用和安全等环节，推动关键技术研发及产业化，加速数据聚合应用，释放数据资源新价值，创新技术服务新模式，多层次、多领域拓展“零工儿一站式共享用工平台”应用场景，努力在金融、交通、旅游、医疗卫生、制造业等领域形成技术先进、生态完备的数字产品体系。适时设立大数据产业园区，吸引国内外大型互联网信息服务企业、专业数据中心运营企业和金融企业来盘山县发展数据资源服务、数据交换等新商业模式，形成数据汇聚、融通、交易、服务协同生态圈。</w:t>
      </w:r>
    </w:p>
    <w:p w14:paraId="584249AA">
      <w:pPr>
        <w:pStyle w:val="8"/>
        <w:spacing w:line="600" w:lineRule="exact"/>
        <w:ind w:firstLine="672"/>
        <w:rPr>
          <w:color w:val="000000" w:themeColor="text1"/>
        </w:rPr>
      </w:pPr>
      <w:r>
        <w:rPr>
          <w:rFonts w:hint="eastAsia"/>
          <w:color w:val="000000" w:themeColor="text1"/>
        </w:rPr>
        <w:t>二、建设工业互联网体系</w:t>
      </w:r>
    </w:p>
    <w:p w14:paraId="3C6B58A8">
      <w:pPr>
        <w:pStyle w:val="14"/>
        <w:adjustRightInd w:val="0"/>
        <w:snapToGrid w:val="0"/>
        <w:spacing w:line="600" w:lineRule="exact"/>
        <w:ind w:firstLine="63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推动互联网和实体经济深度融合，着力构建网络、平台、安全三大功能体系，增强工业互联网支撑产业发展能力。“十四五”期间，重点推动工业企业内网改造升级和工业企业外网构建工程，鼓励有条件的企业建立覆盖行业研发设计、智能制造、电子商务、现代物流、金融服务、检验检测认证等领域的信息化服务平台，打造一个支撑产业发展的低时延、高可靠、广覆盖的网络；到2025年，力争建成1-2个跨行业、跨领域的工业互联网平台，推动域内外企业入驻。依托工业互联网体系，培育以“研发共享、产能共享、服务共享”为重点的共享型产业链建设新模式。</w:t>
      </w:r>
    </w:p>
    <w:p w14:paraId="23CEF1F6">
      <w:pPr>
        <w:pStyle w:val="7"/>
        <w:spacing w:line="600" w:lineRule="exact"/>
        <w:ind w:firstLine="0" w:firstLineChars="0"/>
        <w:jc w:val="center"/>
        <w:rPr>
          <w:color w:val="000000" w:themeColor="text1"/>
        </w:rPr>
      </w:pPr>
      <w:bookmarkStart w:id="143" w:name="_Toc24904"/>
      <w:bookmarkStart w:id="144" w:name="_Toc25726"/>
      <w:bookmarkStart w:id="145" w:name="_Toc9087"/>
      <w:r>
        <w:rPr>
          <w:rFonts w:hint="eastAsia"/>
          <w:color w:val="000000" w:themeColor="text1"/>
        </w:rPr>
        <w:t xml:space="preserve">第五节 </w:t>
      </w:r>
      <w:bookmarkEnd w:id="143"/>
      <w:bookmarkStart w:id="146" w:name="_Toc32119"/>
      <w:r>
        <w:rPr>
          <w:rFonts w:hint="eastAsia"/>
          <w:color w:val="000000" w:themeColor="text1"/>
        </w:rPr>
        <w:t>大力推动产业培育设施提质增效</w:t>
      </w:r>
      <w:bookmarkEnd w:id="144"/>
      <w:bookmarkEnd w:id="145"/>
      <w:bookmarkEnd w:id="146"/>
    </w:p>
    <w:p w14:paraId="3BD3E3D9">
      <w:pPr>
        <w:pStyle w:val="14"/>
        <w:adjustRightInd w:val="0"/>
        <w:snapToGrid w:val="0"/>
        <w:spacing w:line="600" w:lineRule="exact"/>
        <w:ind w:firstLine="63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完善重点产业孵化载体配套设施建设，提升园区服务产业发展能级，推动园区转型升级，吸引产业集聚盘山，助力培育新型工业化发展新标杆。</w:t>
      </w:r>
    </w:p>
    <w:p w14:paraId="786C9062">
      <w:pPr>
        <w:pStyle w:val="8"/>
        <w:spacing w:line="600" w:lineRule="exact"/>
        <w:ind w:firstLine="672"/>
        <w:rPr>
          <w:color w:val="000000" w:themeColor="text1"/>
        </w:rPr>
      </w:pPr>
      <w:r>
        <w:rPr>
          <w:rFonts w:hint="eastAsia"/>
          <w:color w:val="000000" w:themeColor="text1"/>
        </w:rPr>
        <w:t>一、完善升级产业园区配套设施</w:t>
      </w:r>
    </w:p>
    <w:p w14:paraId="7E5A8EF8">
      <w:pPr>
        <w:pStyle w:val="14"/>
        <w:adjustRightInd w:val="0"/>
        <w:snapToGrid w:val="0"/>
        <w:spacing w:line="600" w:lineRule="exact"/>
        <w:ind w:firstLine="63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着重培育园区内生增长动力和“造血”能力。建设集研发、检测、孵化、展示、交易等功能于一体的综合性公共服务平台，专业园区对应专业化产业的检验检测认证中心，5G、光纤宽带、IPv6、云计算等网络基础设施实现园区全覆盖，建成综合性社会化服务中心，形成创新发展合力，吸引产业各细分领域的龙头企业入驻。重点提升辽宁新材料产业经济开发区、盘锦辽河口经济开发区、盘锦高升经济区、东郭纸制品产业集聚区的基础配套能力、产业服务能力和要素集聚能力。力争到2025年，培育2-3家技术研发转化中心，提供共性技术公用研发设备和实验室。</w:t>
      </w:r>
    </w:p>
    <w:p w14:paraId="3A0DEB31">
      <w:pPr>
        <w:pStyle w:val="8"/>
        <w:spacing w:line="600" w:lineRule="exact"/>
        <w:ind w:firstLine="672"/>
        <w:rPr>
          <w:color w:val="000000" w:themeColor="text1"/>
        </w:rPr>
      </w:pPr>
      <w:r>
        <w:rPr>
          <w:rFonts w:hint="eastAsia"/>
          <w:color w:val="000000" w:themeColor="text1"/>
        </w:rPr>
        <w:t>二、提升独立工矿区产业孵化载体功能</w:t>
      </w:r>
    </w:p>
    <w:p w14:paraId="6C1965D5">
      <w:pPr>
        <w:pStyle w:val="14"/>
        <w:adjustRightInd w:val="0"/>
        <w:snapToGrid w:val="0"/>
        <w:spacing w:line="600" w:lineRule="exact"/>
        <w:ind w:firstLine="63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加快实施《欢喜岭采油厂及高升采油厂独立工矿区改造提升工程实施方案》。借助国家对独立工矿区，尤其是东北老工业基地独立工矿区的扶持政策，以项目建设为抓手，重点围绕发展壮大接续替代产业、更新完善基础设施、优化公共服务设施、修复生态环境、提升人居环境等方面内容，提升“三镇街二平台“的综合承载功能，助力独立工矿区高质量发展、全面全方位振兴。</w:t>
      </w:r>
    </w:p>
    <w:p w14:paraId="6D5E5D74">
      <w:pPr>
        <w:spacing w:line="600" w:lineRule="exact"/>
        <w:ind w:firstLine="590"/>
        <w:rPr>
          <w:rFonts w:asciiTheme="minorEastAsia" w:hAnsiTheme="minorEastAsia" w:eastAsiaTheme="minorEastAsia" w:cstheme="minorEastAsia"/>
          <w:color w:val="000000" w:themeColor="text1"/>
          <w:szCs w:val="28"/>
        </w:rPr>
      </w:pPr>
    </w:p>
    <w:p w14:paraId="210C8B11">
      <w:pPr>
        <w:pStyle w:val="2"/>
        <w:spacing w:line="600" w:lineRule="exact"/>
        <w:ind w:left="590" w:firstLine="590"/>
        <w:rPr>
          <w:rFonts w:hint="eastAsia"/>
          <w:color w:val="000000" w:themeColor="text1"/>
        </w:rPr>
      </w:pPr>
    </w:p>
    <w:p w14:paraId="11915409">
      <w:pPr>
        <w:pStyle w:val="2"/>
        <w:spacing w:line="600" w:lineRule="exact"/>
        <w:ind w:left="590" w:firstLine="590"/>
        <w:rPr>
          <w:rFonts w:asciiTheme="minorEastAsia" w:hAnsiTheme="minorEastAsia" w:eastAsiaTheme="minorEastAsia" w:cstheme="minorEastAsia"/>
          <w:color w:val="000000" w:themeColor="text1"/>
          <w:szCs w:val="28"/>
        </w:rPr>
      </w:pPr>
    </w:p>
    <w:p w14:paraId="3FC5A092">
      <w:pPr>
        <w:spacing w:line="600" w:lineRule="exact"/>
        <w:ind w:firstLine="590"/>
        <w:rPr>
          <w:rFonts w:asciiTheme="minorEastAsia" w:hAnsiTheme="minorEastAsia" w:eastAsiaTheme="minorEastAsia" w:cstheme="minorEastAsia"/>
          <w:color w:val="000000" w:themeColor="text1"/>
          <w:szCs w:val="28"/>
        </w:rPr>
      </w:pPr>
    </w:p>
    <w:p w14:paraId="061F7EF9">
      <w:pPr>
        <w:pStyle w:val="6"/>
        <w:spacing w:line="600" w:lineRule="exact"/>
        <w:ind w:firstLine="0" w:firstLineChars="0"/>
        <w:jc w:val="center"/>
        <w:rPr>
          <w:color w:val="000000" w:themeColor="text1"/>
          <w:sz w:val="36"/>
          <w:szCs w:val="36"/>
        </w:rPr>
      </w:pPr>
      <w:bookmarkStart w:id="147" w:name="_Toc19618"/>
      <w:bookmarkStart w:id="148" w:name="_Toc29527"/>
      <w:bookmarkStart w:id="149" w:name="_Toc28453"/>
      <w:bookmarkStart w:id="150" w:name="_Toc7118"/>
      <w:bookmarkStart w:id="151" w:name="_Toc15809"/>
      <w:bookmarkStart w:id="152" w:name="_Toc31419"/>
      <w:bookmarkStart w:id="153" w:name="_Toc29314"/>
      <w:r>
        <w:rPr>
          <w:rFonts w:hint="eastAsia"/>
          <w:color w:val="000000" w:themeColor="text1"/>
          <w:sz w:val="36"/>
          <w:szCs w:val="36"/>
        </w:rPr>
        <w:t>第五章 提质增效 构筑现代服务业新体系</w:t>
      </w:r>
      <w:bookmarkEnd w:id="147"/>
      <w:bookmarkEnd w:id="148"/>
      <w:bookmarkEnd w:id="149"/>
      <w:bookmarkEnd w:id="150"/>
      <w:bookmarkEnd w:id="151"/>
      <w:bookmarkEnd w:id="152"/>
      <w:bookmarkEnd w:id="153"/>
    </w:p>
    <w:p w14:paraId="65406B8F">
      <w:pPr>
        <w:pStyle w:val="14"/>
        <w:adjustRightInd w:val="0"/>
        <w:snapToGrid w:val="0"/>
        <w:spacing w:line="600" w:lineRule="exact"/>
        <w:ind w:firstLine="63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以补齐服务业发展短板、打造盘山现代服务品牌为目标，以物流、旅游、商贸业为引擎，推动实施现代服务业标准化工程，多维度“延伸、提升、渗透、重组”，推动服务业多元化发展，提升产业价值链，形成“能够满足先进制造业、现代农业发展和居民改善生活需求”的高增值、多层次、广就业、强带动现代服务业体系。</w:t>
      </w:r>
    </w:p>
    <w:p w14:paraId="56AE07F8">
      <w:pPr>
        <w:pStyle w:val="7"/>
        <w:spacing w:line="600" w:lineRule="exact"/>
        <w:ind w:firstLine="0" w:firstLineChars="0"/>
        <w:jc w:val="center"/>
        <w:rPr>
          <w:color w:val="000000" w:themeColor="text1"/>
        </w:rPr>
      </w:pPr>
      <w:bookmarkStart w:id="154" w:name="_Toc287252957"/>
      <w:bookmarkStart w:id="155" w:name="_Toc25969"/>
      <w:bookmarkStart w:id="156" w:name="_Toc26609"/>
      <w:bookmarkStart w:id="157" w:name="_Toc26839"/>
      <w:bookmarkStart w:id="158" w:name="_Toc557"/>
      <w:bookmarkStart w:id="159" w:name="_Toc27585"/>
      <w:bookmarkStart w:id="160" w:name="_Toc16884"/>
      <w:bookmarkStart w:id="161" w:name="_Toc21544"/>
      <w:r>
        <w:rPr>
          <w:rFonts w:hint="eastAsia"/>
          <w:color w:val="000000" w:themeColor="text1"/>
        </w:rPr>
        <w:t xml:space="preserve">第一节 </w:t>
      </w:r>
      <w:bookmarkEnd w:id="154"/>
      <w:r>
        <w:rPr>
          <w:rFonts w:hint="eastAsia"/>
          <w:color w:val="000000" w:themeColor="text1"/>
        </w:rPr>
        <w:t>培育专业化物流产业</w:t>
      </w:r>
      <w:bookmarkEnd w:id="155"/>
      <w:bookmarkEnd w:id="156"/>
      <w:bookmarkEnd w:id="157"/>
      <w:bookmarkEnd w:id="158"/>
      <w:bookmarkEnd w:id="159"/>
      <w:bookmarkEnd w:id="160"/>
      <w:bookmarkEnd w:id="161"/>
    </w:p>
    <w:p w14:paraId="668F42E6">
      <w:pPr>
        <w:pStyle w:val="14"/>
        <w:spacing w:line="600" w:lineRule="exact"/>
        <w:ind w:firstLine="630"/>
        <w:rPr>
          <w:rFonts w:ascii="仿宋_GB2312" w:hAnsi="仿宋_GB2312" w:eastAsia="仿宋_GB2312" w:cs="仿宋_GB2312"/>
          <w:color w:val="000000" w:themeColor="text1"/>
          <w:sz w:val="30"/>
          <w:szCs w:val="30"/>
          <w:shd w:val="clear" w:color="auto" w:fill="FFFFFF"/>
        </w:rPr>
      </w:pPr>
      <w:r>
        <w:rPr>
          <w:rFonts w:hint="eastAsia" w:ascii="仿宋_GB2312" w:hAnsi="仿宋_GB2312" w:eastAsia="仿宋_GB2312" w:cs="仿宋_GB2312"/>
          <w:color w:val="000000" w:themeColor="text1"/>
          <w:sz w:val="30"/>
          <w:szCs w:val="30"/>
          <w:shd w:val="clear" w:color="auto" w:fill="FFFFFF"/>
        </w:rPr>
        <w:t>依托G1、G16高速公路、305国道和210、102省道，强化3小时交通圈覆盖辽宁省全域、6小时交通圈覆盖东北三省、京津冀、蒙东地区的区位价值优势，着力打造“三枢纽一基地”，以做大做强专业化物流产业为突破口，加快推动盘山由“通道经济”向“枢纽经济”转变，借势融入“双循环发展新格局”。</w:t>
      </w:r>
    </w:p>
    <w:p w14:paraId="2C64BA3C">
      <w:pPr>
        <w:pStyle w:val="8"/>
        <w:spacing w:line="600" w:lineRule="exact"/>
        <w:ind w:firstLine="672"/>
        <w:rPr>
          <w:rFonts w:ascii="楷体_GB2312"/>
          <w:color w:val="000000" w:themeColor="text1"/>
        </w:rPr>
      </w:pPr>
      <w:r>
        <w:rPr>
          <w:rFonts w:hint="eastAsia" w:ascii="楷体_GB2312"/>
          <w:color w:val="000000" w:themeColor="text1"/>
        </w:rPr>
        <w:t>一、打造</w:t>
      </w:r>
      <w:r>
        <w:rPr>
          <w:rFonts w:hint="eastAsia" w:ascii="楷体_GB2312" w:hAnsi="仿宋_GB2312" w:cs="仿宋_GB2312"/>
          <w:color w:val="000000" w:themeColor="text1"/>
          <w:sz w:val="30"/>
          <w:szCs w:val="30"/>
          <w:shd w:val="clear" w:color="auto" w:fill="FFFFFF"/>
        </w:rPr>
        <w:t>东北亚现代化国家级物流枢纽节点城市</w:t>
      </w:r>
    </w:p>
    <w:p w14:paraId="06F85A01">
      <w:pPr>
        <w:pStyle w:val="14"/>
        <w:spacing w:line="600" w:lineRule="exact"/>
        <w:ind w:firstLine="630"/>
        <w:rPr>
          <w:rFonts w:ascii="仿宋_GB2312" w:hAnsi="仿宋_GB2312" w:eastAsia="仿宋_GB2312" w:cs="仿宋_GB2312"/>
          <w:color w:val="000000" w:themeColor="text1"/>
          <w:sz w:val="30"/>
          <w:szCs w:val="30"/>
          <w:highlight w:val="yellow"/>
          <w:shd w:val="clear" w:color="auto" w:fill="FFFFFF"/>
        </w:rPr>
      </w:pPr>
      <w:r>
        <w:rPr>
          <w:rFonts w:hint="eastAsia" w:ascii="仿宋_GB2312" w:hAnsi="仿宋_GB2312" w:eastAsia="仿宋_GB2312" w:cs="仿宋_GB2312"/>
          <w:color w:val="000000" w:themeColor="text1"/>
          <w:sz w:val="30"/>
          <w:szCs w:val="30"/>
          <w:shd w:val="clear" w:color="auto" w:fill="FFFFFF"/>
        </w:rPr>
        <w:t>围绕服务石化及精细化工、特色农产品、电商等产业，发展现代物流业，深入挖掘G1、G16高速公路和秦沈客专盘锦北站、高升北站的潜能，形成公路港与铁路港协调联动、物流与产业基地相互支撑，共荣发展的新格局。依托盘锦高升经济区农产品深加工区、胡家镇河蟹交易主销区、西部三镇农产品主产区、古城子石化物流集散区，打造东北亚区域快递物流核心枢纽、东北亚农副产品冷链物流区域枢纽、石化物流区域枢纽、东北地区农副产品冷链物流供应链总部基地。力争到2025年，将盘山县建设成为集冷冻冷藏、信息管理、物流配送、展示交易、储运加工、综合配套、国际采购、集拼中转、保税仓储等服务功能于一体的全链条东北亚现代化国家级物流枢纽节点城市。</w:t>
      </w:r>
    </w:p>
    <w:p w14:paraId="2720C727">
      <w:pPr>
        <w:pStyle w:val="8"/>
        <w:spacing w:line="600" w:lineRule="exact"/>
        <w:ind w:firstLine="672"/>
        <w:rPr>
          <w:color w:val="000000" w:themeColor="text1"/>
        </w:rPr>
      </w:pPr>
      <w:r>
        <w:rPr>
          <w:rFonts w:hint="eastAsia"/>
          <w:color w:val="000000" w:themeColor="text1"/>
        </w:rPr>
        <w:t>二、重点发展石化物流业</w:t>
      </w:r>
    </w:p>
    <w:p w14:paraId="2632213A">
      <w:pPr>
        <w:adjustRightInd w:val="0"/>
        <w:snapToGrid w:val="0"/>
        <w:spacing w:line="600" w:lineRule="exact"/>
        <w:ind w:firstLine="630"/>
        <w:rPr>
          <w:rFonts w:ascii="仿宋_GB2312" w:hAnsi="仿宋_GB2312" w:eastAsia="仿宋_GB2312" w:cs="仿宋_GB2312"/>
          <w:color w:val="000000" w:themeColor="text1"/>
          <w:sz w:val="30"/>
          <w:szCs w:val="30"/>
          <w:shd w:val="clear" w:color="auto" w:fill="FFFFFF"/>
        </w:rPr>
      </w:pPr>
      <w:r>
        <w:rPr>
          <w:rFonts w:hint="eastAsia" w:ascii="仿宋_GB2312" w:hAnsi="仿宋_GB2312" w:eastAsia="仿宋_GB2312" w:cs="仿宋_GB2312"/>
          <w:color w:val="000000" w:themeColor="text1"/>
          <w:sz w:val="30"/>
          <w:szCs w:val="30"/>
          <w:shd w:val="clear" w:color="auto" w:fill="FFFFFF"/>
        </w:rPr>
        <w:t>围绕宝来生物沥青、防水卷材、针状焦等重碳系石化产能优势，依托沟海铁路、疏港铁路，在古城子建设重碳系石化智慧物流园区。积极向国家争取在古城子建立石化产品保税仓储业务，设立铁路货运站场，直通辽东湾石化码头储运基地，形成一体化配套发展格局；着力发展石化仓储业，积极引入智能化技术、先进的安全环保技术，加大横向一体化合作力度，力争实现网络化布局、客户信息共享、异地通存通兑、储罐码头互联互通。与此同时，积极推进天天好德石化物流等平台建设，探索混合所有制改革，加强域内企业与天天好德物流合资合作，做大做强物流供应链金融配套产业。</w:t>
      </w:r>
    </w:p>
    <w:p w14:paraId="7E6FC3E6">
      <w:pPr>
        <w:pStyle w:val="8"/>
        <w:spacing w:line="600" w:lineRule="exact"/>
        <w:ind w:firstLine="672"/>
        <w:rPr>
          <w:color w:val="000000" w:themeColor="text1"/>
        </w:rPr>
      </w:pPr>
      <w:r>
        <w:rPr>
          <w:rFonts w:hint="eastAsia"/>
          <w:color w:val="000000" w:themeColor="text1"/>
        </w:rPr>
        <w:t>三、扶持发展电商物流业</w:t>
      </w:r>
    </w:p>
    <w:p w14:paraId="7C9A2362">
      <w:pPr>
        <w:adjustRightInd w:val="0"/>
        <w:snapToGrid w:val="0"/>
        <w:spacing w:line="600" w:lineRule="exact"/>
        <w:ind w:firstLine="630"/>
        <w:rPr>
          <w:rFonts w:ascii="仿宋_GB2312" w:hAnsi="仿宋_GB2312" w:eastAsia="仿宋_GB2312" w:cs="仿宋_GB2312"/>
          <w:color w:val="000000" w:themeColor="text1"/>
          <w:sz w:val="30"/>
          <w:szCs w:val="30"/>
          <w:shd w:val="clear" w:color="auto" w:fill="FFFFFF"/>
        </w:rPr>
      </w:pPr>
      <w:r>
        <w:rPr>
          <w:rFonts w:hint="eastAsia" w:ascii="仿宋_GB2312" w:hAnsi="仿宋_GB2312" w:eastAsia="仿宋_GB2312" w:cs="仿宋_GB2312"/>
          <w:color w:val="000000" w:themeColor="text1"/>
          <w:sz w:val="30"/>
          <w:szCs w:val="30"/>
          <w:shd w:val="clear" w:color="auto" w:fill="FFFFFF"/>
        </w:rPr>
        <w:t>依托快递物流集聚优势，围绕快递物流上下游产业链和供应链，以物流结算、科技智能、电商云仓、跨境保税、流通加工、冷链物流为主导功能，构建电商、物流、仓储、加工、金融等多业态叠加的电商物流供应链和产业生态圈。巩固陆运优势，加快航空货运建设步伐，推动快递物流产业与一二产业融合发展。推动跨区域跨行业的智能物流信息平台建设，对接制造、商贸、金融等行业转型升级、融合发展需求，形成集物流信息发布、在线交易、数据交换、跟踪追溯、智能分析等功能于一体的物流信息服务中心，打造开放、透明、共享的供应链协作模式。积极探索跨境电商综合试验区的制度创新、管理创新、服务创新和协同发展路径，破解跨境电子商务发展中的深层次矛盾和体制性难题，打造跨境电子商务完整的产业链和生态链，全力将盘山打造成为东北国际电商物流商贸流通网络的重要节点。</w:t>
      </w:r>
    </w:p>
    <w:p w14:paraId="0077AB95">
      <w:pPr>
        <w:pStyle w:val="8"/>
        <w:spacing w:line="600" w:lineRule="exact"/>
        <w:ind w:firstLine="672"/>
        <w:rPr>
          <w:color w:val="000000" w:themeColor="text1"/>
        </w:rPr>
      </w:pPr>
      <w:r>
        <w:rPr>
          <w:rFonts w:hint="eastAsia"/>
          <w:color w:val="000000" w:themeColor="text1"/>
        </w:rPr>
        <w:t>四、加快发展农副产品冷链物流业</w:t>
      </w:r>
    </w:p>
    <w:p w14:paraId="5130EC7B">
      <w:pPr>
        <w:adjustRightInd w:val="0"/>
        <w:snapToGrid w:val="0"/>
        <w:spacing w:afterLines="50" w:line="600" w:lineRule="exact"/>
        <w:ind w:firstLine="630"/>
        <w:rPr>
          <w:rFonts w:ascii="仿宋_GB2312" w:hAnsi="仿宋_GB2312" w:eastAsia="仿宋_GB2312" w:cs="仿宋_GB2312"/>
          <w:color w:val="000000" w:themeColor="text1"/>
          <w:sz w:val="30"/>
          <w:szCs w:val="30"/>
          <w:shd w:val="clear" w:color="auto" w:fill="FFFFFF"/>
        </w:rPr>
      </w:pPr>
      <w:r>
        <w:rPr>
          <w:rFonts w:hint="eastAsia" w:ascii="仿宋_GB2312" w:hAnsi="仿宋_GB2312" w:eastAsia="仿宋_GB2312" w:cs="仿宋_GB2312"/>
          <w:color w:val="000000" w:themeColor="text1"/>
          <w:sz w:val="30"/>
          <w:szCs w:val="30"/>
          <w:shd w:val="clear" w:color="auto" w:fill="FFFFFF"/>
        </w:rPr>
        <w:t>抢抓“中央预算内投资支持建设一批骨干冷链物流基地”的政策机遇，加快推进盘山县冷链物流中心项目，重点建设冷鲜仓储库以及相关冷链配套设施，智能分拣、仓储、配送设备，冷链物流信息化服务平台，物流车辆调度、车辆停放、信息交易、零担物流快运、电子商务孵化培训等相应配套基础设施。在盘锦高升经济区、东郭街道建设低温库及冷藏设施项目,在胡家镇建设物流信息化服务平台项目。建设基于物联网技术覆盖城乡的农副产品冷链物流体系，实现农产品及深加工产品信息采集、定位、跟踪与追溯、监控。力争到2025年，建成东北地区具有区域影响力的水产品、特色果蔬主导型地域特色农产品交易中心。</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0A419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dotted" w:color="auto" w:sz="4" w:space="0"/>
              <w:left w:val="dotted" w:color="auto" w:sz="4" w:space="0"/>
              <w:bottom w:val="dotted" w:color="auto" w:sz="4" w:space="0"/>
              <w:right w:val="dotted" w:color="auto" w:sz="4" w:space="0"/>
            </w:tcBorders>
            <w:shd w:val="clear" w:color="auto" w:fill="FFFFFF"/>
          </w:tcPr>
          <w:p w14:paraId="07C94EB5">
            <w:pPr>
              <w:pStyle w:val="2"/>
              <w:spacing w:after="0" w:line="600" w:lineRule="exact"/>
              <w:ind w:left="590" w:firstLine="0" w:firstLineChars="0"/>
              <w:jc w:val="center"/>
              <w:rPr>
                <w:rFonts w:ascii="宋体" w:hAnsi="宋体" w:eastAsia="宋体" w:cs="宋体"/>
                <w:color w:val="000000"/>
                <w:sz w:val="24"/>
                <w:szCs w:val="24"/>
              </w:rPr>
            </w:pPr>
            <w:r>
              <w:rPr>
                <w:rFonts w:hint="eastAsia" w:ascii="宋体" w:hAnsi="宋体" w:eastAsia="宋体" w:cs="宋体"/>
                <w:b/>
                <w:bCs/>
                <w:color w:val="000000" w:themeColor="text1"/>
                <w:kern w:val="0"/>
                <w:sz w:val="24"/>
                <w:szCs w:val="24"/>
              </w:rPr>
              <w:t>专栏5-1 危化品公路港项目</w:t>
            </w:r>
          </w:p>
        </w:tc>
      </w:tr>
      <w:tr w14:paraId="03533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000" w:type="pct"/>
            <w:tcBorders>
              <w:top w:val="dotted" w:color="auto" w:sz="4" w:space="0"/>
              <w:left w:val="dotted" w:color="auto" w:sz="4" w:space="0"/>
              <w:bottom w:val="dotted" w:color="auto" w:sz="4" w:space="0"/>
              <w:right w:val="dotted" w:color="auto" w:sz="4" w:space="0"/>
            </w:tcBorders>
            <w:shd w:val="clear" w:color="auto" w:fill="FFFFFF"/>
          </w:tcPr>
          <w:p w14:paraId="35C22393">
            <w:pPr>
              <w:widowControl/>
              <w:spacing w:line="600" w:lineRule="exact"/>
              <w:ind w:firstLine="510"/>
              <w:rPr>
                <w:rFonts w:ascii="宋体" w:hAnsi="宋体" w:eastAsia="宋体" w:cs="宋体"/>
                <w:color w:val="000000"/>
                <w:sz w:val="24"/>
                <w:szCs w:val="24"/>
              </w:rPr>
            </w:pPr>
            <w:r>
              <w:rPr>
                <w:rFonts w:hint="eastAsia" w:asciiTheme="minorEastAsia" w:hAnsiTheme="minorEastAsia" w:eastAsiaTheme="minorEastAsia" w:cstheme="minorEastAsia"/>
                <w:color w:val="000000" w:themeColor="text1"/>
                <w:kern w:val="0"/>
                <w:sz w:val="24"/>
                <w:szCs w:val="24"/>
              </w:rPr>
              <w:t>引导应用5G技术，规划建设综合业态多功能的危险品运输车辆公路港。运用物联网、大数据等新技术，实现APP/微信公众号智慧停车服务，实现智能车位预约、自助线上缴费、360全视角监管、无感出入、实时位置共享、反向寻车等功能，提供综合能源补给、车辆服务、汽配销售、住宿餐饮、休闲娱乐、生活零售、物流仓储、会议服务等一站式、智能化综合服务，打造司机休息的娱乐港湾。</w:t>
            </w:r>
          </w:p>
        </w:tc>
      </w:tr>
      <w:tr w14:paraId="78D45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000" w:type="pct"/>
            <w:tcBorders>
              <w:top w:val="dotted" w:color="auto" w:sz="4" w:space="0"/>
              <w:left w:val="dotted" w:color="auto" w:sz="4" w:space="0"/>
              <w:bottom w:val="dotted" w:color="auto" w:sz="4" w:space="0"/>
              <w:right w:val="dotted" w:color="auto" w:sz="4" w:space="0"/>
            </w:tcBorders>
            <w:shd w:val="clear" w:color="auto" w:fill="FFFFFF"/>
          </w:tcPr>
          <w:p w14:paraId="357B449F">
            <w:pPr>
              <w:widowControl/>
              <w:spacing w:line="600" w:lineRule="exact"/>
              <w:ind w:firstLine="0" w:firstLineChars="0"/>
              <w:jc w:val="center"/>
              <w:rPr>
                <w:rFonts w:ascii="宋体" w:hAnsi="宋体" w:eastAsia="宋体" w:cs="宋体"/>
                <w:color w:val="000000" w:themeColor="text1"/>
                <w:kern w:val="0"/>
                <w:sz w:val="24"/>
                <w:szCs w:val="24"/>
              </w:rPr>
            </w:pPr>
            <w:bookmarkStart w:id="162" w:name="_Toc16630"/>
            <w:bookmarkStart w:id="163" w:name="_Toc5624"/>
            <w:bookmarkStart w:id="164" w:name="_Toc410"/>
            <w:bookmarkStart w:id="165" w:name="_Toc21354"/>
            <w:bookmarkStart w:id="166" w:name="_Toc32111"/>
            <w:r>
              <w:rPr>
                <w:rFonts w:hint="eastAsia" w:ascii="宋体" w:hAnsi="宋体" w:eastAsia="宋体" w:cs="宋体"/>
                <w:b/>
                <w:bCs/>
                <w:color w:val="000000" w:themeColor="text1"/>
                <w:kern w:val="0"/>
                <w:sz w:val="24"/>
                <w:szCs w:val="24"/>
              </w:rPr>
              <w:t>专栏5-2农副产品智能公路港项目</w:t>
            </w:r>
          </w:p>
        </w:tc>
      </w:tr>
      <w:tr w14:paraId="5EFCF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dotted" w:color="auto" w:sz="4" w:space="0"/>
              <w:left w:val="dotted" w:color="auto" w:sz="4" w:space="0"/>
              <w:bottom w:val="dotted" w:color="auto" w:sz="4" w:space="0"/>
              <w:right w:val="dotted" w:color="auto" w:sz="4" w:space="0"/>
            </w:tcBorders>
            <w:shd w:val="clear" w:color="auto" w:fill="FFFFFF"/>
          </w:tcPr>
          <w:p w14:paraId="163B2D5E">
            <w:pPr>
              <w:adjustRightInd w:val="0"/>
              <w:snapToGrid w:val="0"/>
              <w:spacing w:line="600" w:lineRule="exact"/>
              <w:ind w:firstLine="590" w:firstLineChars="0"/>
              <w:rPr>
                <w:rFonts w:ascii="宋体" w:hAnsi="宋体" w:eastAsia="宋体" w:cs="宋体"/>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创新农副产品流通模式，打造多元化农副产品产销对接平台。在高升经济区建设以现代物流技术为支撑，集信息配载、零担货运、仓储配送、精细深加工、供应链金融等综合服务于一体的大型“智能公路港”。项目主体包括核心商务区、生态休闲区、公路码头以及厂区绿化硬化等配套设施。</w:t>
            </w:r>
          </w:p>
        </w:tc>
      </w:tr>
    </w:tbl>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3"/>
        <w:gridCol w:w="7737"/>
      </w:tblGrid>
      <w:tr w14:paraId="3CEA3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000" w:type="pct"/>
            <w:gridSpan w:val="2"/>
            <w:tcBorders>
              <w:top w:val="dotted" w:color="auto" w:sz="4" w:space="0"/>
              <w:left w:val="dotted" w:color="auto" w:sz="4" w:space="0"/>
              <w:bottom w:val="dotted" w:color="auto" w:sz="4" w:space="0"/>
              <w:right w:val="dotted" w:color="auto" w:sz="4" w:space="0"/>
            </w:tcBorders>
            <w:shd w:val="clear" w:color="auto" w:fill="FFFFFF"/>
            <w:vAlign w:val="center"/>
          </w:tcPr>
          <w:p w14:paraId="7C5F7434">
            <w:pPr>
              <w:widowControl/>
              <w:spacing w:line="600" w:lineRule="exact"/>
              <w:ind w:firstLine="511"/>
              <w:jc w:val="center"/>
              <w:rPr>
                <w:rFonts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b/>
                <w:bCs/>
                <w:color w:val="000000" w:themeColor="text1"/>
                <w:kern w:val="0"/>
                <w:sz w:val="24"/>
                <w:szCs w:val="24"/>
              </w:rPr>
              <w:t>专栏</w:t>
            </w:r>
            <w:r>
              <w:rPr>
                <w:rFonts w:hint="eastAsia" w:asciiTheme="minorEastAsia" w:hAnsiTheme="minorEastAsia" w:eastAsiaTheme="minorEastAsia" w:cstheme="minorEastAsia"/>
                <w:b/>
                <w:color w:val="000000" w:themeColor="text1"/>
                <w:sz w:val="24"/>
                <w:szCs w:val="24"/>
                <w:shd w:val="clear" w:color="auto" w:fill="FFFFFF"/>
              </w:rPr>
              <w:t>5-3</w:t>
            </w:r>
            <w:r>
              <w:rPr>
                <w:rFonts w:hint="eastAsia" w:asciiTheme="minorEastAsia" w:hAnsiTheme="minorEastAsia" w:eastAsiaTheme="minorEastAsia" w:cstheme="minorEastAsia"/>
                <w:b/>
                <w:bCs/>
                <w:color w:val="000000" w:themeColor="text1"/>
                <w:kern w:val="0"/>
                <w:sz w:val="24"/>
                <w:szCs w:val="24"/>
              </w:rPr>
              <w:t>经济活力提升工程</w:t>
            </w:r>
          </w:p>
        </w:tc>
      </w:tr>
      <w:tr w14:paraId="6852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pct"/>
            <w:tcBorders>
              <w:top w:val="dotted" w:color="auto" w:sz="4" w:space="0"/>
              <w:left w:val="dotted" w:color="auto" w:sz="4" w:space="0"/>
              <w:bottom w:val="dotted" w:color="auto" w:sz="4" w:space="0"/>
              <w:right w:val="dotted" w:color="auto" w:sz="4" w:space="0"/>
            </w:tcBorders>
            <w:shd w:val="clear" w:color="auto" w:fill="FFFFFF"/>
            <w:vAlign w:val="center"/>
          </w:tcPr>
          <w:p w14:paraId="7C7997B4">
            <w:pPr>
              <w:widowControl/>
              <w:spacing w:line="600" w:lineRule="exact"/>
              <w:ind w:firstLine="0" w:firstLineChars="0"/>
              <w:rPr>
                <w:rFonts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县域经济新廊道</w:t>
            </w:r>
          </w:p>
        </w:tc>
        <w:tc>
          <w:tcPr>
            <w:tcW w:w="4269" w:type="pct"/>
            <w:tcBorders>
              <w:top w:val="dotted" w:color="auto" w:sz="4" w:space="0"/>
              <w:left w:val="dotted" w:color="auto" w:sz="4" w:space="0"/>
              <w:bottom w:val="dotted" w:color="auto" w:sz="4" w:space="0"/>
              <w:right w:val="dotted" w:color="auto" w:sz="4" w:space="0"/>
            </w:tcBorders>
            <w:shd w:val="clear" w:color="auto" w:fill="FFFFFF"/>
            <w:vAlign w:val="center"/>
          </w:tcPr>
          <w:p w14:paraId="6815B671">
            <w:pPr>
              <w:widowControl/>
              <w:spacing w:line="600" w:lineRule="exact"/>
              <w:ind w:firstLine="510"/>
              <w:rPr>
                <w:rFonts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依托305沿线，建设现代服务业综合经济走廊、生态文化长廊、旅游驿站、特色农产品交易中心等功能设施。</w:t>
            </w:r>
          </w:p>
        </w:tc>
      </w:tr>
      <w:tr w14:paraId="4583F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pct"/>
            <w:tcBorders>
              <w:top w:val="dotted" w:color="auto" w:sz="4" w:space="0"/>
              <w:left w:val="dotted" w:color="auto" w:sz="4" w:space="0"/>
              <w:bottom w:val="dotted" w:color="auto" w:sz="4" w:space="0"/>
              <w:right w:val="dotted" w:color="auto" w:sz="4" w:space="0"/>
            </w:tcBorders>
            <w:shd w:val="clear" w:color="auto" w:fill="FFFFFF"/>
            <w:vAlign w:val="center"/>
          </w:tcPr>
          <w:p w14:paraId="78DD076E">
            <w:pPr>
              <w:widowControl/>
              <w:spacing w:line="600" w:lineRule="exact"/>
              <w:ind w:firstLine="0" w:firstLineChars="0"/>
              <w:rPr>
                <w:rFonts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在线经济新业态</w:t>
            </w:r>
          </w:p>
        </w:tc>
        <w:tc>
          <w:tcPr>
            <w:tcW w:w="4269" w:type="pct"/>
            <w:tcBorders>
              <w:top w:val="dotted" w:color="auto" w:sz="4" w:space="0"/>
              <w:left w:val="dotted" w:color="auto" w:sz="4" w:space="0"/>
              <w:bottom w:val="dotted" w:color="auto" w:sz="4" w:space="0"/>
              <w:right w:val="dotted" w:color="auto" w:sz="4" w:space="0"/>
            </w:tcBorders>
            <w:shd w:val="clear" w:color="auto" w:fill="FFFFFF"/>
            <w:vAlign w:val="center"/>
          </w:tcPr>
          <w:p w14:paraId="7AD582B3">
            <w:pPr>
              <w:widowControl/>
              <w:spacing w:line="600" w:lineRule="exact"/>
              <w:ind w:firstLine="510"/>
              <w:rPr>
                <w:rFonts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聚焦工业互联网、生鲜电商零售、“无接触”配送等3大类发展重点，建立新媒体新零售产业基地，推出“盘山优品馆”线上平台，创新营销方式，积极发展在线经济新业态。</w:t>
            </w:r>
          </w:p>
        </w:tc>
      </w:tr>
    </w:tbl>
    <w:p w14:paraId="5DAE42CB">
      <w:pPr>
        <w:pStyle w:val="7"/>
        <w:spacing w:line="600" w:lineRule="exact"/>
        <w:ind w:firstLine="0" w:firstLineChars="0"/>
        <w:jc w:val="center"/>
        <w:rPr>
          <w:color w:val="000000" w:themeColor="text1"/>
        </w:rPr>
      </w:pPr>
      <w:bookmarkStart w:id="167" w:name="_Toc24233"/>
      <w:bookmarkStart w:id="168" w:name="_Toc3631"/>
      <w:r>
        <w:rPr>
          <w:rFonts w:hint="eastAsia"/>
          <w:color w:val="000000" w:themeColor="text1"/>
        </w:rPr>
        <w:t>第二节 做大做强大旅游产业</w:t>
      </w:r>
      <w:bookmarkEnd w:id="162"/>
      <w:bookmarkEnd w:id="167"/>
      <w:bookmarkEnd w:id="168"/>
    </w:p>
    <w:p w14:paraId="031C7CBA">
      <w:pPr>
        <w:pStyle w:val="14"/>
        <w:adjustRightInd w:val="0"/>
        <w:snapToGrid w:val="0"/>
        <w:spacing w:line="600" w:lineRule="exact"/>
        <w:ind w:firstLine="63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以县域为单元，树立“城市即旅游、旅游即城市”理念，推动产业变身旅游吸引物，以大旅游跨界融合推动产业链迈向中高端。构建多业态融合发展、多主体参与、多机制联结、多要素发力、多模式推进的大旅游产业体系。“十四五”期间，力争全县游客接待人数、旅游总收入年均增速均为15%。</w:t>
      </w:r>
    </w:p>
    <w:p w14:paraId="6A560C7B">
      <w:pPr>
        <w:pStyle w:val="8"/>
        <w:spacing w:line="600" w:lineRule="exact"/>
        <w:ind w:firstLine="672"/>
        <w:rPr>
          <w:color w:val="000000" w:themeColor="text1"/>
        </w:rPr>
      </w:pPr>
      <w:r>
        <w:rPr>
          <w:rFonts w:hint="eastAsia"/>
          <w:color w:val="000000" w:themeColor="text1"/>
        </w:rPr>
        <w:t>一、加快构筑盘山大旅游发展新格局</w:t>
      </w:r>
    </w:p>
    <w:p w14:paraId="571774BB">
      <w:pPr>
        <w:pStyle w:val="14"/>
        <w:adjustRightInd w:val="0"/>
        <w:snapToGrid w:val="0"/>
        <w:spacing w:afterLines="50" w:line="600" w:lineRule="exact"/>
        <w:ind w:firstLine="63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推动旅游业与农业、工业、康养、文创、体育等产业全面融合，延伸产业链，扩大产业面，构建“大旅游、大市场、大产业”发展格局。充分发挥辽河口湿地等特色旅游资源优势，积极配合申报建设辽河国家公园，强化盘山旅游发展“核心吸引物”建设；依托日趋完善的全县立体化交通网络，整合串线旅游资源，凸显生态旅游、文化旅游、工业旅游等融合型主题特色，打造湿地观光旅游、农业农耕文化种养体验旅游、传统小食品制作工艺展示等工业旅游、林下娱乐体验及抑郁症儿童理疗等林下旅游、民俗风情与名人轶事等文化旅游、石油采集工艺与石油文化感受体验“黑色旅游”串联一体的大旅游产业链条。重点培育胡家文农旅融合型、羊圈子生态人文融合型、沙岭红色文化主导型、甜水特色枢纽驿站型功能小镇，以及绕阳湖、森林公园等重点景区，构建城区自然公园、综合公园和社区公园三级公园系统，整体塑造辽河大旅游品牌形象。</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8112"/>
      </w:tblGrid>
      <w:tr w14:paraId="11D5C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000" w:type="pct"/>
            <w:gridSpan w:val="2"/>
            <w:tcBorders>
              <w:top w:val="dotted" w:color="auto" w:sz="4" w:space="0"/>
              <w:left w:val="dotted" w:color="auto" w:sz="4" w:space="0"/>
              <w:bottom w:val="dotted" w:color="auto" w:sz="4" w:space="0"/>
              <w:right w:val="dotted" w:color="auto" w:sz="4" w:space="0"/>
            </w:tcBorders>
            <w:shd w:val="clear" w:color="auto" w:fill="FFFFFF"/>
          </w:tcPr>
          <w:p w14:paraId="6B2C872C">
            <w:pPr>
              <w:pStyle w:val="14"/>
              <w:spacing w:line="600" w:lineRule="exact"/>
              <w:ind w:firstLine="0" w:firstLineChars="0"/>
              <w:jc w:val="center"/>
              <w:rPr>
                <w:rFonts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b/>
                <w:bCs/>
                <w:color w:val="000000" w:themeColor="text1"/>
                <w:kern w:val="0"/>
                <w:sz w:val="24"/>
                <w:szCs w:val="24"/>
              </w:rPr>
              <w:t>专栏5-4大旅游产业代表性项目</w:t>
            </w:r>
          </w:p>
        </w:tc>
      </w:tr>
      <w:tr w14:paraId="74EA9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tcBorders>
              <w:top w:val="dotted" w:color="auto" w:sz="4" w:space="0"/>
              <w:left w:val="dotted" w:color="auto" w:sz="4" w:space="0"/>
              <w:bottom w:val="dotted" w:color="auto" w:sz="4" w:space="0"/>
              <w:right w:val="dotted" w:color="auto" w:sz="4" w:space="0"/>
            </w:tcBorders>
            <w:shd w:val="clear" w:color="auto" w:fill="FFFFFF"/>
          </w:tcPr>
          <w:p w14:paraId="4CA89123">
            <w:pPr>
              <w:pStyle w:val="14"/>
              <w:spacing w:line="600" w:lineRule="exact"/>
              <w:ind w:firstLine="0" w:firstLineChars="0"/>
              <w:rPr>
                <w:rFonts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东北特产博物园</w:t>
            </w:r>
          </w:p>
        </w:tc>
        <w:tc>
          <w:tcPr>
            <w:tcW w:w="4476" w:type="pct"/>
            <w:tcBorders>
              <w:top w:val="dotted" w:color="auto" w:sz="4" w:space="0"/>
              <w:left w:val="dotted" w:color="auto" w:sz="4" w:space="0"/>
              <w:bottom w:val="dotted" w:color="auto" w:sz="4" w:space="0"/>
              <w:right w:val="dotted" w:color="auto" w:sz="4" w:space="0"/>
            </w:tcBorders>
            <w:shd w:val="clear" w:color="auto" w:fill="FFFFFF"/>
          </w:tcPr>
          <w:p w14:paraId="390FDAB8">
            <w:pPr>
              <w:pStyle w:val="14"/>
              <w:spacing w:line="600" w:lineRule="exact"/>
              <w:ind w:firstLine="510"/>
              <w:rPr>
                <w:rFonts w:asciiTheme="minorEastAsia" w:hAnsiTheme="minorEastAsia" w:eastAsiaTheme="minorEastAsia" w:cstheme="minorEastAsia"/>
                <w:color w:val="000000" w:themeColor="text1"/>
                <w:kern w:val="0"/>
                <w:sz w:val="21"/>
                <w:szCs w:val="21"/>
              </w:rPr>
            </w:pPr>
            <w:r>
              <w:rPr>
                <w:rFonts w:hint="eastAsia" w:asciiTheme="minorEastAsia" w:hAnsiTheme="minorEastAsia" w:eastAsiaTheme="minorEastAsia" w:cstheme="minorEastAsia"/>
                <w:color w:val="000000" w:themeColor="text1"/>
                <w:kern w:val="0"/>
                <w:sz w:val="24"/>
                <w:szCs w:val="24"/>
              </w:rPr>
              <w:t>依托已建成的盘锦河蟹、盘锦大米、盘锦蒲笋、辽河苇艺草编4座博物馆，新建关东小麦博物馆、玉米博物馆等14个特产博物馆，以及电商销售平台、立体停车场等相关配套设施，打造成集青少年农耕文化研学、粮食安全教育、线上线下特色产品销售等功能于一体的博物馆群。</w:t>
            </w:r>
          </w:p>
        </w:tc>
      </w:tr>
      <w:tr w14:paraId="71980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tcBorders>
              <w:top w:val="dotted" w:color="auto" w:sz="4" w:space="0"/>
              <w:left w:val="dotted" w:color="auto" w:sz="4" w:space="0"/>
              <w:bottom w:val="dotted" w:color="auto" w:sz="4" w:space="0"/>
              <w:right w:val="dotted" w:color="auto" w:sz="4" w:space="0"/>
            </w:tcBorders>
            <w:shd w:val="clear" w:color="auto" w:fill="FFFFFF"/>
            <w:vAlign w:val="center"/>
          </w:tcPr>
          <w:p w14:paraId="4A689D4E">
            <w:pPr>
              <w:pStyle w:val="14"/>
              <w:spacing w:line="600" w:lineRule="exact"/>
              <w:ind w:firstLine="0" w:firstLineChars="0"/>
              <w:rPr>
                <w:rFonts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水上红海滩</w:t>
            </w:r>
          </w:p>
        </w:tc>
        <w:tc>
          <w:tcPr>
            <w:tcW w:w="4476" w:type="pct"/>
            <w:tcBorders>
              <w:top w:val="dotted" w:color="auto" w:sz="4" w:space="0"/>
              <w:left w:val="dotted" w:color="auto" w:sz="4" w:space="0"/>
              <w:bottom w:val="dotted" w:color="auto" w:sz="4" w:space="0"/>
              <w:right w:val="dotted" w:color="auto" w:sz="4" w:space="0"/>
            </w:tcBorders>
            <w:shd w:val="clear" w:color="auto" w:fill="FFFFFF"/>
            <w:vAlign w:val="center"/>
          </w:tcPr>
          <w:p w14:paraId="1DE249F8">
            <w:pPr>
              <w:pStyle w:val="14"/>
              <w:spacing w:line="600" w:lineRule="exact"/>
              <w:ind w:firstLine="510"/>
              <w:rPr>
                <w:rFonts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开拓红海滩大桥至三道沟码头观光航线，建设泊船码头、辽河湿地科普园，沿途经过“芦苇荡观光带→中国最北岛屿鸳鸯岛→斑海豹繁殖基地→中国最北海岸线地标→三道沟岛屿红海滩→辽河湿地科普园”等景点。</w:t>
            </w:r>
          </w:p>
        </w:tc>
      </w:tr>
      <w:tr w14:paraId="12725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tcBorders>
              <w:top w:val="dotted" w:color="auto" w:sz="4" w:space="0"/>
              <w:left w:val="dotted" w:color="auto" w:sz="4" w:space="0"/>
              <w:bottom w:val="dotted" w:color="auto" w:sz="4" w:space="0"/>
              <w:right w:val="dotted" w:color="auto" w:sz="4" w:space="0"/>
            </w:tcBorders>
            <w:shd w:val="clear" w:color="auto" w:fill="FFFFFF"/>
          </w:tcPr>
          <w:p w14:paraId="0664C36D">
            <w:pPr>
              <w:pStyle w:val="14"/>
              <w:spacing w:line="600" w:lineRule="exact"/>
              <w:ind w:firstLine="0" w:firstLineChars="0"/>
              <w:rPr>
                <w:rFonts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城市运动公 园</w:t>
            </w:r>
          </w:p>
        </w:tc>
        <w:tc>
          <w:tcPr>
            <w:tcW w:w="4476" w:type="pct"/>
            <w:tcBorders>
              <w:top w:val="dotted" w:color="auto" w:sz="4" w:space="0"/>
              <w:left w:val="dotted" w:color="auto" w:sz="4" w:space="0"/>
              <w:bottom w:val="dotted" w:color="auto" w:sz="4" w:space="0"/>
              <w:right w:val="dotted" w:color="auto" w:sz="4" w:space="0"/>
            </w:tcBorders>
            <w:shd w:val="clear" w:color="auto" w:fill="FFFFFF"/>
          </w:tcPr>
          <w:p w14:paraId="4C3BF30C">
            <w:pPr>
              <w:pStyle w:val="14"/>
              <w:spacing w:line="600" w:lineRule="exact"/>
              <w:ind w:firstLine="510"/>
              <w:rPr>
                <w:rFonts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围绕中心城区，建设运动场地、游览休闲设施、道路交通、智能化系统及配套服务设施。</w:t>
            </w:r>
          </w:p>
        </w:tc>
      </w:tr>
    </w:tbl>
    <w:p w14:paraId="6E9FB071">
      <w:pPr>
        <w:pStyle w:val="8"/>
        <w:spacing w:line="600" w:lineRule="exact"/>
        <w:ind w:firstLine="590"/>
        <w:rPr>
          <w:color w:val="000000" w:themeColor="text1"/>
        </w:rPr>
      </w:pPr>
      <w:r>
        <w:rPr>
          <w:rFonts w:hint="eastAsia" w:asciiTheme="minorEastAsia" w:hAnsiTheme="minorEastAsia" w:eastAsiaTheme="minorEastAsia" w:cstheme="minorEastAsia"/>
          <w:b w:val="0"/>
          <w:bCs w:val="0"/>
          <w:color w:val="000000" w:themeColor="text1"/>
          <w:sz w:val="28"/>
          <w:shd w:val="clear" w:color="auto" w:fill="FFFFFF"/>
        </w:rPr>
        <w:t>二</w:t>
      </w:r>
      <w:r>
        <w:rPr>
          <w:rFonts w:hint="eastAsia"/>
          <w:color w:val="000000" w:themeColor="text1"/>
        </w:rPr>
        <w:t>、推进特色旅游线路协同联动</w:t>
      </w:r>
    </w:p>
    <w:p w14:paraId="5D2EAB88">
      <w:pPr>
        <w:adjustRightInd w:val="0"/>
        <w:snapToGrid w:val="0"/>
        <w:spacing w:afterLines="50" w:line="600" w:lineRule="exact"/>
        <w:ind w:firstLine="630"/>
        <w:rPr>
          <w:rFonts w:ascii="仿宋_GB2312" w:hAnsi="仿宋_GB2312" w:eastAsia="仿宋_GB2312" w:cs="仿宋_GB2312"/>
          <w:color w:val="000000" w:themeColor="text1"/>
          <w:sz w:val="30"/>
          <w:szCs w:val="30"/>
          <w:shd w:val="clear" w:color="auto" w:fill="FFFFFF"/>
        </w:rPr>
      </w:pPr>
      <w:r>
        <w:rPr>
          <w:rFonts w:hint="eastAsia" w:ascii="仿宋_GB2312" w:hAnsi="仿宋_GB2312" w:eastAsia="仿宋_GB2312" w:cs="仿宋_GB2312"/>
          <w:color w:val="000000" w:themeColor="text1"/>
          <w:sz w:val="30"/>
          <w:szCs w:val="30"/>
          <w:shd w:val="clear" w:color="auto" w:fill="FFFFFF"/>
        </w:rPr>
        <w:t>积极开展盘山全域化旅游试点，着力打造生态旅游、研学旅游、乡村旅游、创意体验、康养旅游、低碳旅游六大主题特色旅游线路。依托盘锦北站、境内高速，对接盘锦站，探索建设高铁沿线、高速沿线文化旅游线路。实施“快旅慢游”提升工程，构建对接高铁站点、高速枢纽且直通旅游景区景点，方便周边游、乡村游的客运网络体系。探索建立县域范围旅游风景道网络，完善自驾服务体系，构建旅游集散中心体系，全面推行盘山大旅游业集群“慢游计划”。创建一批民俗节庆、体育赛事、旅游论坛，形成“各镇（街道）有品牌、月月有赛事”的旅游发展格局。</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7D443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000" w:type="pct"/>
            <w:tcBorders>
              <w:top w:val="dotted" w:color="auto" w:sz="4" w:space="0"/>
              <w:left w:val="dotted" w:color="auto" w:sz="4" w:space="0"/>
              <w:bottom w:val="dotted" w:color="auto" w:sz="4" w:space="0"/>
              <w:right w:val="dotted" w:color="auto" w:sz="4" w:space="0"/>
            </w:tcBorders>
            <w:shd w:val="clear" w:color="auto" w:fill="FFFFFF"/>
          </w:tcPr>
          <w:p w14:paraId="581C892B">
            <w:pPr>
              <w:pStyle w:val="14"/>
              <w:spacing w:line="600" w:lineRule="exact"/>
              <w:ind w:firstLine="511"/>
              <w:jc w:val="center"/>
              <w:rPr>
                <w:color w:val="000000" w:themeColor="text1"/>
                <w:sz w:val="24"/>
                <w:szCs w:val="24"/>
              </w:rPr>
            </w:pPr>
            <w:r>
              <w:rPr>
                <w:rFonts w:hint="eastAsia" w:hAnsi="宋体" w:eastAsia="宋体" w:cs="宋体"/>
                <w:b/>
                <w:bCs/>
                <w:color w:val="000000" w:themeColor="text1"/>
                <w:kern w:val="0"/>
                <w:sz w:val="24"/>
                <w:szCs w:val="24"/>
              </w:rPr>
              <w:t>专栏5-5“生态基因”植入“城市肌理”工程</w:t>
            </w:r>
          </w:p>
        </w:tc>
      </w:tr>
      <w:tr w14:paraId="5E61A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dotted" w:color="auto" w:sz="4" w:space="0"/>
              <w:left w:val="dotted" w:color="auto" w:sz="4" w:space="0"/>
              <w:bottom w:val="dotted" w:color="auto" w:sz="4" w:space="0"/>
              <w:right w:val="dotted" w:color="auto" w:sz="4" w:space="0"/>
            </w:tcBorders>
            <w:shd w:val="clear" w:color="auto" w:fill="FFFFFF"/>
          </w:tcPr>
          <w:p w14:paraId="098D33C1">
            <w:pPr>
              <w:spacing w:line="600" w:lineRule="exact"/>
              <w:ind w:firstLine="510"/>
              <w:rPr>
                <w:rFonts w:hint="eastAsia"/>
                <w:color w:val="000000" w:themeColor="text1"/>
                <w:sz w:val="24"/>
                <w:szCs w:val="24"/>
              </w:rPr>
            </w:pPr>
            <w:r>
              <w:rPr>
                <w:rFonts w:hint="eastAsia" w:ascii="宋体" w:hAnsi="宋体" w:eastAsia="宋体" w:cs="宋体"/>
                <w:color w:val="000000" w:themeColor="text1"/>
                <w:kern w:val="0"/>
                <w:sz w:val="24"/>
                <w:szCs w:val="24"/>
              </w:rPr>
              <w:t>以县域为单元，以河流水系为脉络，以水系贯通为先导，以村庄为节点，集中连片统筹规划，水域岸线并治，统筹水系连通、河道清障、清淤疏浚、岸坡整治、水源涵养和水土保持、河湖管护等多项水利措施，重点推进305国道沿线、县城沿河风光带建设，实现从传统工程水利向现代水利的转变，全力打造河湖相连、碧水润城、人文点缀的“盘山水韵”特色。</w:t>
            </w:r>
          </w:p>
        </w:tc>
      </w:tr>
    </w:tbl>
    <w:p w14:paraId="57413C97">
      <w:pPr>
        <w:pStyle w:val="8"/>
        <w:spacing w:line="600" w:lineRule="exact"/>
        <w:ind w:firstLine="672"/>
        <w:rPr>
          <w:color w:val="000000" w:themeColor="text1"/>
        </w:rPr>
      </w:pPr>
      <w:r>
        <w:rPr>
          <w:rFonts w:hint="eastAsia"/>
          <w:color w:val="000000" w:themeColor="text1"/>
        </w:rPr>
        <w:t>三、推动旅游综合服务一体化发展</w:t>
      </w:r>
    </w:p>
    <w:p w14:paraId="5CA12389">
      <w:pPr>
        <w:adjustRightInd w:val="0"/>
        <w:snapToGrid w:val="0"/>
        <w:spacing w:afterLines="50" w:line="600" w:lineRule="exact"/>
        <w:ind w:firstLine="630"/>
        <w:rPr>
          <w:rFonts w:ascii="仿宋_GB2312" w:hAnsi="仿宋_GB2312" w:eastAsia="仿宋_GB2312" w:cs="仿宋_GB2312"/>
          <w:color w:val="000000" w:themeColor="text1"/>
          <w:sz w:val="30"/>
          <w:szCs w:val="30"/>
          <w:shd w:val="clear" w:color="auto" w:fill="FFFFFF"/>
        </w:rPr>
      </w:pPr>
      <w:r>
        <w:rPr>
          <w:rFonts w:hint="eastAsia" w:ascii="仿宋_GB2312" w:hAnsi="仿宋_GB2312" w:eastAsia="仿宋_GB2312" w:cs="仿宋_GB2312"/>
          <w:color w:val="000000" w:themeColor="text1"/>
          <w:sz w:val="30"/>
          <w:szCs w:val="30"/>
          <w:shd w:val="clear" w:color="auto" w:fill="FFFFFF"/>
        </w:rPr>
        <w:t>依托“智慧城市示范县建设”，实施智慧旅游建设工程，制定“互联网＋旅游”行动计划，完善智慧导览、咨询、预订和在线支付服务，建立景区游客流量监测系统和实时分流运作体系。推进旅游标准化建设，规范酒店业、餐饮业、旅行社等从业秩序，统一完善旅游服务功能和标识系统。实施宾馆饭店提升工程，推动高星级旅游饭店向文化主题型度假酒店方向改造提升，中档旅游饭店向绿色饭店、主题酒店、酒店联盟方向转型。制定统一的特色民宿、客栈、休闲农庄建设和服务标准，助力发展特色民宿、青年客栈和乡村休闲农庄。实施特色街区建设工程，引导旅游商品、餐饮美食业向专业街区集聚，形成规范化、专业化、标准化管理体制。</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1D57A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000" w:type="pct"/>
            <w:tcBorders>
              <w:top w:val="dotted" w:color="auto" w:sz="4" w:space="0"/>
              <w:left w:val="dotted" w:color="auto" w:sz="4" w:space="0"/>
              <w:bottom w:val="dotted" w:color="auto" w:sz="4" w:space="0"/>
              <w:right w:val="dotted" w:color="auto" w:sz="4" w:space="0"/>
            </w:tcBorders>
            <w:shd w:val="clear" w:color="auto" w:fill="FFFFFF"/>
          </w:tcPr>
          <w:p w14:paraId="73DB6254">
            <w:pPr>
              <w:pStyle w:val="14"/>
              <w:spacing w:line="600" w:lineRule="exact"/>
              <w:ind w:firstLine="0" w:firstLineChars="0"/>
              <w:jc w:val="center"/>
              <w:rPr>
                <w:rFonts w:asciiTheme="minorEastAsia" w:hAnsiTheme="minorEastAsia" w:eastAsiaTheme="minorEastAsia" w:cstheme="minorEastAsia"/>
                <w:b/>
                <w:bCs/>
                <w:color w:val="000000" w:themeColor="text1"/>
                <w:kern w:val="0"/>
                <w:sz w:val="24"/>
                <w:szCs w:val="24"/>
              </w:rPr>
            </w:pPr>
            <w:r>
              <w:rPr>
                <w:rFonts w:hint="eastAsia" w:asciiTheme="minorEastAsia" w:hAnsiTheme="minorEastAsia" w:eastAsiaTheme="minorEastAsia" w:cstheme="minorEastAsia"/>
                <w:b/>
                <w:bCs/>
                <w:color w:val="000000" w:themeColor="text1"/>
                <w:kern w:val="0"/>
                <w:sz w:val="24"/>
                <w:szCs w:val="24"/>
              </w:rPr>
              <w:t>专栏5-6 盘山县新街区经济特色街道基础设施建设项目</w:t>
            </w:r>
          </w:p>
        </w:tc>
      </w:tr>
      <w:tr w14:paraId="18E12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dotted" w:color="auto" w:sz="4" w:space="0"/>
              <w:left w:val="dotted" w:color="auto" w:sz="4" w:space="0"/>
              <w:bottom w:val="dotted" w:color="auto" w:sz="4" w:space="0"/>
              <w:right w:val="dotted" w:color="auto" w:sz="4" w:space="0"/>
            </w:tcBorders>
            <w:shd w:val="clear" w:color="auto" w:fill="FFFFFF"/>
            <w:vAlign w:val="center"/>
          </w:tcPr>
          <w:p w14:paraId="48113476">
            <w:pPr>
              <w:pStyle w:val="14"/>
              <w:spacing w:line="600" w:lineRule="exact"/>
              <w:ind w:firstLine="510"/>
              <w:rPr>
                <w:rFonts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依托在建的东江路，建设盘山县以新型特色街区经济为主特征的新型商业街，打造线上线下一体化融合服务平台，重点建设人行道、铺设管网以及亮化、绿化等工程。</w:t>
            </w:r>
          </w:p>
        </w:tc>
      </w:tr>
    </w:tbl>
    <w:p w14:paraId="264D263C">
      <w:pPr>
        <w:pStyle w:val="7"/>
        <w:spacing w:line="600" w:lineRule="exact"/>
        <w:ind w:firstLine="0" w:firstLineChars="0"/>
        <w:jc w:val="center"/>
        <w:rPr>
          <w:color w:val="000000" w:themeColor="text1"/>
        </w:rPr>
      </w:pPr>
      <w:bookmarkStart w:id="169" w:name="_Toc31033"/>
      <w:bookmarkStart w:id="170" w:name="_Toc9175"/>
      <w:bookmarkStart w:id="171" w:name="_Toc11731"/>
      <w:r>
        <w:rPr>
          <w:rFonts w:hint="eastAsia"/>
          <w:color w:val="000000" w:themeColor="text1"/>
        </w:rPr>
        <w:t>第三节 扶持发展精品特色商贸产业</w:t>
      </w:r>
      <w:bookmarkEnd w:id="163"/>
      <w:bookmarkEnd w:id="164"/>
      <w:bookmarkEnd w:id="165"/>
      <w:bookmarkEnd w:id="166"/>
      <w:bookmarkEnd w:id="169"/>
      <w:bookmarkEnd w:id="170"/>
      <w:bookmarkEnd w:id="171"/>
    </w:p>
    <w:p w14:paraId="284765F5">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优化城乡商贸流通布局，发展新型流通方式和经营业态，扶持发展精品特色商贸产业，推进商贸流通产业现代化。</w:t>
      </w:r>
    </w:p>
    <w:p w14:paraId="1C379CFE">
      <w:pPr>
        <w:pStyle w:val="8"/>
        <w:spacing w:line="600" w:lineRule="exact"/>
        <w:ind w:firstLine="672"/>
        <w:rPr>
          <w:color w:val="000000" w:themeColor="text1"/>
        </w:rPr>
      </w:pPr>
      <w:r>
        <w:rPr>
          <w:rFonts w:hint="eastAsia"/>
          <w:color w:val="000000" w:themeColor="text1"/>
        </w:rPr>
        <w:t>一、加快提升批发零售业</w:t>
      </w:r>
    </w:p>
    <w:p w14:paraId="44F6FE5A">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适应5G时代消费需求趋势，运用新一代信息技术促进传统批发零售业提质升级。加快供应链公共服务平台建设，储备培育一批供应链企业，引导供应链企业做好疫情后的强链补链工作。围绕批发零售业改造工程，鼓励实体商业加快新理念、新技术、新设计改造提升，向场景化、体验式、互动性、综合型消费场所转型，形成更多流通新业态新模式。打造社区便利生活网络，优化城乡商业网点布局，完善社区便民消费设施供给，加快推进建设“５分钟便利+10分钟农贸市场+15分钟商超”便民生活服务圈和城市社区邻里中心，形成“社区+零售”的新模式，有效打通最后“一公里”，服务社区居民消费需求。</w:t>
      </w:r>
    </w:p>
    <w:p w14:paraId="5433A8DA">
      <w:pPr>
        <w:pStyle w:val="8"/>
        <w:spacing w:line="600" w:lineRule="exact"/>
        <w:ind w:firstLine="672"/>
        <w:rPr>
          <w:color w:val="000000" w:themeColor="text1"/>
        </w:rPr>
      </w:pPr>
      <w:r>
        <w:rPr>
          <w:rFonts w:hint="eastAsia"/>
          <w:color w:val="000000" w:themeColor="text1"/>
        </w:rPr>
        <w:t>二、打造区域性“专精特”商贸中心</w:t>
      </w:r>
    </w:p>
    <w:p w14:paraId="7B2E39A1">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推进商品市场、特色街区和商贸商圈建设。围绕区域性特色粮食、果蔬、水产品流通销售，运用现代管理手段和电子商务平台，引导商贸企业合理集聚，打造一批“专、特、精”的示范镇、示范村和特色街、区及商圈。结合新城区建设，合理建设和引进城市综合体项目，扶持一批特色、品牌商场（店、柜），努力打造商贸业品牌，引导培育高端品牌精品街，满足本地居民和游客对高端产品的采购需求。积极拓展物联网在商贸流通中的应用，促进供需信息精准对接，提高商业管理效率。建设以高升、太平为龙头的县域商贸综合体经济走廊，吸引人口聚集，带动服务业全面协同发展。</w:t>
      </w:r>
    </w:p>
    <w:p w14:paraId="5FA5F7BF">
      <w:pPr>
        <w:pStyle w:val="8"/>
        <w:spacing w:line="600" w:lineRule="exact"/>
        <w:ind w:firstLine="672"/>
        <w:rPr>
          <w:color w:val="000000" w:themeColor="text1"/>
        </w:rPr>
      </w:pPr>
      <w:r>
        <w:rPr>
          <w:rFonts w:hint="eastAsia"/>
          <w:color w:val="000000" w:themeColor="text1"/>
        </w:rPr>
        <w:t>三、培育地域特色住宿餐饮品牌</w:t>
      </w:r>
    </w:p>
    <w:p w14:paraId="18D6A26A">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支持住宿餐饮龙头企业品牌化、连锁化、网络化发展，绿色低碳经营管理。加快建设面向大众旅游的商务、休闲、康养接待基地。以美食城、美食街、酒吧一条街等特色餐饮休闲街区为依托，以“节”造市，打造“美食节”、“旅游节”等具有地方特色的节日，促进住宿餐饮消费发展。加快企业“走出去”步伐，积极推进“盘山名店”、“辽河名菜”、“盘山名师”工程，打造一批住宿餐饮名牌，提升辽河口渔家菜知名度。</w:t>
      </w:r>
    </w:p>
    <w:p w14:paraId="02D4C567">
      <w:pPr>
        <w:pStyle w:val="7"/>
        <w:spacing w:line="600" w:lineRule="exact"/>
        <w:ind w:firstLine="0" w:firstLineChars="0"/>
        <w:jc w:val="center"/>
        <w:rPr>
          <w:color w:val="000000" w:themeColor="text1"/>
        </w:rPr>
      </w:pPr>
      <w:bookmarkStart w:id="172" w:name="_Toc1857"/>
      <w:bookmarkStart w:id="173" w:name="_Toc23235"/>
      <w:bookmarkStart w:id="174" w:name="_Toc31824"/>
      <w:bookmarkStart w:id="175" w:name="_Toc5742"/>
      <w:bookmarkStart w:id="176" w:name="_Toc22022"/>
      <w:bookmarkStart w:id="177" w:name="_Toc32440"/>
      <w:bookmarkStart w:id="178" w:name="_Toc4949"/>
      <w:r>
        <w:rPr>
          <w:rFonts w:hint="eastAsia"/>
          <w:color w:val="000000" w:themeColor="text1"/>
        </w:rPr>
        <w:t>第四节 积极引导鼓励健康养老家政服务业发展</w:t>
      </w:r>
      <w:bookmarkEnd w:id="172"/>
      <w:bookmarkEnd w:id="173"/>
      <w:bookmarkEnd w:id="174"/>
      <w:bookmarkEnd w:id="175"/>
      <w:bookmarkEnd w:id="176"/>
      <w:bookmarkEnd w:id="177"/>
      <w:bookmarkEnd w:id="178"/>
    </w:p>
    <w:p w14:paraId="61D958AC">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全面贯彻落实健康中国战略，以满足中老年人医养服务需求为目标，坚持“理念创新、机制创新、模式创新”，推动医养与其他服务业态融合发展，建立全方位、全生命周期、内涵丰富、结构合理的医疗康养养老产业体系。力争到2025年，医疗康养业主营业务收入达到50亿元。</w:t>
      </w:r>
    </w:p>
    <w:p w14:paraId="3AB085C7">
      <w:pPr>
        <w:pStyle w:val="8"/>
        <w:spacing w:line="600" w:lineRule="exact"/>
        <w:ind w:firstLine="672"/>
        <w:rPr>
          <w:color w:val="000000" w:themeColor="text1"/>
        </w:rPr>
      </w:pPr>
      <w:r>
        <w:rPr>
          <w:rFonts w:hint="eastAsia"/>
          <w:color w:val="000000" w:themeColor="text1"/>
        </w:rPr>
        <w:t>一、推进健康服务业发展</w:t>
      </w:r>
    </w:p>
    <w:p w14:paraId="01835FF7">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重点发展特色医疗保健、健康运动、健康养老、健康保险、健康管理产业，建成医疗保健特色县、运动休闲首选县。积极发展健康管理服务。推动以治疗为主向预防为主的健康服务模式转变，开发推广集疾病预防、健康体检、健康干预、跟踪随访等功能于一体的全面健康管理解决方案。鼓励社会资本规范运营，建立健康体检、专业护理、保健康复、心理健康、母婴照料等专业健康服务机构；鼓励专业健康体检机构向全面健康管理机构发展，推动健康管理产业向新型化、个体化、网络化、社会化发展。推动医疗服务、中医药保健与旅游、文化、养生康复、体育等产业跨界融合发展。支持社会力量参与体育场馆的建设和运营管理，引导符合条件的企业建设国家级户外营地和训练基地。引导有条件的医疗机构设立运动康复科，鼓励社会资本参与康体、运动康复等投资，开展健身咨询和调理等服务。</w:t>
      </w:r>
    </w:p>
    <w:p w14:paraId="53D32A35">
      <w:pPr>
        <w:pStyle w:val="8"/>
        <w:spacing w:line="600" w:lineRule="exact"/>
        <w:ind w:firstLine="672"/>
        <w:rPr>
          <w:color w:val="000000" w:themeColor="text1"/>
        </w:rPr>
      </w:pPr>
      <w:r>
        <w:rPr>
          <w:rFonts w:hint="eastAsia"/>
          <w:color w:val="000000" w:themeColor="text1"/>
        </w:rPr>
        <w:t>二、扶持养老服务业发展</w:t>
      </w:r>
    </w:p>
    <w:p w14:paraId="0A61A3DB">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积极培育养老服务产业中小企业，扶持发展龙头企业，形成一批产业链长、覆盖领域广、经济社会效益显著的养老服务产业集群。完善市场规范和行业标准，确保养老服务和产品质量，营造安全、便利、诚信的消费环境。引导养老服务企业和机构优先满足老年人基本服务需求，鼓励和引导相关行业积极拓展适合老年人特点的文化娱乐、健康服务、精神慰藉、法律咨询等服务，加强残障老年人专业化服务。围绕适合老年人的衣、食、住、行、医、文化娱乐等需要，支持企业积极开发安全有效的老年用品用具和服务产品，引导商场、超市、批发市场设立老年用品专区专柜。积极争取通过补贴保险费等政策，鼓励和引导养老机构自愿参加责任保险，有效化解运营风险。</w:t>
      </w:r>
    </w:p>
    <w:p w14:paraId="36B4EA8D">
      <w:pPr>
        <w:pStyle w:val="8"/>
        <w:spacing w:line="600" w:lineRule="exact"/>
        <w:ind w:firstLine="672"/>
        <w:rPr>
          <w:color w:val="000000" w:themeColor="text1"/>
        </w:rPr>
      </w:pPr>
      <w:r>
        <w:rPr>
          <w:rFonts w:hint="eastAsia"/>
          <w:color w:val="000000" w:themeColor="text1"/>
        </w:rPr>
        <w:t>三、鼓励家政服务业发展</w:t>
      </w:r>
    </w:p>
    <w:p w14:paraId="0F4CCE00">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积极构建覆盖村（社区）的完善的家政服务体系。鼓励社会资本创办、发展多种形式的家庭服务机构，构建以准员工制企业为主导、从业人员注册制为主体、公共信息服务平台为载体的家政服务体系。拓展家庭用品配送、实物租赁、家庭救助、教育培训等新服务市场。加强家政服务员工职业培训，提升家政服务的专业化、职业化、标准化水平。发挥家庭服务行业协会作用，完善服务标准和规范，推进诚信体系建设，切实维护家庭服务从业人员合法权益，促进行业健康发展。</w:t>
      </w:r>
    </w:p>
    <w:p w14:paraId="4B6D632E">
      <w:pPr>
        <w:pStyle w:val="2"/>
        <w:spacing w:line="600" w:lineRule="exact"/>
        <w:ind w:left="590" w:firstLine="590"/>
        <w:rPr>
          <w:rFonts w:hint="eastAsia"/>
          <w:color w:val="000000" w:themeColor="text1"/>
        </w:rPr>
      </w:pPr>
    </w:p>
    <w:p w14:paraId="6A9AF8EC">
      <w:pPr>
        <w:spacing w:line="600" w:lineRule="exact"/>
        <w:ind w:firstLine="590"/>
        <w:rPr>
          <w:rFonts w:hint="eastAsia"/>
          <w:color w:val="000000" w:themeColor="text1"/>
        </w:rPr>
      </w:pPr>
    </w:p>
    <w:p w14:paraId="5D8D0E68">
      <w:pPr>
        <w:pStyle w:val="6"/>
        <w:spacing w:line="600" w:lineRule="exact"/>
        <w:ind w:firstLine="0" w:firstLineChars="0"/>
        <w:jc w:val="center"/>
        <w:rPr>
          <w:color w:val="000000" w:themeColor="text1"/>
          <w:sz w:val="36"/>
          <w:szCs w:val="36"/>
        </w:rPr>
      </w:pPr>
      <w:bookmarkStart w:id="179" w:name="_Toc18445"/>
      <w:bookmarkStart w:id="180" w:name="_Toc7496"/>
      <w:bookmarkStart w:id="181" w:name="_Toc5802"/>
      <w:bookmarkStart w:id="182" w:name="_Toc24623"/>
      <w:bookmarkStart w:id="183" w:name="_Toc20959"/>
      <w:bookmarkStart w:id="184" w:name="_Toc13129"/>
      <w:bookmarkStart w:id="185" w:name="_Toc10639"/>
      <w:r>
        <w:rPr>
          <w:rFonts w:hint="eastAsia"/>
          <w:color w:val="000000" w:themeColor="text1"/>
          <w:sz w:val="36"/>
          <w:szCs w:val="36"/>
        </w:rPr>
        <w:t>第六章 强农惠农 铸造特色现代农业新品牌</w:t>
      </w:r>
      <w:bookmarkEnd w:id="179"/>
      <w:bookmarkEnd w:id="180"/>
      <w:bookmarkEnd w:id="181"/>
      <w:bookmarkEnd w:id="182"/>
      <w:bookmarkEnd w:id="183"/>
      <w:bookmarkEnd w:id="184"/>
      <w:bookmarkEnd w:id="185"/>
    </w:p>
    <w:p w14:paraId="3C448681">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积极推动农业供给侧结构优化调整，加快构建新型特色农业经营体系，深入推进农业发展模式转变，大力发展优质安全农产品，努力走出一条技术先进、产业高效、产品安全、集约节约、环境友好可持续的新型特色农业现代化高质量发展道路，进一步提升盘山特色现代农业品牌影响力。</w:t>
      </w:r>
    </w:p>
    <w:p w14:paraId="6D5B9A1F">
      <w:pPr>
        <w:pStyle w:val="7"/>
        <w:spacing w:line="600" w:lineRule="exact"/>
        <w:ind w:firstLine="0" w:firstLineChars="0"/>
        <w:jc w:val="center"/>
        <w:rPr>
          <w:color w:val="000000" w:themeColor="text1"/>
        </w:rPr>
      </w:pPr>
      <w:bookmarkStart w:id="186" w:name="_Toc20611"/>
      <w:bookmarkStart w:id="187" w:name="_Toc29942"/>
      <w:bookmarkStart w:id="188" w:name="_Toc15577"/>
      <w:bookmarkStart w:id="189" w:name="_Toc26370"/>
      <w:bookmarkStart w:id="190" w:name="_Toc2226"/>
      <w:bookmarkStart w:id="191" w:name="_Toc14280"/>
      <w:bookmarkStart w:id="192" w:name="_Toc19604"/>
      <w:r>
        <w:rPr>
          <w:rFonts w:hint="eastAsia"/>
          <w:color w:val="000000" w:themeColor="text1"/>
        </w:rPr>
        <w:t>第一节 做强特色新型优势农业</w:t>
      </w:r>
      <w:bookmarkEnd w:id="186"/>
      <w:bookmarkEnd w:id="187"/>
      <w:bookmarkEnd w:id="188"/>
      <w:bookmarkEnd w:id="189"/>
      <w:bookmarkEnd w:id="190"/>
      <w:bookmarkEnd w:id="191"/>
      <w:bookmarkEnd w:id="192"/>
    </w:p>
    <w:p w14:paraId="18C4E321">
      <w:pPr>
        <w:adjustRightInd w:val="0"/>
        <w:snapToGrid w:val="0"/>
        <w:spacing w:line="600" w:lineRule="exact"/>
        <w:ind w:firstLine="630"/>
        <w:rPr>
          <w:rFonts w:ascii="仿宋_GB2312" w:hAnsi="仿宋_GB2312" w:eastAsia="仿宋_GB2312" w:cs="仿宋_GB2312"/>
          <w:color w:val="000000" w:themeColor="text1"/>
          <w:kern w:val="0"/>
          <w:sz w:val="30"/>
          <w:szCs w:val="30"/>
        </w:rPr>
      </w:pPr>
      <w:bookmarkStart w:id="193" w:name="_Toc19334"/>
      <w:bookmarkStart w:id="194" w:name="_Toc3409096"/>
      <w:r>
        <w:rPr>
          <w:rFonts w:hint="eastAsia" w:ascii="仿宋_GB2312" w:hAnsi="仿宋_GB2312" w:eastAsia="仿宋_GB2312" w:cs="仿宋_GB2312"/>
          <w:color w:val="000000" w:themeColor="text1"/>
          <w:kern w:val="0"/>
          <w:sz w:val="30"/>
          <w:szCs w:val="30"/>
        </w:rPr>
        <w:t>重点构建“种——养——加——贸——旅”一体化循环经济产业链，建设规模化、产业化、专业化、特色化、绿色化的农产品循环经济产业集群。</w:t>
      </w:r>
    </w:p>
    <w:p w14:paraId="70FA83CB">
      <w:pPr>
        <w:pStyle w:val="8"/>
        <w:spacing w:line="600" w:lineRule="exact"/>
        <w:ind w:firstLine="672"/>
        <w:rPr>
          <w:color w:val="000000" w:themeColor="text1"/>
        </w:rPr>
      </w:pPr>
      <w:r>
        <w:rPr>
          <w:rFonts w:hint="eastAsia"/>
          <w:color w:val="000000" w:themeColor="text1"/>
        </w:rPr>
        <w:t>一、构建特色农业产业链</w:t>
      </w:r>
      <w:bookmarkEnd w:id="193"/>
      <w:bookmarkEnd w:id="194"/>
      <w:r>
        <w:rPr>
          <w:rFonts w:hint="eastAsia"/>
          <w:color w:val="000000" w:themeColor="text1"/>
        </w:rPr>
        <w:t>条</w:t>
      </w:r>
    </w:p>
    <w:p w14:paraId="1ECC396D">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发展绿色农业全产业链，建设绿色农业示范区。进一步优化稻米、河蟹、碱地柿子、草莓、葡萄等特色优势农业生产布局，推进优势产业向优势产区聚集，建设盘山优势“独一份、特别特、好中优”特色农业种植带，打造国内外具有一定影响力的稻米、河蟹、碱地柿子、草莓、葡萄等特色品牌。重点培育“现代种业——水稻等农产品种植与水产养殖——多品系农产品就地加工——观光教育旅游”产业链条，“现代种业——水稻等种植与水产养殖——专业物流——特色消费客户”产业链条，“现代种业——稻田、苇田河蟹养殖——特色博物馆——观光旅游展销”产业链条，促进特色优势农产品研发、种养、生产加工、专业物流、旅游消费相互融合，构建特色生态农业生产和服务体系。</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27213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000" w:type="pct"/>
            <w:tcBorders>
              <w:top w:val="dotted" w:color="auto" w:sz="4" w:space="0"/>
              <w:left w:val="dotted" w:color="auto" w:sz="4" w:space="0"/>
              <w:bottom w:val="dotted" w:color="auto" w:sz="4" w:space="0"/>
              <w:right w:val="dotted" w:color="auto" w:sz="4" w:space="0"/>
            </w:tcBorders>
            <w:shd w:val="clear" w:color="auto" w:fill="FFFFFF"/>
          </w:tcPr>
          <w:p w14:paraId="48D8DF8A">
            <w:pPr>
              <w:adjustRightInd w:val="0"/>
              <w:snapToGrid w:val="0"/>
              <w:spacing w:line="600" w:lineRule="exact"/>
              <w:ind w:firstLine="511"/>
              <w:jc w:val="center"/>
              <w:rPr>
                <w:rFonts w:asciiTheme="minorEastAsia" w:hAnsiTheme="minorEastAsia" w:eastAsiaTheme="minorEastAsia" w:cstheme="minorEastAsia"/>
                <w:b/>
                <w:bCs/>
                <w:color w:val="000000" w:themeColor="text1"/>
                <w:kern w:val="0"/>
                <w:sz w:val="24"/>
                <w:szCs w:val="24"/>
              </w:rPr>
            </w:pPr>
            <w:r>
              <w:rPr>
                <w:rFonts w:hint="eastAsia" w:asciiTheme="minorEastAsia" w:hAnsiTheme="minorEastAsia" w:eastAsiaTheme="minorEastAsia" w:cstheme="minorEastAsia"/>
                <w:b/>
                <w:bCs/>
                <w:color w:val="000000" w:themeColor="text1"/>
                <w:kern w:val="0"/>
                <w:sz w:val="24"/>
                <w:szCs w:val="24"/>
              </w:rPr>
              <w:t>专栏</w:t>
            </w:r>
            <w:r>
              <w:rPr>
                <w:rFonts w:asciiTheme="minorEastAsia" w:hAnsiTheme="minorEastAsia" w:eastAsiaTheme="minorEastAsia" w:cstheme="minorEastAsia"/>
                <w:b/>
                <w:bCs/>
                <w:color w:val="000000" w:themeColor="text1"/>
                <w:kern w:val="0"/>
                <w:sz w:val="24"/>
                <w:szCs w:val="24"/>
              </w:rPr>
              <w:t xml:space="preserve">6-1 </w:t>
            </w:r>
            <w:r>
              <w:rPr>
                <w:rFonts w:hint="eastAsia" w:asciiTheme="minorEastAsia" w:hAnsiTheme="minorEastAsia" w:eastAsiaTheme="minorEastAsia" w:cstheme="minorEastAsia"/>
                <w:b/>
                <w:bCs/>
                <w:color w:val="000000" w:themeColor="text1"/>
                <w:kern w:val="0"/>
                <w:sz w:val="24"/>
                <w:szCs w:val="24"/>
              </w:rPr>
              <w:t>优势特色绿色农业提质增效行动计划</w:t>
            </w:r>
          </w:p>
        </w:tc>
      </w:tr>
      <w:tr w14:paraId="6D3F7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dotted" w:color="auto" w:sz="4" w:space="0"/>
              <w:left w:val="dotted" w:color="auto" w:sz="4" w:space="0"/>
              <w:bottom w:val="dotted" w:color="auto" w:sz="4" w:space="0"/>
              <w:right w:val="dotted" w:color="auto" w:sz="4" w:space="0"/>
            </w:tcBorders>
            <w:shd w:val="clear" w:color="auto" w:fill="FFFFFF"/>
          </w:tcPr>
          <w:p w14:paraId="3E511D14">
            <w:pPr>
              <w:adjustRightInd w:val="0"/>
              <w:snapToGrid w:val="0"/>
              <w:spacing w:line="600" w:lineRule="exact"/>
              <w:ind w:firstLine="510"/>
              <w:rPr>
                <w:rFonts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引导加工企业与农民专业合作社、家庭农场、专业大户等经营主体对接，大力推广新品种、新技术、新装备。加大对品牌农产品的开发、申报和认证管理力度，培育水稻、河蟹等特色地理标志农产品种养示范区。</w:t>
            </w:r>
          </w:p>
        </w:tc>
      </w:tr>
    </w:tbl>
    <w:p w14:paraId="3D6EE3CB">
      <w:pPr>
        <w:pStyle w:val="8"/>
        <w:spacing w:line="600" w:lineRule="exact"/>
        <w:ind w:firstLine="672"/>
        <w:rPr>
          <w:color w:val="000000" w:themeColor="text1"/>
        </w:rPr>
      </w:pPr>
      <w:r>
        <w:rPr>
          <w:rFonts w:hint="eastAsia"/>
          <w:color w:val="000000" w:themeColor="text1"/>
        </w:rPr>
        <w:t>二、鼓励发展郊区都市型现代农业</w:t>
      </w:r>
    </w:p>
    <w:p w14:paraId="1909451F">
      <w:pPr>
        <w:adjustRightInd w:val="0"/>
        <w:snapToGrid w:val="0"/>
        <w:spacing w:afterLines="50"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推进旅游、人文、科技等元素植入农业，构建郊区都市型农业休闲圈。重点发展绿色有机无公害设施农业、观赏农业，以特色农产品综合开发利用项目带动特色度假民宿、共享农庄等新型业态发展，打造集采摘、农场养殖、加工、捕捞等体验式、参与式郊区都市型农业休闲生活场所、现代都市绿色有机农产品生产供应现代农业基地。着力培育胡家河蟹小镇、东郭两河水海鲜小镇、石新高品质特色农产品和特色畜牧种养小镇，构建以生产生活生态融合发展为主体特征的农业特色小镇群。鼓励建设一批成本低、要素全、开放式的众创空间，积极创建国家现代农业庄园、大力扶持乡村旅游创客基地、旅游民宿等新农村旅游社区发展。</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06E6D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71" w:type="dxa"/>
            <w:tcBorders>
              <w:top w:val="dotted" w:color="auto" w:sz="4" w:space="0"/>
              <w:left w:val="dotted" w:color="auto" w:sz="4" w:space="0"/>
              <w:bottom w:val="dotted" w:color="auto" w:sz="4" w:space="0"/>
              <w:right w:val="dotted" w:color="auto" w:sz="4" w:space="0"/>
            </w:tcBorders>
            <w:shd w:val="clear" w:color="auto" w:fill="FFFFFF"/>
            <w:vAlign w:val="center"/>
          </w:tcPr>
          <w:p w14:paraId="2EBBDF39">
            <w:pPr>
              <w:adjustRightInd w:val="0"/>
              <w:snapToGrid w:val="0"/>
              <w:spacing w:line="600" w:lineRule="exact"/>
              <w:ind w:firstLine="511"/>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b/>
                <w:bCs/>
                <w:color w:val="000000" w:themeColor="text1"/>
                <w:sz w:val="24"/>
                <w:szCs w:val="24"/>
              </w:rPr>
              <w:t>专栏6-2 特色庭院经济发展行动</w:t>
            </w:r>
          </w:p>
        </w:tc>
      </w:tr>
      <w:tr w14:paraId="67BC8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tcBorders>
              <w:top w:val="dotted" w:color="auto" w:sz="4" w:space="0"/>
              <w:left w:val="dotted" w:color="auto" w:sz="4" w:space="0"/>
              <w:bottom w:val="dotted" w:color="auto" w:sz="4" w:space="0"/>
              <w:right w:val="dotted" w:color="auto" w:sz="4" w:space="0"/>
            </w:tcBorders>
            <w:shd w:val="clear" w:color="auto" w:fill="FFFFFF"/>
          </w:tcPr>
          <w:p w14:paraId="24765069">
            <w:pPr>
              <w:adjustRightInd w:val="0"/>
              <w:snapToGrid w:val="0"/>
              <w:spacing w:line="600" w:lineRule="exact"/>
              <w:ind w:firstLine="51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大力推进“互联网</w:t>
            </w:r>
            <w:r>
              <w:rPr>
                <w:rFonts w:asciiTheme="minorEastAsia" w:hAnsiTheme="minorEastAsia" w:eastAsiaTheme="minorEastAsia" w:cstheme="minorEastAsia"/>
                <w:color w:val="000000" w:themeColor="text1"/>
                <w:sz w:val="24"/>
                <w:szCs w:val="24"/>
              </w:rPr>
              <w:t>+”现代农业，</w:t>
            </w:r>
            <w:r>
              <w:rPr>
                <w:rFonts w:hint="eastAsia" w:asciiTheme="minorEastAsia" w:hAnsiTheme="minorEastAsia" w:eastAsiaTheme="minorEastAsia" w:cstheme="minorEastAsia"/>
                <w:color w:val="000000" w:themeColor="text1"/>
                <w:sz w:val="24"/>
                <w:szCs w:val="24"/>
              </w:rPr>
              <w:t>推动一二三产业融合渗透和交叉重组，延伸产业链，创新发展方式，带动资源、要素、技术、市场需求在农村的整合集成和优化重组。利用农村庭院、果院、花园、田园、鱼塘等乡村景观和自然生态、人文资源开发乡村旅游，探索“一村带一品”发展模式，促进特色旅游发展。</w:t>
            </w:r>
          </w:p>
        </w:tc>
      </w:tr>
    </w:tbl>
    <w:p w14:paraId="0E736B39">
      <w:pPr>
        <w:pStyle w:val="8"/>
        <w:spacing w:line="600" w:lineRule="exact"/>
        <w:ind w:firstLine="672"/>
        <w:rPr>
          <w:color w:val="000000" w:themeColor="text1"/>
        </w:rPr>
      </w:pPr>
      <w:r>
        <w:rPr>
          <w:rFonts w:hint="eastAsia"/>
          <w:color w:val="000000" w:themeColor="text1"/>
        </w:rPr>
        <w:t>三、实施品牌强农计划</w:t>
      </w:r>
    </w:p>
    <w:p w14:paraId="346E87C0">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打造区域特色农产品品牌，实现品牌强农。发挥“中国好粮油”、“辽宁好粮油”、“中国百强农产品区域公共品牌”、中国特色农产品优势区（河蟹）、国家级健康养殖示范县等盘山县特色品牌优势，建立与国际标准和行业标准接轨的质量标准体系，推动农产品质量安全保障体系建设，实现产前、产中、产后各环节有标可依。引导基地、协会、加工企业争创国家知名品牌，积极开展绿色、有机产地认定和产品认证，培育生态蟹田大米等特色品牌，把生态资源优势转化成为产业优势和竞争优势。建立农业品牌建设以奖代补机制，激励企业积极创建国家、省认定的品牌产品和开展绿色、有机食品认证。加大农产品品牌宣传推介力度，在国内大中城市有计划、有组织地举办、参加农产品展销会、商贸洽谈会，提高全县农产品品牌的知名度，挖掘品牌经济效益。到2025年，盘山大米名优品牌产品占有率达到80%以上，盘山河蟹品牌经营率占比达到70%以上。</w:t>
      </w:r>
    </w:p>
    <w:p w14:paraId="143000C0">
      <w:pPr>
        <w:pStyle w:val="7"/>
        <w:spacing w:line="600" w:lineRule="exact"/>
        <w:ind w:firstLine="0" w:firstLineChars="0"/>
        <w:jc w:val="center"/>
        <w:rPr>
          <w:color w:val="000000" w:themeColor="text1"/>
        </w:rPr>
      </w:pPr>
      <w:bookmarkStart w:id="195" w:name="_Toc21861"/>
      <w:bookmarkStart w:id="196" w:name="_Toc26028"/>
      <w:bookmarkStart w:id="197" w:name="_Toc16504"/>
      <w:bookmarkStart w:id="198" w:name="_Toc1921"/>
      <w:bookmarkStart w:id="199" w:name="_Toc16927"/>
      <w:bookmarkStart w:id="200" w:name="_Toc10805"/>
      <w:bookmarkStart w:id="201" w:name="_Toc17099"/>
      <w:r>
        <w:rPr>
          <w:rFonts w:hint="eastAsia"/>
          <w:color w:val="000000" w:themeColor="text1"/>
        </w:rPr>
        <w:t>第二节 提升农产品安全保障能力</w:t>
      </w:r>
      <w:bookmarkEnd w:id="195"/>
      <w:bookmarkEnd w:id="196"/>
      <w:bookmarkEnd w:id="197"/>
      <w:bookmarkEnd w:id="198"/>
      <w:bookmarkEnd w:id="199"/>
      <w:bookmarkEnd w:id="200"/>
      <w:bookmarkEnd w:id="201"/>
    </w:p>
    <w:p w14:paraId="01351A9D">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坚持稳定粮食种植面积89.2万亩，实施粮食高产工程，推广先进适用农技，确保“十四五”期间粮食总产量保持在每年10亿斤以上。</w:t>
      </w:r>
    </w:p>
    <w:p w14:paraId="6844AC08">
      <w:pPr>
        <w:pStyle w:val="8"/>
        <w:spacing w:line="600" w:lineRule="exact"/>
        <w:ind w:firstLine="672"/>
        <w:rPr>
          <w:color w:val="000000" w:themeColor="text1"/>
        </w:rPr>
      </w:pPr>
      <w:r>
        <w:rPr>
          <w:rFonts w:hint="eastAsia"/>
          <w:color w:val="000000" w:themeColor="text1"/>
        </w:rPr>
        <w:t>一、稳定粮食整体产能</w:t>
      </w:r>
    </w:p>
    <w:p w14:paraId="7CDA3BBB">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严格落实粮食安全生产责任制，把稳定发展粮食生产作为现代农业建设的首要目标，严格保护耕地，稳定粮食播种面积。积极开展粮食高产创建活动，优化生产布局和品种结构，提高粮食整体生产能力。大力发展优质水稻和专用玉米，提升粮食作物优质品率。加快发展现代粮食加工，坚持全加工、全利用、精深加工，提高粮食生产综合效益。认真落实国家强农惠农政策，科学制定农机购置补贴工作方案，推进农机社会化服务体系建设，提升农业装备水平。继续深化农业科研体制改革，整合农业科研资源，建立县级农业科技创新基地，加速农业科技成果转化。</w:t>
      </w:r>
    </w:p>
    <w:p w14:paraId="30F5E639">
      <w:pPr>
        <w:pStyle w:val="8"/>
        <w:spacing w:line="600" w:lineRule="exact"/>
        <w:ind w:firstLine="672"/>
        <w:rPr>
          <w:color w:val="000000" w:themeColor="text1"/>
        </w:rPr>
      </w:pPr>
      <w:r>
        <w:rPr>
          <w:rFonts w:hint="eastAsia"/>
          <w:color w:val="000000" w:themeColor="text1"/>
        </w:rPr>
        <w:t>二、保障农产品质量安全</w:t>
      </w:r>
    </w:p>
    <w:p w14:paraId="712059F2">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加快农产品质量安全检测体系建设，完善农产品质量安全标准，加强检验检测机构资质认证，助力创建盘山农业品牌。建立健全农产品质量安全监管体系，对产地环境、投入品使用、生产过程、生产质量实行全程监控。实行严格的农产品质量安全可追溯制度、召回制度、市场准入和退出制度。进一步完善农业标准体系，大力推进农业标准化示范创建活动，加大农产品注册商标和地理标志保护力度。</w:t>
      </w:r>
    </w:p>
    <w:p w14:paraId="2E6397E3">
      <w:pPr>
        <w:pStyle w:val="8"/>
        <w:spacing w:line="600" w:lineRule="exact"/>
        <w:ind w:firstLine="672"/>
        <w:rPr>
          <w:color w:val="000000" w:themeColor="text1"/>
        </w:rPr>
      </w:pPr>
      <w:r>
        <w:rPr>
          <w:rFonts w:hint="eastAsia"/>
          <w:color w:val="000000" w:themeColor="text1"/>
        </w:rPr>
        <w:t>三、加强防灾减灾能力建设</w:t>
      </w:r>
    </w:p>
    <w:p w14:paraId="313C4385">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完善灾害防控体系建设。加强农村气象信息服务能力建设，拓展气象为农服务领域，提高预报准确度和预警信息发布时效性。继续加大洪涝灾害防治力度，加强重点易涝区治理，提高抵御洪涝灾害能力。全面落实防汛抗旱地方行政首长负责制。加强防汛抗旱应急管理，明确洪水风险管理目标并强化相应措施。落实“林长制”，加强森林防火体系建设，增强预警监测、应急处置和扑救能力。加强种子苗木检疫监管和农作物重大疫情监测预警及阻截防控。提高疫情应急处置能力，完善应急防疫物资储备。强化动物卫生监督管理，进一步完善疫情处置和扑杀补贴机制。</w:t>
      </w:r>
    </w:p>
    <w:p w14:paraId="1847B368">
      <w:pPr>
        <w:pStyle w:val="8"/>
        <w:spacing w:line="600" w:lineRule="exact"/>
        <w:ind w:firstLine="672"/>
        <w:rPr>
          <w:color w:val="000000" w:themeColor="text1"/>
        </w:rPr>
      </w:pPr>
      <w:bookmarkStart w:id="202" w:name="_Toc31748"/>
      <w:bookmarkStart w:id="203" w:name="_Toc14625"/>
      <w:r>
        <w:rPr>
          <w:rFonts w:hint="eastAsia"/>
          <w:color w:val="000000" w:themeColor="text1"/>
        </w:rPr>
        <w:t>四、强化农业信息化建设</w:t>
      </w:r>
    </w:p>
    <w:p w14:paraId="5B5F24D9">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加快建设县级耕地基本信息数据资源、农产品市场交易数据资源、农业投入品数据资源、农业生产经营主体基础信息数据资源等数据库平台，归集整理农业全产业链信息。建立健全重点农产品监测预警体系和重要信息发布机制，为农业各类经营主体提供市场预警、政策评估、资源管理、舆情分析等服务。利用5G移动通信等技术，大力推动精准作业、智能控制、远程诊断、遥感监测、灾害预警、地理信息以及物联网等现代信息技术在农业农村的应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1222F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Borders>
              <w:top w:val="dotted" w:color="auto" w:sz="4" w:space="0"/>
              <w:left w:val="dotted" w:color="auto" w:sz="4" w:space="0"/>
              <w:bottom w:val="dotted" w:color="auto" w:sz="4" w:space="0"/>
              <w:right w:val="dotted" w:color="auto" w:sz="4" w:space="0"/>
            </w:tcBorders>
            <w:shd w:val="clear" w:color="auto" w:fill="FFFFFF"/>
          </w:tcPr>
          <w:p w14:paraId="1F52D527">
            <w:pPr>
              <w:pStyle w:val="14"/>
              <w:spacing w:line="600" w:lineRule="exact"/>
              <w:ind w:firstLine="511"/>
              <w:jc w:val="center"/>
              <w:rPr>
                <w:rFonts w:asciiTheme="minorEastAsia" w:hAnsiTheme="minorEastAsia" w:eastAsiaTheme="minorEastAsia" w:cstheme="minorEastAsia"/>
                <w:color w:val="000000" w:themeColor="text1"/>
                <w:kern w:val="0"/>
                <w:szCs w:val="28"/>
              </w:rPr>
            </w:pPr>
            <w:r>
              <w:rPr>
                <w:rFonts w:hint="eastAsia" w:asciiTheme="minorEastAsia" w:hAnsiTheme="minorEastAsia" w:eastAsiaTheme="minorEastAsia" w:cstheme="minorEastAsia"/>
                <w:b/>
                <w:bCs/>
                <w:color w:val="000000" w:themeColor="text1"/>
                <w:sz w:val="24"/>
                <w:szCs w:val="24"/>
              </w:rPr>
              <w:t>专栏6-3 森林防火重点项目</w:t>
            </w:r>
          </w:p>
        </w:tc>
      </w:tr>
      <w:tr w14:paraId="01FBA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dotted" w:color="auto" w:sz="4" w:space="0"/>
              <w:left w:val="dotted" w:color="auto" w:sz="4" w:space="0"/>
              <w:bottom w:val="dotted" w:color="auto" w:sz="4" w:space="0"/>
              <w:right w:val="dotted" w:color="auto" w:sz="4" w:space="0"/>
            </w:tcBorders>
            <w:shd w:val="clear" w:color="auto" w:fill="FFFFFF"/>
          </w:tcPr>
          <w:p w14:paraId="5743CF8D">
            <w:pPr>
              <w:pStyle w:val="14"/>
              <w:spacing w:line="600" w:lineRule="exact"/>
              <w:ind w:firstLine="510"/>
              <w:rPr>
                <w:rFonts w:asciiTheme="minorEastAsia" w:hAnsiTheme="minorEastAsia" w:eastAsiaTheme="minorEastAsia" w:cstheme="minorEastAsia"/>
                <w:color w:val="000000" w:themeColor="text1"/>
                <w:kern w:val="0"/>
                <w:szCs w:val="28"/>
              </w:rPr>
            </w:pPr>
            <w:r>
              <w:rPr>
                <w:rFonts w:hint="eastAsia" w:asciiTheme="minorEastAsia" w:hAnsiTheme="minorEastAsia" w:eastAsiaTheme="minorEastAsia" w:cstheme="minorEastAsia"/>
                <w:color w:val="000000" w:themeColor="text1"/>
                <w:kern w:val="0"/>
                <w:sz w:val="24"/>
                <w:szCs w:val="24"/>
              </w:rPr>
              <w:t>石新镇林场防火站维修改造项目，重点维修改造防火车库、防火储备库、防火指挥室等，以及道路铺装、排水、地下水池、景观绿化、锻炼场所等。</w:t>
            </w:r>
          </w:p>
        </w:tc>
      </w:tr>
    </w:tbl>
    <w:p w14:paraId="10AA9A71">
      <w:pPr>
        <w:pStyle w:val="7"/>
        <w:spacing w:line="600" w:lineRule="exact"/>
        <w:ind w:firstLine="0" w:firstLineChars="0"/>
        <w:jc w:val="center"/>
        <w:rPr>
          <w:color w:val="000000" w:themeColor="text1"/>
        </w:rPr>
      </w:pPr>
      <w:bookmarkStart w:id="204" w:name="_Toc23500"/>
      <w:bookmarkStart w:id="205" w:name="_Toc27742"/>
      <w:bookmarkStart w:id="206" w:name="_Toc16319"/>
      <w:bookmarkStart w:id="207" w:name="_Toc3421"/>
      <w:bookmarkStart w:id="208" w:name="_Toc23480"/>
      <w:r>
        <w:rPr>
          <w:rFonts w:hint="eastAsia"/>
          <w:color w:val="000000" w:themeColor="text1"/>
        </w:rPr>
        <w:t>第三节 构建现代农业经营体系</w:t>
      </w:r>
      <w:bookmarkEnd w:id="202"/>
      <w:bookmarkEnd w:id="203"/>
      <w:bookmarkEnd w:id="204"/>
      <w:bookmarkEnd w:id="205"/>
      <w:bookmarkEnd w:id="206"/>
      <w:bookmarkEnd w:id="207"/>
      <w:bookmarkEnd w:id="208"/>
    </w:p>
    <w:p w14:paraId="462AD5C7">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赋予家庭经营新内涵，重构农业经营主体，健全农业社会化服务体系，培育新型职业农民，鼓励规模化与集约化经营，提高农民适应市场经济的能力，提升农业的市场竞争力和抗风险能力。</w:t>
      </w:r>
    </w:p>
    <w:p w14:paraId="6A5F5BB3">
      <w:pPr>
        <w:pStyle w:val="8"/>
        <w:spacing w:line="600" w:lineRule="exact"/>
        <w:ind w:firstLine="672"/>
        <w:rPr>
          <w:color w:val="000000" w:themeColor="text1"/>
        </w:rPr>
      </w:pPr>
      <w:r>
        <w:rPr>
          <w:rFonts w:hint="eastAsia"/>
          <w:color w:val="000000" w:themeColor="text1"/>
        </w:rPr>
        <w:t>一、引导农业适度规模经营</w:t>
      </w:r>
    </w:p>
    <w:p w14:paraId="0B3C3236">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引导农村土地承包经营权有序流转，发展规模化、产业化、集约化、专业化、组织化、社会化的现代农业生产经营方式。鼓励和支持承包土地向农业大户、家庭农场、农民专业合作社流转，解决承包地块细碎化问题，发展多种形式的规模经营。</w:t>
      </w:r>
      <w:r>
        <w:rPr>
          <w:rFonts w:hint="eastAsia" w:ascii="仿宋_GB2312" w:hAnsi="仿宋_GB2312" w:eastAsia="仿宋_GB2312" w:cs="仿宋_GB2312"/>
          <w:color w:val="000000" w:themeColor="text1"/>
          <w:kern w:val="0"/>
          <w:sz w:val="30"/>
          <w:szCs w:val="30"/>
          <w:lang w:val="zh-CN"/>
        </w:rPr>
        <w:t>以大米、河蟹、碱地柿子等国家地理标志产品为引领，形成精品打市场、市场保订单、龙头结联盟、联盟带基地、基地连农户的农业现代化、规模化经营模式。</w:t>
      </w:r>
    </w:p>
    <w:p w14:paraId="50C45CD4">
      <w:pPr>
        <w:pStyle w:val="8"/>
        <w:spacing w:line="600" w:lineRule="exact"/>
        <w:ind w:firstLine="672"/>
        <w:rPr>
          <w:color w:val="000000" w:themeColor="text1"/>
        </w:rPr>
      </w:pPr>
      <w:r>
        <w:rPr>
          <w:rFonts w:hint="eastAsia"/>
          <w:color w:val="000000" w:themeColor="text1"/>
        </w:rPr>
        <w:t>二、发展新型农业经营主体</w:t>
      </w:r>
    </w:p>
    <w:p w14:paraId="61EC69CE">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实施农民创业、能人带动、返乡创业计划，引导农民创办家庭农场林场、农民合作社、农业社会化服务组织等新型农业经营主体。鼓励、引导农民以转包、出租、互换、转让、委托流转、股份合作等形式流转土地承包经营权，兴办或参与兴办经营主体；鼓励城市资本流向农业农村，引导工商企业投资现代新型农业；鼓励经营主体联合、联动，发挥各自特色、特长，上下游联合共闯市场。</w:t>
      </w:r>
    </w:p>
    <w:p w14:paraId="1FDE706C">
      <w:pPr>
        <w:pStyle w:val="8"/>
        <w:spacing w:line="600" w:lineRule="exact"/>
        <w:ind w:firstLine="672"/>
        <w:rPr>
          <w:color w:val="000000" w:themeColor="text1"/>
        </w:rPr>
      </w:pPr>
      <w:r>
        <w:rPr>
          <w:rFonts w:hint="eastAsia"/>
          <w:color w:val="000000" w:themeColor="text1"/>
        </w:rPr>
        <w:t>三、健全农业社会化服务体系</w:t>
      </w:r>
    </w:p>
    <w:p w14:paraId="7046B5FA">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按照强化公益性职能、放活经营性服务的要求，加快构建以公共服务机构为依托、合作经济组织为基础、龙头企业为骨干、其他社会力量为补充，公益性服务、经营性服务和自助合作性服务相结合的新型农业社会化服务体系。大力发展农民专业合作组织，提高农民组织化程度。支持农垦集团、供销合作社、农民专业合作社、专业服务公司、专业技术协会、农民经纪人、龙头企业等提供多种形式的生产经营服务。</w:t>
      </w:r>
    </w:p>
    <w:p w14:paraId="48382F9E">
      <w:pPr>
        <w:pStyle w:val="8"/>
        <w:spacing w:line="600" w:lineRule="exact"/>
        <w:ind w:firstLine="672"/>
        <w:rPr>
          <w:color w:val="000000" w:themeColor="text1"/>
        </w:rPr>
      </w:pPr>
      <w:bookmarkStart w:id="209" w:name="_Toc21299"/>
      <w:bookmarkStart w:id="210" w:name="_Toc11647"/>
      <w:r>
        <w:rPr>
          <w:rFonts w:hint="eastAsia"/>
          <w:color w:val="000000" w:themeColor="text1"/>
        </w:rPr>
        <w:t>四、创新农产品流通方式</w:t>
      </w:r>
    </w:p>
    <w:p w14:paraId="01F5C519">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 xml:space="preserve">坚持适应新形势、新需求，积极构建农村现代流通网络。实施农业物联网工程，大力提升农业信息化水平。加大推动厂家互联网电子商务综合服务站建设力度，为工业产品下乡和农产品进城销售提供便捷有效的服务。充分发挥厂家互联网电商服务站网络优势，拓展综合服务站功能，打造集农产品贸易、仓储、物流配送，农特产交易等业务于一体的综合型流通网络。 </w:t>
      </w:r>
    </w:p>
    <w:p w14:paraId="72D3ED27">
      <w:pPr>
        <w:spacing w:line="600" w:lineRule="exact"/>
        <w:ind w:firstLine="590"/>
        <w:rPr>
          <w:rFonts w:hint="eastAsia"/>
          <w:color w:val="000000" w:themeColor="text1"/>
        </w:rPr>
      </w:pPr>
    </w:p>
    <w:p w14:paraId="3D7008AA">
      <w:pPr>
        <w:pStyle w:val="2"/>
        <w:spacing w:line="600" w:lineRule="exact"/>
        <w:ind w:left="590" w:firstLine="590"/>
        <w:rPr>
          <w:rFonts w:hint="eastAsia"/>
          <w:color w:val="000000" w:themeColor="text1"/>
        </w:rPr>
      </w:pPr>
    </w:p>
    <w:p w14:paraId="4058FE5B">
      <w:pPr>
        <w:spacing w:line="600" w:lineRule="exact"/>
        <w:ind w:firstLine="590"/>
        <w:rPr>
          <w:rFonts w:hint="eastAsia"/>
          <w:color w:val="000000" w:themeColor="text1"/>
        </w:rPr>
      </w:pPr>
    </w:p>
    <w:p w14:paraId="773B4306">
      <w:pPr>
        <w:pStyle w:val="2"/>
        <w:spacing w:line="600" w:lineRule="exact"/>
        <w:ind w:left="590" w:firstLine="590"/>
        <w:rPr>
          <w:rFonts w:hint="eastAsia"/>
          <w:color w:val="000000" w:themeColor="text1"/>
        </w:rPr>
      </w:pPr>
    </w:p>
    <w:p w14:paraId="360E0915">
      <w:pPr>
        <w:spacing w:line="600" w:lineRule="exact"/>
        <w:ind w:firstLine="590"/>
        <w:rPr>
          <w:rFonts w:hint="eastAsia"/>
          <w:color w:val="000000" w:themeColor="text1"/>
        </w:rPr>
      </w:pPr>
    </w:p>
    <w:p w14:paraId="4B12629A">
      <w:pPr>
        <w:pStyle w:val="2"/>
        <w:spacing w:line="600" w:lineRule="exact"/>
        <w:ind w:left="590" w:firstLine="590"/>
        <w:rPr>
          <w:rFonts w:hint="eastAsia"/>
          <w:color w:val="000000" w:themeColor="text1"/>
        </w:rPr>
      </w:pPr>
    </w:p>
    <w:p w14:paraId="382BB92A">
      <w:pPr>
        <w:spacing w:line="600" w:lineRule="exact"/>
        <w:ind w:firstLine="590"/>
        <w:rPr>
          <w:rFonts w:hint="eastAsia"/>
          <w:color w:val="000000" w:themeColor="text1"/>
        </w:rPr>
      </w:pPr>
    </w:p>
    <w:p w14:paraId="410F9ED0">
      <w:pPr>
        <w:pStyle w:val="6"/>
        <w:spacing w:line="600" w:lineRule="exact"/>
        <w:ind w:firstLine="0" w:firstLineChars="0"/>
        <w:jc w:val="center"/>
        <w:rPr>
          <w:color w:val="000000" w:themeColor="text1"/>
          <w:sz w:val="36"/>
          <w:szCs w:val="36"/>
        </w:rPr>
      </w:pPr>
      <w:bookmarkStart w:id="211" w:name="_Toc30"/>
      <w:bookmarkStart w:id="212" w:name="_Toc19925"/>
      <w:bookmarkStart w:id="213" w:name="_Toc13993"/>
      <w:bookmarkStart w:id="214" w:name="_Toc6037"/>
      <w:bookmarkStart w:id="215" w:name="_Toc12855"/>
      <w:r>
        <w:rPr>
          <w:rFonts w:hint="eastAsia"/>
          <w:color w:val="000000" w:themeColor="text1"/>
          <w:sz w:val="36"/>
          <w:szCs w:val="36"/>
        </w:rPr>
        <w:t>第七章 统筹城乡 绘就城乡融合发展新画卷</w:t>
      </w:r>
      <w:bookmarkEnd w:id="209"/>
      <w:bookmarkEnd w:id="210"/>
      <w:bookmarkEnd w:id="211"/>
      <w:bookmarkEnd w:id="212"/>
      <w:bookmarkEnd w:id="213"/>
      <w:bookmarkEnd w:id="214"/>
      <w:bookmarkEnd w:id="215"/>
    </w:p>
    <w:p w14:paraId="6A00408F">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以缩小城乡居民生活水平差距为目标，以新型城镇化作为解决全县“三农”问题的抓手，促进农业人口有序转移，推动农业发展农民增收，加快形成“工农互促、城乡互补、全面融合、共同繁荣”的新型工农城乡关系，让乡村成为城市功能的延续，让城市成为乡村的现代公园，把盘山打造成全市北部人口集聚区，建设全市副城区、现代化小城市。</w:t>
      </w:r>
    </w:p>
    <w:p w14:paraId="7C20ADA4">
      <w:pPr>
        <w:pStyle w:val="7"/>
        <w:spacing w:line="600" w:lineRule="exact"/>
        <w:ind w:firstLine="0" w:firstLineChars="0"/>
        <w:jc w:val="center"/>
        <w:rPr>
          <w:color w:val="000000" w:themeColor="text1"/>
        </w:rPr>
      </w:pPr>
      <w:bookmarkStart w:id="216" w:name="_Toc27634"/>
      <w:bookmarkStart w:id="217" w:name="_Toc28679"/>
      <w:bookmarkStart w:id="218" w:name="_Toc32708"/>
      <w:bookmarkStart w:id="219" w:name="_Toc29777"/>
      <w:bookmarkStart w:id="220" w:name="_Toc18368"/>
      <w:bookmarkStart w:id="221" w:name="_Toc7624"/>
      <w:bookmarkStart w:id="222" w:name="_Toc11831"/>
      <w:r>
        <w:rPr>
          <w:rFonts w:hint="eastAsia"/>
          <w:color w:val="000000" w:themeColor="text1"/>
        </w:rPr>
        <w:t>第一节 推进城乡融合发展</w:t>
      </w:r>
      <w:bookmarkEnd w:id="216"/>
      <w:bookmarkEnd w:id="217"/>
      <w:bookmarkEnd w:id="218"/>
      <w:bookmarkEnd w:id="219"/>
      <w:bookmarkEnd w:id="220"/>
      <w:bookmarkEnd w:id="221"/>
      <w:bookmarkEnd w:id="222"/>
    </w:p>
    <w:p w14:paraId="1CE1C5A7">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坚持城乡全民共建、普惠城乡共享,完善要素市场化配置，探索促进城乡融合发展的体制机制和政策体系，推动城乡一体化规划、公共资源均衡配置、基础设施互联互通和公共服务共建共享，逐步实现城乡基础设施和基本公共服务的标准统一、制度并轨。</w:t>
      </w:r>
    </w:p>
    <w:p w14:paraId="4F5CB23E">
      <w:pPr>
        <w:pStyle w:val="8"/>
        <w:spacing w:line="600" w:lineRule="exact"/>
        <w:ind w:firstLine="672"/>
        <w:rPr>
          <w:color w:val="000000" w:themeColor="text1"/>
        </w:rPr>
      </w:pPr>
      <w:r>
        <w:rPr>
          <w:rFonts w:hint="eastAsia"/>
          <w:color w:val="000000" w:themeColor="text1"/>
        </w:rPr>
        <w:t>一、统筹城乡发展空间</w:t>
      </w:r>
    </w:p>
    <w:p w14:paraId="267FF5A3">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统筹规划城乡空间资源。遵循主体功能定位，开展</w:t>
      </w:r>
      <w:bookmarkStart w:id="223" w:name="_Hlk533292255"/>
      <w:r>
        <w:rPr>
          <w:rFonts w:hint="eastAsia" w:ascii="仿宋_GB2312" w:hAnsi="仿宋_GB2312" w:eastAsia="仿宋_GB2312" w:cs="仿宋_GB2312"/>
          <w:color w:val="000000" w:themeColor="text1"/>
          <w:kern w:val="0"/>
          <w:sz w:val="30"/>
          <w:szCs w:val="30"/>
        </w:rPr>
        <w:t>县域资源环境承载能力和国土空间开发适宜性评价</w:t>
      </w:r>
      <w:bookmarkEnd w:id="223"/>
      <w:r>
        <w:rPr>
          <w:rFonts w:hint="eastAsia" w:ascii="仿宋_GB2312" w:hAnsi="仿宋_GB2312" w:eastAsia="仿宋_GB2312" w:cs="仿宋_GB2312"/>
          <w:color w:val="000000" w:themeColor="text1"/>
          <w:kern w:val="0"/>
          <w:sz w:val="30"/>
          <w:szCs w:val="30"/>
        </w:rPr>
        <w:t>，科学划定生态、农业、城镇空间和生态保护红线、永久基本农田、城镇开发边界等主要控制线，强化乡村开发强度管控。坚持通盘考虑城镇和乡村发展，统筹谋划产业发展、基础设施、公共服务、资源能源、生态环境保护等空间布局。科学安排县域乡村布局、资源利用、设施配置和村庄整治，推动村庄规划管理全覆盖。</w:t>
      </w:r>
    </w:p>
    <w:p w14:paraId="5205F6B1">
      <w:pPr>
        <w:pStyle w:val="8"/>
        <w:spacing w:line="600" w:lineRule="exact"/>
        <w:ind w:firstLine="672"/>
        <w:rPr>
          <w:color w:val="000000" w:themeColor="text1"/>
        </w:rPr>
      </w:pPr>
      <w:r>
        <w:rPr>
          <w:rFonts w:hint="eastAsia"/>
          <w:color w:val="000000" w:themeColor="text1"/>
        </w:rPr>
        <w:t>二、以特色小镇引领城乡融合发展</w:t>
      </w:r>
    </w:p>
    <w:p w14:paraId="4131BC6B">
      <w:pPr>
        <w:adjustRightInd w:val="0"/>
        <w:snapToGrid w:val="0"/>
        <w:spacing w:afterLines="50"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把特色小镇作为联结城乡发展的桥梁和纽带。紧紧抓住“国家县城新型城镇化建设示范”的政策机遇，按照“巩固优势、补齐短板、空间协同、凝聚合力”的基本思路，提升特色小镇在新型城镇化过程中的综合承载能力，带动城乡融合发展。围绕镇域产业发展方向，聚焦产业协同、优势互补，重点探索构建以公共基础设施和公共服务体系提升为支撑，以特色小镇为抓手，以“产城融合”为重点的小城市新型城镇化建设的“梯级圈层卫星城”模式，培育特色小镇和特色产业带动引领农业人口城市化的高质量发展动力系统，解决非户籍人口进城落户积极性和农村产业化程度“两个不高”的问题。</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6538"/>
        <w:gridCol w:w="1399"/>
      </w:tblGrid>
      <w:tr w14:paraId="3F5C5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000" w:type="pct"/>
            <w:gridSpan w:val="3"/>
            <w:tcBorders>
              <w:top w:val="dotted" w:color="auto" w:sz="4" w:space="0"/>
              <w:left w:val="dotted" w:color="auto" w:sz="4" w:space="0"/>
              <w:bottom w:val="dotted" w:color="auto" w:sz="4" w:space="0"/>
              <w:right w:val="dotted" w:color="auto" w:sz="4" w:space="0"/>
            </w:tcBorders>
            <w:shd w:val="clear" w:color="auto" w:fill="FFFFFF"/>
            <w:vAlign w:val="center"/>
          </w:tcPr>
          <w:p w14:paraId="672313E1">
            <w:pPr>
              <w:snapToGrid w:val="0"/>
              <w:spacing w:line="600" w:lineRule="exact"/>
              <w:ind w:firstLine="511"/>
              <w:jc w:val="center"/>
              <w:rPr>
                <w:rFonts w:asciiTheme="minorEastAsia" w:hAnsiTheme="minorEastAsia" w:eastAsiaTheme="minorEastAsia" w:cstheme="minorEastAsia"/>
                <w:b/>
                <w:bCs/>
                <w:color w:val="000000" w:themeColor="text1"/>
                <w:kern w:val="0"/>
                <w:sz w:val="24"/>
                <w:szCs w:val="24"/>
              </w:rPr>
            </w:pPr>
            <w:r>
              <w:rPr>
                <w:rFonts w:hint="eastAsia" w:asciiTheme="minorEastAsia" w:hAnsiTheme="minorEastAsia" w:eastAsiaTheme="minorEastAsia" w:cstheme="minorEastAsia"/>
                <w:b/>
                <w:bCs/>
                <w:color w:val="000000" w:themeColor="text1"/>
                <w:kern w:val="0"/>
                <w:sz w:val="24"/>
                <w:szCs w:val="24"/>
              </w:rPr>
              <w:t>专栏</w:t>
            </w:r>
            <w:r>
              <w:rPr>
                <w:rFonts w:hint="eastAsia" w:asciiTheme="minorEastAsia" w:hAnsiTheme="minorEastAsia" w:eastAsiaTheme="minorEastAsia" w:cstheme="minorEastAsia"/>
                <w:b/>
                <w:color w:val="000000" w:themeColor="text1"/>
                <w:sz w:val="24"/>
                <w:szCs w:val="24"/>
                <w:shd w:val="clear" w:color="auto" w:fill="FFFFFF"/>
              </w:rPr>
              <w:t>7-1</w:t>
            </w:r>
            <w:r>
              <w:rPr>
                <w:rFonts w:hint="eastAsia" w:asciiTheme="minorEastAsia" w:hAnsiTheme="minorEastAsia" w:eastAsiaTheme="minorEastAsia" w:cstheme="minorEastAsia"/>
                <w:b/>
                <w:bCs/>
                <w:color w:val="000000" w:themeColor="text1"/>
                <w:kern w:val="0"/>
                <w:sz w:val="24"/>
                <w:szCs w:val="24"/>
              </w:rPr>
              <w:t xml:space="preserve"> 盘山县特色小镇培育工程</w:t>
            </w:r>
          </w:p>
        </w:tc>
      </w:tr>
      <w:tr w14:paraId="00C4D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pct"/>
            <w:tcBorders>
              <w:top w:val="dotted" w:color="auto" w:sz="4" w:space="0"/>
              <w:left w:val="dotted" w:color="auto" w:sz="4" w:space="0"/>
              <w:bottom w:val="dotted" w:color="auto" w:sz="4" w:space="0"/>
              <w:right w:val="dotted" w:color="auto" w:sz="4" w:space="0"/>
            </w:tcBorders>
            <w:shd w:val="clear" w:color="auto" w:fill="FFFFFF"/>
            <w:vAlign w:val="center"/>
          </w:tcPr>
          <w:p w14:paraId="76EE2EDA">
            <w:pPr>
              <w:widowControl/>
              <w:spacing w:line="600" w:lineRule="exact"/>
              <w:ind w:firstLine="0" w:firstLineChars="0"/>
              <w:jc w:val="center"/>
              <w:rPr>
                <w:rFonts w:asciiTheme="minorEastAsia" w:hAnsiTheme="minorEastAsia" w:eastAsiaTheme="minorEastAsia" w:cstheme="minorEastAsia"/>
                <w:b/>
                <w:bCs/>
                <w:color w:val="000000" w:themeColor="text1"/>
                <w:kern w:val="0"/>
                <w:sz w:val="24"/>
                <w:szCs w:val="24"/>
              </w:rPr>
            </w:pPr>
            <w:r>
              <w:rPr>
                <w:rFonts w:hint="eastAsia" w:asciiTheme="minorEastAsia" w:hAnsiTheme="minorEastAsia" w:eastAsiaTheme="minorEastAsia" w:cstheme="minorEastAsia"/>
                <w:b/>
                <w:bCs/>
                <w:color w:val="000000" w:themeColor="text1"/>
                <w:kern w:val="0"/>
                <w:sz w:val="24"/>
                <w:szCs w:val="24"/>
              </w:rPr>
              <w:t>名 称</w:t>
            </w:r>
          </w:p>
        </w:tc>
        <w:tc>
          <w:tcPr>
            <w:tcW w:w="3608" w:type="pct"/>
            <w:tcBorders>
              <w:top w:val="dotted" w:color="auto" w:sz="4" w:space="0"/>
              <w:left w:val="dotted" w:color="auto" w:sz="4" w:space="0"/>
              <w:bottom w:val="dotted" w:color="auto" w:sz="4" w:space="0"/>
              <w:right w:val="dotted" w:color="auto" w:sz="4" w:space="0"/>
            </w:tcBorders>
            <w:shd w:val="clear" w:color="auto" w:fill="FFFFFF"/>
            <w:vAlign w:val="center"/>
          </w:tcPr>
          <w:p w14:paraId="2817369A">
            <w:pPr>
              <w:widowControl/>
              <w:spacing w:line="600" w:lineRule="exact"/>
              <w:ind w:firstLine="511"/>
              <w:jc w:val="center"/>
              <w:rPr>
                <w:rFonts w:asciiTheme="minorEastAsia" w:hAnsiTheme="minorEastAsia" w:eastAsiaTheme="minorEastAsia" w:cstheme="minorEastAsia"/>
                <w:b/>
                <w:bCs/>
                <w:color w:val="000000" w:themeColor="text1"/>
                <w:kern w:val="0"/>
                <w:sz w:val="24"/>
                <w:szCs w:val="24"/>
              </w:rPr>
            </w:pPr>
            <w:r>
              <w:rPr>
                <w:rFonts w:hint="eastAsia" w:asciiTheme="minorEastAsia" w:hAnsiTheme="minorEastAsia" w:eastAsiaTheme="minorEastAsia" w:cstheme="minorEastAsia"/>
                <w:b/>
                <w:bCs/>
                <w:color w:val="000000" w:themeColor="text1"/>
                <w:kern w:val="0"/>
                <w:sz w:val="24"/>
                <w:szCs w:val="24"/>
              </w:rPr>
              <w:t>建设内容</w:t>
            </w:r>
          </w:p>
        </w:tc>
        <w:tc>
          <w:tcPr>
            <w:tcW w:w="770" w:type="pct"/>
            <w:tcBorders>
              <w:top w:val="dotted" w:color="auto" w:sz="4" w:space="0"/>
              <w:left w:val="dotted" w:color="auto" w:sz="4" w:space="0"/>
              <w:bottom w:val="dotted" w:color="auto" w:sz="4" w:space="0"/>
              <w:right w:val="dotted" w:color="auto" w:sz="4" w:space="0"/>
            </w:tcBorders>
            <w:shd w:val="clear" w:color="auto" w:fill="FFFFFF"/>
            <w:vAlign w:val="center"/>
          </w:tcPr>
          <w:p w14:paraId="3DE981A0">
            <w:pPr>
              <w:widowControl/>
              <w:spacing w:line="600" w:lineRule="exact"/>
              <w:ind w:firstLine="0" w:firstLineChars="0"/>
              <w:jc w:val="center"/>
              <w:rPr>
                <w:rFonts w:asciiTheme="minorEastAsia" w:hAnsiTheme="minorEastAsia" w:eastAsiaTheme="minorEastAsia" w:cstheme="minorEastAsia"/>
                <w:b/>
                <w:bCs/>
                <w:color w:val="000000" w:themeColor="text1"/>
                <w:kern w:val="0"/>
                <w:sz w:val="24"/>
                <w:szCs w:val="24"/>
              </w:rPr>
            </w:pPr>
            <w:r>
              <w:rPr>
                <w:rFonts w:hint="eastAsia" w:asciiTheme="minorEastAsia" w:hAnsiTheme="minorEastAsia" w:eastAsiaTheme="minorEastAsia" w:cstheme="minorEastAsia"/>
                <w:b/>
                <w:bCs/>
                <w:color w:val="000000" w:themeColor="text1"/>
                <w:kern w:val="0"/>
                <w:sz w:val="24"/>
                <w:szCs w:val="24"/>
              </w:rPr>
              <w:t>牵头单位</w:t>
            </w:r>
          </w:p>
        </w:tc>
      </w:tr>
      <w:tr w14:paraId="5BCA9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pct"/>
            <w:tcBorders>
              <w:top w:val="dotted" w:color="auto" w:sz="4" w:space="0"/>
              <w:left w:val="dotted" w:color="auto" w:sz="4" w:space="0"/>
              <w:bottom w:val="dotted" w:color="auto" w:sz="4" w:space="0"/>
              <w:right w:val="dotted" w:color="auto" w:sz="4" w:space="0"/>
            </w:tcBorders>
            <w:shd w:val="clear" w:color="auto" w:fill="FFFFFF"/>
            <w:vAlign w:val="center"/>
          </w:tcPr>
          <w:p w14:paraId="600A8EA8">
            <w:pPr>
              <w:adjustRightInd w:val="0"/>
              <w:snapToGrid w:val="0"/>
              <w:spacing w:line="600" w:lineRule="exact"/>
              <w:ind w:firstLine="0" w:firstLineChars="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文旅、农旅融合型</w:t>
            </w:r>
          </w:p>
        </w:tc>
        <w:tc>
          <w:tcPr>
            <w:tcW w:w="3608" w:type="pct"/>
            <w:tcBorders>
              <w:top w:val="dotted" w:color="auto" w:sz="4" w:space="0"/>
              <w:left w:val="dotted" w:color="auto" w:sz="4" w:space="0"/>
              <w:bottom w:val="dotted" w:color="auto" w:sz="4" w:space="0"/>
              <w:right w:val="dotted" w:color="auto" w:sz="4" w:space="0"/>
            </w:tcBorders>
            <w:shd w:val="clear" w:color="auto" w:fill="FFFFFF"/>
            <w:vAlign w:val="center"/>
          </w:tcPr>
          <w:p w14:paraId="490881F2">
            <w:pPr>
              <w:adjustRightInd w:val="0"/>
              <w:snapToGrid w:val="0"/>
              <w:spacing w:line="600" w:lineRule="exact"/>
              <w:ind w:firstLine="51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以特色农产品综合开发利用（种养+市场+加工）项目、文化遗迹保护传承开发项目带动特色小镇文旅、农旅融合型全域旅游经济发展，重点培育胡家知青点、民宿村、森林公园、稻田风景、设施农业等为主体特征的全域旅游小镇经济发展。</w:t>
            </w:r>
          </w:p>
        </w:tc>
        <w:tc>
          <w:tcPr>
            <w:tcW w:w="770" w:type="pct"/>
            <w:tcBorders>
              <w:top w:val="dotted" w:color="auto" w:sz="4" w:space="0"/>
              <w:left w:val="dotted" w:color="auto" w:sz="4" w:space="0"/>
              <w:bottom w:val="dotted" w:color="auto" w:sz="4" w:space="0"/>
              <w:right w:val="dotted" w:color="auto" w:sz="4" w:space="0"/>
            </w:tcBorders>
            <w:shd w:val="clear" w:color="auto" w:fill="FFFFFF"/>
            <w:vAlign w:val="center"/>
          </w:tcPr>
          <w:p w14:paraId="4C245567">
            <w:pPr>
              <w:adjustRightInd w:val="0"/>
              <w:snapToGrid w:val="0"/>
              <w:spacing w:line="600" w:lineRule="exact"/>
              <w:ind w:firstLine="0" w:firstLineChars="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胡家镇、沙岭镇等。</w:t>
            </w:r>
          </w:p>
        </w:tc>
      </w:tr>
      <w:tr w14:paraId="1FAAE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pct"/>
            <w:tcBorders>
              <w:top w:val="dotted" w:color="auto" w:sz="4" w:space="0"/>
              <w:left w:val="dotted" w:color="auto" w:sz="4" w:space="0"/>
              <w:bottom w:val="dotted" w:color="auto" w:sz="4" w:space="0"/>
              <w:right w:val="dotted" w:color="auto" w:sz="4" w:space="0"/>
            </w:tcBorders>
            <w:shd w:val="clear" w:color="auto" w:fill="FFFFFF"/>
            <w:vAlign w:val="center"/>
          </w:tcPr>
          <w:p w14:paraId="61D06BFA">
            <w:pPr>
              <w:adjustRightInd w:val="0"/>
              <w:snapToGrid w:val="0"/>
              <w:spacing w:line="600" w:lineRule="exact"/>
              <w:ind w:firstLine="0" w:firstLineChars="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生旅融合全域旅游型</w:t>
            </w:r>
          </w:p>
        </w:tc>
        <w:tc>
          <w:tcPr>
            <w:tcW w:w="3608" w:type="pct"/>
            <w:tcBorders>
              <w:top w:val="dotted" w:color="auto" w:sz="4" w:space="0"/>
              <w:left w:val="dotted" w:color="auto" w:sz="4" w:space="0"/>
              <w:bottom w:val="dotted" w:color="auto" w:sz="4" w:space="0"/>
              <w:right w:val="dotted" w:color="auto" w:sz="4" w:space="0"/>
            </w:tcBorders>
            <w:shd w:val="clear" w:color="auto" w:fill="FFFFFF"/>
            <w:vAlign w:val="center"/>
          </w:tcPr>
          <w:p w14:paraId="115E84EC">
            <w:pPr>
              <w:adjustRightInd w:val="0"/>
              <w:snapToGrid w:val="0"/>
              <w:spacing w:line="600" w:lineRule="exact"/>
              <w:ind w:firstLine="51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以生态遗产保护开发项目带动特色镇生旅融合型全域旅游经济发展，重点培育以高升森林小镇、太平水上公园小镇（绕阳湖等）为主体特征的全域旅游小镇经济发展。</w:t>
            </w:r>
          </w:p>
        </w:tc>
        <w:tc>
          <w:tcPr>
            <w:tcW w:w="770" w:type="pct"/>
            <w:tcBorders>
              <w:top w:val="dotted" w:color="auto" w:sz="4" w:space="0"/>
              <w:left w:val="dotted" w:color="auto" w:sz="4" w:space="0"/>
              <w:bottom w:val="dotted" w:color="auto" w:sz="4" w:space="0"/>
              <w:right w:val="dotted" w:color="auto" w:sz="4" w:space="0"/>
            </w:tcBorders>
            <w:shd w:val="clear" w:color="auto" w:fill="FFFFFF"/>
            <w:vAlign w:val="center"/>
          </w:tcPr>
          <w:p w14:paraId="749D4633">
            <w:pPr>
              <w:adjustRightInd w:val="0"/>
              <w:snapToGrid w:val="0"/>
              <w:spacing w:line="600" w:lineRule="exact"/>
              <w:ind w:firstLine="0" w:firstLineChars="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高升街道、太平街道等。</w:t>
            </w:r>
          </w:p>
        </w:tc>
      </w:tr>
      <w:tr w14:paraId="2B2E9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pct"/>
            <w:tcBorders>
              <w:top w:val="dotted" w:color="auto" w:sz="4" w:space="0"/>
              <w:left w:val="dotted" w:color="auto" w:sz="4" w:space="0"/>
              <w:bottom w:val="dotted" w:color="auto" w:sz="4" w:space="0"/>
              <w:right w:val="dotted" w:color="auto" w:sz="4" w:space="0"/>
            </w:tcBorders>
            <w:shd w:val="clear" w:color="auto" w:fill="FFFFFF"/>
            <w:vAlign w:val="center"/>
          </w:tcPr>
          <w:p w14:paraId="44B3AA6B">
            <w:pPr>
              <w:adjustRightInd w:val="0"/>
              <w:snapToGrid w:val="0"/>
              <w:spacing w:line="600" w:lineRule="exact"/>
              <w:ind w:firstLine="0" w:firstLineChars="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特色枢纽驿站型</w:t>
            </w:r>
          </w:p>
        </w:tc>
        <w:tc>
          <w:tcPr>
            <w:tcW w:w="3608" w:type="pct"/>
            <w:tcBorders>
              <w:top w:val="dotted" w:color="auto" w:sz="4" w:space="0"/>
              <w:left w:val="dotted" w:color="auto" w:sz="4" w:space="0"/>
              <w:bottom w:val="dotted" w:color="auto" w:sz="4" w:space="0"/>
              <w:right w:val="dotted" w:color="auto" w:sz="4" w:space="0"/>
            </w:tcBorders>
            <w:shd w:val="clear" w:color="auto" w:fill="FFFFFF"/>
            <w:vAlign w:val="center"/>
          </w:tcPr>
          <w:p w14:paraId="35E2B087">
            <w:pPr>
              <w:adjustRightInd w:val="0"/>
              <w:snapToGrid w:val="0"/>
              <w:spacing w:line="600" w:lineRule="exact"/>
              <w:ind w:firstLine="51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以重要交通枢纽为依托，重点突出培育陈家（通用机场）、甜水（高铁）、太平（高速）特色驿站型小镇经济，打造驿站经济综合配套服务功能综合体。</w:t>
            </w:r>
          </w:p>
        </w:tc>
        <w:tc>
          <w:tcPr>
            <w:tcW w:w="770" w:type="pct"/>
            <w:tcBorders>
              <w:top w:val="dotted" w:color="auto" w:sz="4" w:space="0"/>
              <w:left w:val="dotted" w:color="auto" w:sz="4" w:space="0"/>
              <w:bottom w:val="dotted" w:color="auto" w:sz="4" w:space="0"/>
              <w:right w:val="dotted" w:color="auto" w:sz="4" w:space="0"/>
            </w:tcBorders>
            <w:shd w:val="clear" w:color="auto" w:fill="FFFFFF"/>
            <w:vAlign w:val="center"/>
          </w:tcPr>
          <w:p w14:paraId="70E5658A">
            <w:pPr>
              <w:adjustRightInd w:val="0"/>
              <w:snapToGrid w:val="0"/>
              <w:spacing w:line="600" w:lineRule="exact"/>
              <w:ind w:firstLine="0" w:firstLineChars="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陈家镇、甜水镇、太平街道等。</w:t>
            </w:r>
          </w:p>
        </w:tc>
      </w:tr>
    </w:tbl>
    <w:p w14:paraId="6095ABB4">
      <w:pPr>
        <w:pStyle w:val="8"/>
        <w:spacing w:line="600" w:lineRule="exact"/>
        <w:ind w:firstLine="672"/>
        <w:rPr>
          <w:color w:val="000000" w:themeColor="text1"/>
        </w:rPr>
      </w:pPr>
      <w:r>
        <w:rPr>
          <w:rFonts w:hint="eastAsia"/>
          <w:color w:val="000000" w:themeColor="text1"/>
        </w:rPr>
        <w:t>三、促进城乡要素自由流动</w:t>
      </w:r>
    </w:p>
    <w:p w14:paraId="550475F2">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打通城乡人口双向流动的新通道。深化人口管理制度改革，探索消除人口双向流动的户籍壁垒试点政策，鼓励资本、知识、信息、技术、人才等要素向农村流动。加快建立和完善以就业准入、登记管理、就业服务、技能培训、社会保险和政策扶持为主要内容的城乡劳动者平等就业制度。健全就业工作基层平台，完善县城人力资源市场一站式服务大厅建设和重点镇（街道）人力资源服务场所建设，加强县——镇(街道)——村（社区）三级公共就业服务信息网络建设和专业化队伍建设。加快落实农村土地集体所有权、农户承包权、土地经营权“三权分置”，积极探索油田工矿用地再利用，建立健全城乡一体的建设用地市场</w:t>
      </w:r>
      <w:bookmarkStart w:id="224" w:name="OLE_LINK25"/>
      <w:r>
        <w:rPr>
          <w:rFonts w:hint="eastAsia" w:ascii="仿宋_GB2312" w:hAnsi="仿宋_GB2312" w:eastAsia="仿宋_GB2312" w:cs="仿宋_GB2312"/>
          <w:color w:val="000000" w:themeColor="text1"/>
          <w:kern w:val="0"/>
          <w:sz w:val="30"/>
          <w:szCs w:val="30"/>
        </w:rPr>
        <w:t>。</w:t>
      </w:r>
      <w:bookmarkEnd w:id="224"/>
      <w:r>
        <w:rPr>
          <w:rFonts w:hint="eastAsia" w:ascii="仿宋_GB2312" w:hAnsi="仿宋_GB2312" w:eastAsia="仿宋_GB2312" w:cs="仿宋_GB2312"/>
          <w:color w:val="000000" w:themeColor="text1"/>
          <w:kern w:val="0"/>
          <w:sz w:val="30"/>
          <w:szCs w:val="30"/>
        </w:rPr>
        <w:t>建设城乡一体的资本要素市场，鼓励社会资本投向农村，允许企业和社会组织在农村兴办各类事业。</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41B57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571" w:type="dxa"/>
            <w:tcBorders>
              <w:top w:val="dotted" w:color="auto" w:sz="4" w:space="0"/>
              <w:left w:val="dotted" w:color="auto" w:sz="4" w:space="0"/>
              <w:bottom w:val="dotted" w:color="auto" w:sz="4" w:space="0"/>
              <w:right w:val="dotted" w:color="auto" w:sz="4" w:space="0"/>
            </w:tcBorders>
            <w:shd w:val="clear" w:color="auto" w:fill="FFFFFF"/>
          </w:tcPr>
          <w:p w14:paraId="0E5A6F40">
            <w:pPr>
              <w:pStyle w:val="11"/>
              <w:spacing w:line="600" w:lineRule="exact"/>
              <w:ind w:firstLine="511"/>
              <w:jc w:val="center"/>
              <w:rPr>
                <w:color w:val="000000" w:themeColor="text1"/>
                <w:sz w:val="24"/>
                <w:szCs w:val="24"/>
              </w:rPr>
            </w:pPr>
            <w:r>
              <w:rPr>
                <w:rFonts w:hint="eastAsia" w:asciiTheme="minorEastAsia" w:hAnsiTheme="minorEastAsia" w:eastAsiaTheme="minorEastAsia" w:cstheme="minorEastAsia"/>
                <w:b/>
                <w:bCs/>
                <w:color w:val="000000" w:themeColor="text1"/>
                <w:sz w:val="24"/>
                <w:szCs w:val="24"/>
              </w:rPr>
              <w:t>专栏7-2 羊圈子镇全域土地综合整治试点工程</w:t>
            </w:r>
          </w:p>
        </w:tc>
      </w:tr>
      <w:tr w14:paraId="3A53E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tcBorders>
              <w:top w:val="dotted" w:color="auto" w:sz="4" w:space="0"/>
              <w:left w:val="dotted" w:color="auto" w:sz="4" w:space="0"/>
              <w:bottom w:val="dotted" w:color="auto" w:sz="4" w:space="0"/>
              <w:right w:val="dotted" w:color="auto" w:sz="4" w:space="0"/>
            </w:tcBorders>
            <w:shd w:val="clear" w:color="auto" w:fill="FFFFFF"/>
          </w:tcPr>
          <w:p w14:paraId="729C7F55">
            <w:pPr>
              <w:spacing w:line="600" w:lineRule="exact"/>
              <w:ind w:firstLine="510"/>
              <w:rPr>
                <w:rFonts w:hint="eastAsia"/>
                <w:color w:val="000000" w:themeColor="text1"/>
                <w:sz w:val="24"/>
                <w:szCs w:val="24"/>
              </w:rPr>
            </w:pPr>
            <w:r>
              <w:rPr>
                <w:rFonts w:hint="eastAsia" w:asciiTheme="minorEastAsia" w:hAnsiTheme="minorEastAsia" w:eastAsiaTheme="minorEastAsia" w:cstheme="minorEastAsia"/>
                <w:color w:val="000000" w:themeColor="text1"/>
                <w:sz w:val="24"/>
                <w:szCs w:val="24"/>
              </w:rPr>
              <w:t>按照适度规模经营和现代农业生产需要，根据国土空间规划和村庄规划，开展农用地复垦整理工作，以建成集中连片高标准基本农田为目标，统筹推进区域内农村建设用地、低效利用耕地和其他土地整治，主要包括土地平整工程、灌溉排水工程和田间道路工程。重点开展低效盐田复垦、宜农后备土地资源开发、农田基础设施建设和配套改造，提升耕地质量和产出能力，提高农业生产效率和效益。</w:t>
            </w:r>
          </w:p>
        </w:tc>
      </w:tr>
    </w:tbl>
    <w:p w14:paraId="29FFCFA1">
      <w:pPr>
        <w:pStyle w:val="7"/>
        <w:spacing w:line="600" w:lineRule="exact"/>
        <w:ind w:firstLine="0" w:firstLineChars="0"/>
        <w:jc w:val="center"/>
        <w:rPr>
          <w:color w:val="000000" w:themeColor="text1"/>
        </w:rPr>
      </w:pPr>
      <w:bookmarkStart w:id="225" w:name="_Toc16383"/>
      <w:bookmarkStart w:id="226" w:name="_Toc31903"/>
      <w:bookmarkStart w:id="227" w:name="_Toc4243"/>
      <w:bookmarkStart w:id="228" w:name="_Toc13997"/>
      <w:bookmarkStart w:id="229" w:name="_Toc5824"/>
      <w:bookmarkStart w:id="230" w:name="_Toc28937"/>
      <w:bookmarkStart w:id="231" w:name="_Toc21855"/>
      <w:r>
        <w:rPr>
          <w:rFonts w:hint="eastAsia"/>
          <w:color w:val="000000" w:themeColor="text1"/>
        </w:rPr>
        <w:t>第二节 培育乡村振兴发展新动能</w:t>
      </w:r>
      <w:bookmarkEnd w:id="225"/>
      <w:bookmarkEnd w:id="226"/>
      <w:bookmarkEnd w:id="227"/>
      <w:bookmarkEnd w:id="228"/>
      <w:bookmarkEnd w:id="229"/>
      <w:bookmarkEnd w:id="230"/>
      <w:bookmarkEnd w:id="231"/>
    </w:p>
    <w:p w14:paraId="4025C5DA">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lang w:val="zh-CN"/>
        </w:rPr>
        <w:t>按照“产业兴旺、生态宜居、乡风文明、治理有效、生活富裕”的总要求，建立健全城乡融合发展体制机制和政策体系，</w:t>
      </w:r>
      <w:r>
        <w:rPr>
          <w:rFonts w:hint="eastAsia" w:ascii="仿宋_GB2312" w:hAnsi="仿宋_GB2312" w:eastAsia="仿宋_GB2312" w:cs="仿宋_GB2312"/>
          <w:color w:val="000000" w:themeColor="text1"/>
          <w:kern w:val="0"/>
          <w:sz w:val="30"/>
          <w:szCs w:val="30"/>
        </w:rPr>
        <w:t>培育乡村振兴发展的新动能，保持乡村发展活力，发挥乡村“压舱石”和“稳定器”功能，让</w:t>
      </w:r>
      <w:r>
        <w:rPr>
          <w:rFonts w:hint="eastAsia" w:ascii="仿宋_GB2312" w:hAnsi="仿宋_GB2312" w:eastAsia="仿宋_GB2312" w:cs="仿宋_GB2312"/>
          <w:color w:val="000000" w:themeColor="text1"/>
          <w:kern w:val="0"/>
          <w:sz w:val="30"/>
          <w:szCs w:val="30"/>
          <w:lang w:val="zh-CN"/>
        </w:rPr>
        <w:t>乡村振兴持续走在全市前列。</w:t>
      </w:r>
    </w:p>
    <w:p w14:paraId="171B7269">
      <w:pPr>
        <w:pStyle w:val="8"/>
        <w:spacing w:line="600" w:lineRule="exact"/>
        <w:ind w:firstLine="672"/>
        <w:rPr>
          <w:color w:val="000000" w:themeColor="text1"/>
        </w:rPr>
      </w:pPr>
      <w:r>
        <w:rPr>
          <w:rFonts w:hint="eastAsia"/>
          <w:color w:val="000000" w:themeColor="text1"/>
        </w:rPr>
        <w:t>一、优化乡村“三生”空间</w:t>
      </w:r>
    </w:p>
    <w:p w14:paraId="38F750D5">
      <w:pPr>
        <w:adjustRightInd w:val="0"/>
        <w:snapToGrid w:val="0"/>
        <w:spacing w:line="600" w:lineRule="exact"/>
        <w:ind w:firstLine="630"/>
        <w:rPr>
          <w:rFonts w:ascii="仿宋_GB2312" w:hAnsi="仿宋_GB2312" w:eastAsia="仿宋_GB2312" w:cs="仿宋_GB2312"/>
          <w:color w:val="000000" w:themeColor="text1"/>
          <w:kern w:val="0"/>
          <w:sz w:val="30"/>
          <w:szCs w:val="30"/>
          <w:lang w:val="zh-CN"/>
        </w:rPr>
      </w:pPr>
      <w:r>
        <w:rPr>
          <w:rFonts w:hint="eastAsia" w:ascii="仿宋_GB2312" w:hAnsi="仿宋_GB2312" w:eastAsia="仿宋_GB2312" w:cs="仿宋_GB2312"/>
          <w:color w:val="000000" w:themeColor="text1"/>
          <w:kern w:val="0"/>
          <w:sz w:val="30"/>
          <w:szCs w:val="30"/>
          <w:lang w:val="zh-CN"/>
        </w:rPr>
        <w:t>以生态保护为前提，综合协调农业生产空间、农村生活空间与乡村发展空间关系，保护“绿水青山”的自然生态与耕地资源。</w:t>
      </w:r>
    </w:p>
    <w:p w14:paraId="13CE7174">
      <w:pPr>
        <w:adjustRightInd w:val="0"/>
        <w:snapToGrid w:val="0"/>
        <w:spacing w:line="600" w:lineRule="exact"/>
        <w:ind w:firstLine="630"/>
        <w:rPr>
          <w:rFonts w:ascii="仿宋_GB2312" w:hAnsi="仿宋_GB2312" w:eastAsia="仿宋_GB2312" w:cs="仿宋_GB2312"/>
          <w:color w:val="000000" w:themeColor="text1"/>
          <w:kern w:val="0"/>
          <w:sz w:val="30"/>
          <w:szCs w:val="30"/>
          <w:lang w:val="zh-CN"/>
        </w:rPr>
      </w:pPr>
      <w:r>
        <w:rPr>
          <w:rFonts w:hint="eastAsia" w:ascii="仿宋_GB2312" w:hAnsi="仿宋_GB2312" w:eastAsia="仿宋_GB2312" w:cs="仿宋_GB2312"/>
          <w:color w:val="000000" w:themeColor="text1"/>
          <w:kern w:val="0"/>
          <w:sz w:val="30"/>
          <w:szCs w:val="30"/>
          <w:lang w:val="zh-CN"/>
        </w:rPr>
        <w:t>集约优化生产空间。落实农业功能区制度，合理划定粮食生产功能区、重要农产品生产保护区以及特色农产品优势区，加强种养特色分区引导，保障农产品供给安全和稳定；严格划定湿地生态保护区、畜禽禁限适养区、辽河保护区三区，切实保护绿色可持续产业发展空间。适应农村现代产业发展需要，科学划分大米、河蟹、设施农业、畜牧业等乡村经济发展片区。</w:t>
      </w:r>
    </w:p>
    <w:p w14:paraId="3846552F">
      <w:pPr>
        <w:adjustRightInd w:val="0"/>
        <w:snapToGrid w:val="0"/>
        <w:spacing w:line="600" w:lineRule="exact"/>
        <w:ind w:firstLine="630"/>
        <w:rPr>
          <w:rFonts w:ascii="仿宋_GB2312" w:hAnsi="仿宋_GB2312" w:eastAsia="仿宋_GB2312" w:cs="仿宋_GB2312"/>
          <w:color w:val="000000" w:themeColor="text1"/>
          <w:kern w:val="0"/>
          <w:sz w:val="30"/>
          <w:szCs w:val="30"/>
          <w:lang w:val="zh-CN"/>
        </w:rPr>
      </w:pPr>
      <w:r>
        <w:rPr>
          <w:rFonts w:hint="eastAsia" w:ascii="仿宋_GB2312" w:hAnsi="仿宋_GB2312" w:eastAsia="仿宋_GB2312" w:cs="仿宋_GB2312"/>
          <w:color w:val="000000" w:themeColor="text1"/>
          <w:kern w:val="0"/>
          <w:sz w:val="30"/>
          <w:szCs w:val="30"/>
          <w:lang w:val="zh-CN"/>
        </w:rPr>
        <w:t>合理布局生活空间。科学评估县域土地现状，遵循乡村传统肌理和格局，综合协调城镇发展规划与国土空间规划，合理划定村庄发展范围红线与保护空间。合理确定乡村生活设施用地位置、规模和建设标准。规划建设和完善农村社区党群服务中心、文体活动广场、村级办公场所、公园、停车场等村落公共生活空间。配套完善乡村菜市场、快餐店、配送站等大众化服务网点，加快建设乡村电子商务服务体系。充分维护原生态村居风貌，保留乡村景观特色，保护自然和人文环境，注重</w:t>
      </w:r>
      <w:r>
        <w:rPr>
          <w:rFonts w:hint="eastAsia" w:ascii="仿宋_GB2312" w:hAnsi="仿宋_GB2312" w:eastAsia="仿宋_GB2312" w:cs="仿宋_GB2312"/>
          <w:color w:val="000000" w:themeColor="text1"/>
          <w:kern w:val="0"/>
          <w:sz w:val="30"/>
          <w:szCs w:val="30"/>
        </w:rPr>
        <w:t>植入</w:t>
      </w:r>
      <w:r>
        <w:rPr>
          <w:rFonts w:hint="eastAsia" w:ascii="仿宋_GB2312" w:hAnsi="仿宋_GB2312" w:eastAsia="仿宋_GB2312" w:cs="仿宋_GB2312"/>
          <w:color w:val="000000" w:themeColor="text1"/>
          <w:kern w:val="0"/>
          <w:sz w:val="30"/>
          <w:szCs w:val="30"/>
          <w:lang w:val="zh-CN"/>
        </w:rPr>
        <w:t>时代感、现代性</w:t>
      </w:r>
      <w:r>
        <w:rPr>
          <w:rFonts w:hint="eastAsia" w:ascii="仿宋_GB2312" w:hAnsi="仿宋_GB2312" w:eastAsia="仿宋_GB2312" w:cs="仿宋_GB2312"/>
          <w:color w:val="000000" w:themeColor="text1"/>
          <w:kern w:val="0"/>
          <w:sz w:val="30"/>
          <w:szCs w:val="30"/>
        </w:rPr>
        <w:t>元素</w:t>
      </w:r>
      <w:r>
        <w:rPr>
          <w:rFonts w:hint="eastAsia" w:ascii="仿宋_GB2312" w:hAnsi="仿宋_GB2312" w:eastAsia="仿宋_GB2312" w:cs="仿宋_GB2312"/>
          <w:color w:val="000000" w:themeColor="text1"/>
          <w:kern w:val="0"/>
          <w:sz w:val="30"/>
          <w:szCs w:val="30"/>
          <w:lang w:val="zh-CN"/>
        </w:rPr>
        <w:t>，强化空间利用的人性化、多样化。</w:t>
      </w:r>
    </w:p>
    <w:p w14:paraId="0F37FEBC">
      <w:pPr>
        <w:adjustRightInd w:val="0"/>
        <w:snapToGrid w:val="0"/>
        <w:spacing w:line="600" w:lineRule="exact"/>
        <w:ind w:firstLine="630"/>
        <w:rPr>
          <w:rFonts w:ascii="仿宋_GB2312" w:hAnsi="仿宋_GB2312" w:eastAsia="仿宋_GB2312" w:cs="仿宋_GB2312"/>
          <w:color w:val="000000" w:themeColor="text1"/>
          <w:kern w:val="0"/>
          <w:sz w:val="30"/>
          <w:szCs w:val="30"/>
          <w:lang w:val="zh-CN"/>
        </w:rPr>
      </w:pPr>
      <w:r>
        <w:rPr>
          <w:rFonts w:hint="eastAsia" w:ascii="仿宋_GB2312" w:hAnsi="仿宋_GB2312" w:eastAsia="仿宋_GB2312" w:cs="仿宋_GB2312"/>
          <w:color w:val="000000" w:themeColor="text1"/>
          <w:kern w:val="0"/>
          <w:sz w:val="30"/>
          <w:szCs w:val="30"/>
          <w:lang w:val="zh-CN"/>
        </w:rPr>
        <w:t>严格保护生态空间。划定生态保护红线，建立资源环境承载能力监测预警机制。保护辽河口湿地等自然景观和古村落、田园景观，创造碧水蓝天、人与自然和谐相处的良好生态环境。加强对自然生态空间的整体保护，修复，提升生态功能和服务价值。全面实施产业准入负面清单制度，推动各镇（</w:t>
      </w:r>
      <w:r>
        <w:rPr>
          <w:rFonts w:hint="eastAsia" w:ascii="仿宋_GB2312" w:hAnsi="仿宋_GB2312" w:eastAsia="仿宋_GB2312" w:cs="仿宋_GB2312"/>
          <w:color w:val="000000" w:themeColor="text1"/>
          <w:kern w:val="0"/>
          <w:sz w:val="30"/>
          <w:szCs w:val="30"/>
        </w:rPr>
        <w:t>街道</w:t>
      </w:r>
      <w:r>
        <w:rPr>
          <w:rFonts w:hint="eastAsia" w:ascii="仿宋_GB2312" w:hAnsi="仿宋_GB2312" w:eastAsia="仿宋_GB2312" w:cs="仿宋_GB2312"/>
          <w:color w:val="000000" w:themeColor="text1"/>
          <w:kern w:val="0"/>
          <w:sz w:val="30"/>
          <w:szCs w:val="30"/>
          <w:lang w:val="zh-CN"/>
        </w:rPr>
        <w:t>）因地制宜制定禁止和限制</w:t>
      </w:r>
      <w:r>
        <w:rPr>
          <w:rFonts w:hint="eastAsia" w:ascii="仿宋_GB2312" w:hAnsi="仿宋_GB2312" w:eastAsia="仿宋_GB2312" w:cs="仿宋_GB2312"/>
          <w:color w:val="000000" w:themeColor="text1"/>
          <w:kern w:val="0"/>
          <w:sz w:val="30"/>
          <w:szCs w:val="30"/>
        </w:rPr>
        <w:t>类</w:t>
      </w:r>
      <w:r>
        <w:rPr>
          <w:rFonts w:hint="eastAsia" w:ascii="仿宋_GB2312" w:hAnsi="仿宋_GB2312" w:eastAsia="仿宋_GB2312" w:cs="仿宋_GB2312"/>
          <w:color w:val="000000" w:themeColor="text1"/>
          <w:kern w:val="0"/>
          <w:sz w:val="30"/>
          <w:szCs w:val="30"/>
          <w:lang w:val="zh-CN"/>
        </w:rPr>
        <w:t>产业目录，明确产业发展方向和开发强度，强化准入管理和底线约束。</w:t>
      </w:r>
    </w:p>
    <w:p w14:paraId="14BA977D">
      <w:pPr>
        <w:pStyle w:val="8"/>
        <w:spacing w:line="600" w:lineRule="exact"/>
        <w:ind w:firstLine="672"/>
        <w:rPr>
          <w:color w:val="000000" w:themeColor="text1"/>
        </w:rPr>
      </w:pPr>
      <w:r>
        <w:rPr>
          <w:rFonts w:hint="eastAsia"/>
          <w:color w:val="000000" w:themeColor="text1"/>
        </w:rPr>
        <w:t>二、塑造新时代乡村功能形象</w:t>
      </w:r>
    </w:p>
    <w:p w14:paraId="1DE15840">
      <w:pPr>
        <w:adjustRightInd w:val="0"/>
        <w:snapToGrid w:val="0"/>
        <w:spacing w:line="600" w:lineRule="exact"/>
        <w:ind w:firstLine="630"/>
        <w:rPr>
          <w:rFonts w:ascii="仿宋_GB2312" w:hAnsi="仿宋_GB2312" w:eastAsia="仿宋_GB2312" w:cs="仿宋_GB2312"/>
          <w:color w:val="000000" w:themeColor="text1"/>
          <w:kern w:val="0"/>
          <w:sz w:val="30"/>
          <w:szCs w:val="30"/>
          <w:lang w:val="zh-CN"/>
        </w:rPr>
      </w:pPr>
      <w:r>
        <w:rPr>
          <w:rFonts w:hint="eastAsia" w:ascii="仿宋_GB2312" w:hAnsi="仿宋_GB2312" w:eastAsia="仿宋_GB2312" w:cs="仿宋_GB2312"/>
          <w:color w:val="000000" w:themeColor="text1"/>
          <w:kern w:val="0"/>
          <w:sz w:val="30"/>
          <w:szCs w:val="30"/>
          <w:lang w:val="zh-CN"/>
        </w:rPr>
        <w:t>深入实施乡村振兴战略，兼顾环境保护和经济发展，努力实现美丽生态、美丽经济、美丽生活的“三美融合”，绘就农村发展新画卷。以规划引领乡村建设发展，健全镇村规划体系，夯实农村发展基础，依托乡村生态、文化、社会的价值优势，唤醒乡村潜能、均衡配置资源，把乡村优美环境、人文风俗、历史文化</w:t>
      </w:r>
      <w:r>
        <w:rPr>
          <w:rFonts w:hint="eastAsia" w:ascii="仿宋_GB2312" w:hAnsi="仿宋_GB2312" w:eastAsia="仿宋_GB2312" w:cs="仿宋_GB2312"/>
          <w:color w:val="000000" w:themeColor="text1"/>
          <w:kern w:val="0"/>
          <w:sz w:val="30"/>
          <w:szCs w:val="30"/>
        </w:rPr>
        <w:t>等</w:t>
      </w:r>
      <w:r>
        <w:rPr>
          <w:rFonts w:hint="eastAsia" w:ascii="仿宋_GB2312" w:hAnsi="仿宋_GB2312" w:eastAsia="仿宋_GB2312" w:cs="仿宋_GB2312"/>
          <w:color w:val="000000" w:themeColor="text1"/>
          <w:kern w:val="0"/>
          <w:sz w:val="30"/>
          <w:szCs w:val="30"/>
          <w:lang w:val="zh-CN"/>
        </w:rPr>
        <w:t>特色资源在空间上进行集中和集聚。统筹规划管控乡村整体景观风貌，统筹农房单体个性设计，建设立足乡土社会、富有地域特色、承载田园乡愁、体现现代文明的升级版乡村，做到“一村一魂、一村一韵”，避免千村一面，防止乡村景观城市化。力争到2025年，全县生态宜居美丽乡村建设取得重要突破，初步实现农业农村现代化。</w:t>
      </w:r>
    </w:p>
    <w:p w14:paraId="684EA684">
      <w:pPr>
        <w:pStyle w:val="8"/>
        <w:spacing w:line="600" w:lineRule="exact"/>
        <w:ind w:firstLine="672"/>
        <w:rPr>
          <w:color w:val="000000" w:themeColor="text1"/>
        </w:rPr>
      </w:pPr>
      <w:r>
        <w:rPr>
          <w:rFonts w:hint="eastAsia"/>
          <w:color w:val="000000" w:themeColor="text1"/>
        </w:rPr>
        <w:t>三、培育乡村新产业新业态</w:t>
      </w:r>
    </w:p>
    <w:p w14:paraId="621B4F07">
      <w:pPr>
        <w:adjustRightInd w:val="0"/>
        <w:snapToGrid w:val="0"/>
        <w:spacing w:line="600" w:lineRule="exact"/>
        <w:ind w:firstLine="630"/>
        <w:rPr>
          <w:rFonts w:ascii="仿宋_GB2312" w:hAnsi="仿宋_GB2312" w:eastAsia="仿宋_GB2312" w:cs="仿宋_GB2312"/>
          <w:color w:val="000000" w:themeColor="text1"/>
          <w:kern w:val="0"/>
          <w:sz w:val="30"/>
          <w:szCs w:val="30"/>
          <w:lang w:val="zh-CN"/>
        </w:rPr>
      </w:pPr>
      <w:r>
        <w:rPr>
          <w:rFonts w:hint="eastAsia" w:ascii="仿宋_GB2312" w:hAnsi="仿宋_GB2312" w:eastAsia="仿宋_GB2312" w:cs="仿宋_GB2312"/>
          <w:color w:val="000000" w:themeColor="text1"/>
          <w:kern w:val="0"/>
          <w:sz w:val="30"/>
          <w:szCs w:val="30"/>
          <w:lang w:val="zh-CN"/>
        </w:rPr>
        <w:t>以壮大新产业新业态、培育新主体为目标，强化政策创新和制度设计，激活农村经济发展活力，构建盘山乡村振兴多模式推进、多主体参与、多要素发力、多业态打造的多元化新格局。重点推动农业与商贸物流、储藏保鲜、中央厨房、直供直销、个人定制等产业配套发展，推动农业与文化、教育、生态、康养等产业融合发展，推动农业与信息产业融合，向在线农业、智慧农业、农业众筹等新技术产业类型渗透，催生产城融合型特色小镇、田园综合体快速发展。全力扶持新型农业经营主体创建农业产业化示范基地和现代农业示范区；合理布局农产品集散中心、田间地头冷链物流服务中心和展销中心，将乡村生产逐步融入区域性产业链和生产网络。</w:t>
      </w:r>
    </w:p>
    <w:p w14:paraId="770580EB">
      <w:pPr>
        <w:pStyle w:val="8"/>
        <w:spacing w:line="600" w:lineRule="exact"/>
        <w:ind w:firstLine="672"/>
        <w:rPr>
          <w:color w:val="000000" w:themeColor="text1"/>
        </w:rPr>
      </w:pPr>
      <w:r>
        <w:rPr>
          <w:rFonts w:hint="eastAsia"/>
          <w:color w:val="000000" w:themeColor="text1"/>
        </w:rPr>
        <w:t>四、建立健全城乡一体的基本公共服务体系</w:t>
      </w:r>
    </w:p>
    <w:p w14:paraId="76386CAB">
      <w:pPr>
        <w:adjustRightInd w:val="0"/>
        <w:snapToGrid w:val="0"/>
        <w:spacing w:line="600" w:lineRule="exact"/>
        <w:ind w:firstLine="630"/>
        <w:rPr>
          <w:rFonts w:ascii="仿宋_GB2312" w:hAnsi="仿宋_GB2312" w:eastAsia="仿宋_GB2312" w:cs="仿宋_GB2312"/>
          <w:color w:val="000000" w:themeColor="text1"/>
          <w:kern w:val="0"/>
          <w:sz w:val="30"/>
          <w:szCs w:val="30"/>
          <w:lang w:val="zh-CN"/>
        </w:rPr>
      </w:pPr>
      <w:r>
        <w:rPr>
          <w:rFonts w:hint="eastAsia" w:ascii="仿宋_GB2312" w:hAnsi="仿宋_GB2312" w:eastAsia="仿宋_GB2312" w:cs="仿宋_GB2312"/>
          <w:color w:val="000000" w:themeColor="text1"/>
          <w:kern w:val="0"/>
          <w:sz w:val="30"/>
          <w:szCs w:val="30"/>
          <w:lang w:val="zh-CN"/>
        </w:rPr>
        <w:t>实现“义务教育、基本社会保障和基本医疗卫生”等基本公共服务全覆盖。不断完善以城乡居民最低生活保障制度为基础，以教育、医疗、住房、就业、灾害、法律等专项救助为辅助的城乡社会救助体系，逐步建立全方位、广覆盖、多层次的盘山特色公共服务体系，为聚人气、增人口打下坚实的基础。力争到2025年，全县优质资源覆盖面进一步提高，率先实现基本公共服务均衡发展，基本公共服务均等化实现程度省内领先。</w:t>
      </w:r>
    </w:p>
    <w:p w14:paraId="7FA71BE7">
      <w:pPr>
        <w:pStyle w:val="7"/>
        <w:spacing w:line="600" w:lineRule="exact"/>
        <w:ind w:firstLine="0" w:firstLineChars="0"/>
        <w:jc w:val="center"/>
        <w:rPr>
          <w:color w:val="000000" w:themeColor="text1"/>
        </w:rPr>
      </w:pPr>
      <w:bookmarkStart w:id="232" w:name="_Toc13863"/>
      <w:bookmarkStart w:id="233" w:name="_Toc32270"/>
      <w:bookmarkStart w:id="234" w:name="_Toc30361"/>
      <w:bookmarkStart w:id="235" w:name="_Toc31924"/>
      <w:bookmarkStart w:id="236" w:name="_Toc17337"/>
      <w:r>
        <w:rPr>
          <w:rFonts w:hint="eastAsia"/>
          <w:color w:val="000000" w:themeColor="text1"/>
        </w:rPr>
        <w:t>第三节加快新型城镇化建设</w:t>
      </w:r>
      <w:bookmarkEnd w:id="232"/>
      <w:bookmarkEnd w:id="233"/>
      <w:bookmarkEnd w:id="234"/>
      <w:bookmarkEnd w:id="235"/>
      <w:bookmarkEnd w:id="236"/>
    </w:p>
    <w:p w14:paraId="6105FB8D">
      <w:pPr>
        <w:adjustRightInd w:val="0"/>
        <w:snapToGrid w:val="0"/>
        <w:spacing w:line="600" w:lineRule="exact"/>
        <w:ind w:firstLine="630"/>
        <w:rPr>
          <w:rFonts w:ascii="仿宋_GB2312" w:hAnsi="仿宋_GB2312" w:eastAsia="仿宋_GB2312" w:cs="仿宋_GB2312"/>
          <w:color w:val="000000" w:themeColor="text1"/>
          <w:kern w:val="0"/>
          <w:sz w:val="30"/>
          <w:szCs w:val="30"/>
          <w:lang w:val="zh-CN"/>
        </w:rPr>
      </w:pPr>
      <w:r>
        <w:rPr>
          <w:rFonts w:hint="eastAsia" w:ascii="仿宋_GB2312" w:hAnsi="仿宋_GB2312" w:eastAsia="仿宋_GB2312" w:cs="仿宋_GB2312"/>
          <w:color w:val="000000" w:themeColor="text1"/>
          <w:kern w:val="0"/>
          <w:sz w:val="30"/>
          <w:szCs w:val="30"/>
          <w:lang w:val="zh-CN"/>
        </w:rPr>
        <w:t>全面贯彻落实党中央以人为核心的新型城镇化战略部署，坚持城市建设和城镇化同步推进，不断提高城镇基础设施和公共服务水平，使城乡居民平等参与城镇化进程，共同分享城镇化发展成果，过上更加幸福美好的生活。</w:t>
      </w:r>
    </w:p>
    <w:p w14:paraId="4DCDB012">
      <w:pPr>
        <w:pStyle w:val="8"/>
        <w:spacing w:line="600" w:lineRule="exact"/>
        <w:ind w:firstLine="672"/>
        <w:rPr>
          <w:rFonts w:eastAsia="华文楷体"/>
          <w:color w:val="000000" w:themeColor="text1"/>
          <w:sz w:val="30"/>
        </w:rPr>
      </w:pPr>
      <w:r>
        <w:rPr>
          <w:rFonts w:hint="eastAsia"/>
          <w:color w:val="000000" w:themeColor="text1"/>
        </w:rPr>
        <w:t>一、有序推进农业转移人口市民化</w:t>
      </w:r>
    </w:p>
    <w:p w14:paraId="1D5CBFDD">
      <w:pPr>
        <w:adjustRightInd w:val="0"/>
        <w:snapToGrid w:val="0"/>
        <w:spacing w:line="600" w:lineRule="exact"/>
        <w:ind w:firstLine="630"/>
        <w:rPr>
          <w:rFonts w:ascii="仿宋_GB2312" w:hAnsi="仿宋_GB2312" w:eastAsia="仿宋_GB2312" w:cs="仿宋_GB2312"/>
          <w:color w:val="000000" w:themeColor="text1"/>
          <w:kern w:val="0"/>
          <w:sz w:val="30"/>
          <w:szCs w:val="30"/>
          <w:lang w:val="zh-CN"/>
        </w:rPr>
      </w:pPr>
      <w:r>
        <w:rPr>
          <w:rFonts w:hint="eastAsia" w:ascii="仿宋_GB2312" w:hAnsi="仿宋_GB2312" w:eastAsia="仿宋_GB2312" w:cs="仿宋_GB2312"/>
          <w:color w:val="000000" w:themeColor="text1"/>
          <w:kern w:val="0"/>
          <w:sz w:val="30"/>
          <w:szCs w:val="30"/>
          <w:lang w:val="zh-CN"/>
        </w:rPr>
        <w:t>积极探索新县城和建制镇街落户政策，以促进农民进城就业、生活为目标，着力解决已经转移到城镇就业的农业转移人口落户问题，主动适应农业转移人口高流动性要求，尽快实现社会保险权益可顺畅转移、接续，逐步完善教育、就业、医疗卫生、养老、住房、基本生活保障等公共服务体系。坚守“房子是用来住的，不是用来炒的”定位不动摇，始终将其作为房地产市场平稳健康发展的总体要求，积极完善多层次、多元化的住房保障体系，逐步将农业转移人口纳入住房保障</w:t>
      </w:r>
      <w:r>
        <w:rPr>
          <w:rFonts w:hint="eastAsia" w:ascii="仿宋_GB2312" w:hAnsi="仿宋_GB2312" w:eastAsia="仿宋_GB2312" w:cs="仿宋_GB2312"/>
          <w:color w:val="000000" w:themeColor="text1"/>
          <w:kern w:val="0"/>
          <w:sz w:val="30"/>
          <w:szCs w:val="30"/>
        </w:rPr>
        <w:t>范围</w:t>
      </w:r>
      <w:r>
        <w:rPr>
          <w:rFonts w:hint="eastAsia" w:ascii="仿宋_GB2312" w:hAnsi="仿宋_GB2312" w:eastAsia="仿宋_GB2312" w:cs="仿宋_GB2312"/>
          <w:color w:val="000000" w:themeColor="text1"/>
          <w:kern w:val="0"/>
          <w:sz w:val="30"/>
          <w:szCs w:val="30"/>
          <w:lang w:val="zh-CN"/>
        </w:rPr>
        <w:t>，满足刚性和改善型需求。积极推动人才落户，</w:t>
      </w:r>
      <w:r>
        <w:rPr>
          <w:rFonts w:hint="eastAsia" w:ascii="仿宋_GB2312" w:hAnsi="仿宋_GB2312" w:eastAsia="仿宋_GB2312" w:cs="仿宋_GB2312"/>
          <w:color w:val="000000" w:themeColor="text1"/>
          <w:kern w:val="0"/>
          <w:sz w:val="30"/>
          <w:szCs w:val="30"/>
        </w:rPr>
        <w:t>深度落实</w:t>
      </w:r>
      <w:r>
        <w:rPr>
          <w:rFonts w:hint="eastAsia" w:ascii="仿宋_GB2312" w:hAnsi="仿宋_GB2312" w:eastAsia="仿宋_GB2312" w:cs="仿宋_GB2312"/>
          <w:color w:val="000000" w:themeColor="text1"/>
          <w:kern w:val="0"/>
          <w:sz w:val="30"/>
          <w:szCs w:val="30"/>
          <w:lang w:val="zh-CN"/>
        </w:rPr>
        <w:t>“人地钱挂钩”配套政策改革，探索实施落户“零门槛”，同步加强农业转移人口教育和培训，提高农民工的就业能力和收入水平，确保“来得了、过得好”。</w:t>
      </w:r>
    </w:p>
    <w:p w14:paraId="39E038A8">
      <w:pPr>
        <w:pStyle w:val="8"/>
        <w:spacing w:line="600" w:lineRule="exact"/>
        <w:ind w:firstLine="672"/>
        <w:rPr>
          <w:rFonts w:ascii="楷体_GB2312"/>
          <w:color w:val="000000" w:themeColor="text1"/>
          <w:szCs w:val="32"/>
        </w:rPr>
      </w:pPr>
      <w:r>
        <w:rPr>
          <w:rFonts w:hint="eastAsia" w:ascii="楷体_GB2312"/>
          <w:color w:val="000000" w:themeColor="text1"/>
          <w:szCs w:val="32"/>
        </w:rPr>
        <w:t>二、提高城镇化管理和城镇建设水平</w:t>
      </w:r>
    </w:p>
    <w:p w14:paraId="29DABC49">
      <w:pPr>
        <w:adjustRightInd w:val="0"/>
        <w:snapToGrid w:val="0"/>
        <w:spacing w:line="600" w:lineRule="exact"/>
        <w:ind w:firstLine="630"/>
        <w:rPr>
          <w:rFonts w:ascii="仿宋_GB2312" w:hAnsi="仿宋_GB2312" w:eastAsia="仿宋_GB2312" w:cs="仿宋_GB2312"/>
          <w:color w:val="000000" w:themeColor="text1"/>
          <w:kern w:val="0"/>
          <w:sz w:val="30"/>
          <w:szCs w:val="30"/>
          <w:lang w:val="zh-CN"/>
        </w:rPr>
      </w:pPr>
      <w:r>
        <w:rPr>
          <w:rFonts w:hint="eastAsia" w:ascii="仿宋_GB2312" w:hAnsi="仿宋_GB2312" w:eastAsia="仿宋_GB2312" w:cs="仿宋_GB2312"/>
          <w:color w:val="000000" w:themeColor="text1"/>
          <w:kern w:val="0"/>
          <w:sz w:val="30"/>
          <w:szCs w:val="30"/>
          <w:lang w:val="zh-CN"/>
        </w:rPr>
        <w:t>坚持强化新型城镇化宏观管理，转变发展方式，完善治理体系，建立多元可持续的资金保障机制，不断提升人居环境质量和人民生活质量，建设和谐宜居、富有活力的现代新型城镇</w:t>
      </w:r>
      <w:r>
        <w:rPr>
          <w:rFonts w:hint="eastAsia" w:ascii="仿宋_GB2312" w:hAnsi="仿宋_GB2312" w:eastAsia="仿宋_GB2312" w:cs="仿宋_GB2312"/>
          <w:color w:val="000000" w:themeColor="text1"/>
          <w:kern w:val="0"/>
          <w:sz w:val="30"/>
          <w:szCs w:val="30"/>
        </w:rPr>
        <w:t>体系</w:t>
      </w:r>
      <w:r>
        <w:rPr>
          <w:rFonts w:hint="eastAsia" w:ascii="仿宋_GB2312" w:hAnsi="仿宋_GB2312" w:eastAsia="仿宋_GB2312" w:cs="仿宋_GB2312"/>
          <w:color w:val="000000" w:themeColor="text1"/>
          <w:kern w:val="0"/>
          <w:sz w:val="30"/>
          <w:szCs w:val="30"/>
          <w:lang w:val="zh-CN"/>
        </w:rPr>
        <w:t>。以建设国家新型城镇化示范县为牵导，统筹空间、规模、产业三大结构，提高城镇化建设全局性；统筹规划、建设、管理三大环节，提高城镇化建设的系统性；统筹改革、科技、文化三大动力，提高新型城镇发展的持续性；统筹生产、生活、生态三大布局，提高新型城镇发展的宜居性；统筹政府、社会、市民三大主体，提高各方推动新型城镇发展的积极性。重点抓好国家新型城镇化支持政策对接和项目扶持资金申请工作，加快推进中医院改扩建及重大疫情救助基地、城镇污水处理全覆盖基础设施等81个重点项目建设。</w:t>
      </w:r>
    </w:p>
    <w:p w14:paraId="225FB731">
      <w:pPr>
        <w:pStyle w:val="8"/>
        <w:spacing w:line="600" w:lineRule="exact"/>
        <w:ind w:firstLine="672"/>
        <w:rPr>
          <w:rFonts w:ascii="楷体_GB2312"/>
          <w:color w:val="000000" w:themeColor="text1"/>
          <w:szCs w:val="32"/>
        </w:rPr>
      </w:pPr>
      <w:r>
        <w:rPr>
          <w:rFonts w:hint="eastAsia" w:ascii="楷体_GB2312"/>
          <w:color w:val="000000" w:themeColor="text1"/>
          <w:szCs w:val="32"/>
        </w:rPr>
        <w:t>三、推进城乡基础设施一体化规划建设</w:t>
      </w:r>
    </w:p>
    <w:p w14:paraId="3D1FDE06">
      <w:pPr>
        <w:adjustRightInd w:val="0"/>
        <w:snapToGrid w:val="0"/>
        <w:spacing w:line="600" w:lineRule="exact"/>
        <w:ind w:firstLine="630"/>
        <w:rPr>
          <w:rFonts w:ascii="仿宋_GB2312" w:hAnsi="仿宋_GB2312" w:eastAsia="仿宋_GB2312" w:cs="仿宋_GB2312"/>
          <w:color w:val="000000" w:themeColor="text1"/>
          <w:kern w:val="0"/>
          <w:sz w:val="30"/>
          <w:szCs w:val="30"/>
          <w:lang w:val="zh-CN"/>
        </w:rPr>
      </w:pPr>
      <w:r>
        <w:rPr>
          <w:rFonts w:hint="eastAsia" w:ascii="仿宋_GB2312" w:hAnsi="仿宋_GB2312" w:eastAsia="仿宋_GB2312" w:cs="仿宋_GB2312"/>
          <w:color w:val="000000" w:themeColor="text1"/>
          <w:kern w:val="0"/>
          <w:sz w:val="30"/>
          <w:szCs w:val="30"/>
          <w:lang w:val="zh-CN"/>
        </w:rPr>
        <w:t>全力推进城乡“五网”建设，加快构建通达通畅的交通网、稳定可靠的能源网、泛在先进的信息网、高效便捷的物流网、功能完善的地下管网，全面提升农村与中心城区基础设施的发展质量和效益。构建通达通畅的城乡交通网，打通农村连接县域的交通大动脉，加快推进中盘线拓宽改造工程，实现与县中心城市经济圈路网的互联互通；农村公路维修改造7</w:t>
      </w:r>
      <w:r>
        <w:rPr>
          <w:rFonts w:ascii="仿宋_GB2312" w:hAnsi="仿宋_GB2312" w:eastAsia="仿宋_GB2312" w:cs="仿宋_GB2312"/>
          <w:color w:val="000000" w:themeColor="text1"/>
          <w:kern w:val="0"/>
          <w:sz w:val="30"/>
          <w:szCs w:val="30"/>
          <w:lang w:val="zh-CN"/>
        </w:rPr>
        <w:t>00</w:t>
      </w:r>
      <w:r>
        <w:rPr>
          <w:rFonts w:hint="eastAsia" w:ascii="仿宋_GB2312" w:hAnsi="仿宋_GB2312" w:eastAsia="仿宋_GB2312" w:cs="仿宋_GB2312"/>
          <w:color w:val="000000" w:themeColor="text1"/>
          <w:kern w:val="0"/>
          <w:sz w:val="30"/>
          <w:szCs w:val="30"/>
          <w:lang w:val="zh-CN"/>
        </w:rPr>
        <w:t>公里，推动全县“四好农村路”高质量发展试点示范，全面形成可复制、可推广的盘山县“四好农村路”高质量发展模式，为乡村振兴提供支撑，为交通强国当好先行。建设覆盖城乡的清洁安全高效能源网，完善电力、热力、燃气管网等能源输配设施，努力打造智慧能源系统建设先行区；围绕全市新型基础设施建设布局，加快5G网络建设,使光纤网络和5G网络全面覆盖城市和农村地区；优化邮政快递、电商物流网络节点布局,全面加快乡村电子商务服务体系建设，完善城乡物流配送网络，构建繁荣舒适的生活圈、完善便捷的服务圈；全面推进污水管网建设,逐步消除城区、乡镇生活污水收集处理设施空白区,积极推进污水处理厂及配套管网工程项目建设。</w:t>
      </w:r>
    </w:p>
    <w:p w14:paraId="229E44E4">
      <w:pPr>
        <w:pStyle w:val="11"/>
        <w:spacing w:line="600" w:lineRule="exact"/>
        <w:ind w:firstLine="630"/>
        <w:rPr>
          <w:rFonts w:ascii="仿宋_GB2312" w:hAnsi="仿宋_GB2312" w:eastAsia="仿宋_GB2312" w:cs="仿宋_GB2312"/>
          <w:color w:val="000000" w:themeColor="text1"/>
          <w:kern w:val="0"/>
          <w:sz w:val="30"/>
          <w:szCs w:val="30"/>
          <w:lang w:val="zh-CN"/>
        </w:rPr>
      </w:pPr>
    </w:p>
    <w:p w14:paraId="77320352">
      <w:pPr>
        <w:spacing w:line="600" w:lineRule="exact"/>
        <w:ind w:firstLine="590"/>
        <w:rPr>
          <w:rFonts w:hint="eastAsia" w:eastAsia="方正小标宋简体"/>
          <w:color w:val="000000" w:themeColor="text1"/>
          <w:szCs w:val="32"/>
          <w:lang w:val="zh-CN"/>
        </w:rPr>
      </w:pPr>
    </w:p>
    <w:p w14:paraId="69936DDD">
      <w:pPr>
        <w:pStyle w:val="6"/>
        <w:spacing w:line="600" w:lineRule="exact"/>
        <w:ind w:firstLine="0" w:firstLineChars="0"/>
        <w:jc w:val="center"/>
        <w:rPr>
          <w:color w:val="000000" w:themeColor="text1"/>
          <w:sz w:val="36"/>
          <w:szCs w:val="36"/>
        </w:rPr>
      </w:pPr>
      <w:bookmarkStart w:id="237" w:name="_Toc17927"/>
      <w:bookmarkStart w:id="238" w:name="_Toc23560"/>
      <w:bookmarkStart w:id="239" w:name="_Toc22994"/>
      <w:bookmarkStart w:id="240" w:name="_Toc29846"/>
      <w:bookmarkStart w:id="241" w:name="_Toc15720"/>
      <w:bookmarkStart w:id="242" w:name="_Toc29920"/>
      <w:bookmarkStart w:id="243" w:name="_Toc16844"/>
      <w:r>
        <w:rPr>
          <w:rFonts w:hint="eastAsia"/>
          <w:color w:val="000000" w:themeColor="text1"/>
          <w:sz w:val="36"/>
          <w:szCs w:val="36"/>
        </w:rPr>
        <w:t>第八章 改革开放 加快融入“双循环”发展新格局</w:t>
      </w:r>
      <w:bookmarkEnd w:id="237"/>
      <w:bookmarkEnd w:id="238"/>
      <w:bookmarkEnd w:id="239"/>
      <w:bookmarkEnd w:id="240"/>
      <w:bookmarkEnd w:id="241"/>
      <w:bookmarkEnd w:id="242"/>
      <w:bookmarkEnd w:id="243"/>
    </w:p>
    <w:p w14:paraId="0C193078">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抢抓国家推进“一带一路”建设、东北振兴发展等重大历史机遇，全面深化各领域改革，抓重点、补短板、强弱项，加快区域协同合作，在强化区域合作中拓展新的发展空间，在重要领域和关键环节取得新突破，努力形成有利于盘山绿色转型、全面振兴的全方位、宽领域、多层次、高水平全面开放新格局。</w:t>
      </w:r>
    </w:p>
    <w:p w14:paraId="6FF4C3F2">
      <w:pPr>
        <w:pStyle w:val="7"/>
        <w:adjustRightInd w:val="0"/>
        <w:snapToGrid w:val="0"/>
        <w:spacing w:beforeLines="50" w:line="600" w:lineRule="exact"/>
        <w:ind w:firstLine="0" w:firstLineChars="0"/>
        <w:jc w:val="center"/>
        <w:rPr>
          <w:color w:val="000000" w:themeColor="text1"/>
        </w:rPr>
      </w:pPr>
      <w:bookmarkStart w:id="244" w:name="_Toc18109"/>
      <w:bookmarkStart w:id="245" w:name="_Toc14724"/>
      <w:bookmarkStart w:id="246" w:name="_Toc8709"/>
      <w:bookmarkStart w:id="247" w:name="_Toc10493"/>
      <w:bookmarkStart w:id="248" w:name="_Toc6956"/>
      <w:bookmarkStart w:id="249" w:name="_Toc26080"/>
      <w:bookmarkStart w:id="250" w:name="_Toc17609"/>
      <w:r>
        <w:rPr>
          <w:rFonts w:hint="eastAsia"/>
          <w:color w:val="000000" w:themeColor="text1"/>
        </w:rPr>
        <w:t>第一节打造对外开放发展新高地</w:t>
      </w:r>
      <w:bookmarkEnd w:id="244"/>
      <w:bookmarkEnd w:id="245"/>
      <w:bookmarkEnd w:id="246"/>
      <w:bookmarkEnd w:id="247"/>
      <w:bookmarkEnd w:id="248"/>
      <w:bookmarkEnd w:id="249"/>
      <w:bookmarkEnd w:id="250"/>
    </w:p>
    <w:p w14:paraId="268C347E">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着眼于进一步打通盘山对外开放的大通道，构建开放合作的大枢纽，拓展开放合作的新空间，打造对外开放发展的新高地。</w:t>
      </w:r>
    </w:p>
    <w:p w14:paraId="45067316">
      <w:pPr>
        <w:pStyle w:val="8"/>
        <w:spacing w:line="600" w:lineRule="exact"/>
        <w:ind w:firstLine="672"/>
        <w:rPr>
          <w:rFonts w:ascii="楷体_GB2312"/>
          <w:color w:val="000000" w:themeColor="text1"/>
          <w:szCs w:val="32"/>
        </w:rPr>
      </w:pPr>
      <w:r>
        <w:rPr>
          <w:rFonts w:hint="eastAsia" w:ascii="楷体_GB2312"/>
          <w:color w:val="000000" w:themeColor="text1"/>
          <w:szCs w:val="32"/>
        </w:rPr>
        <w:t>一、积极拓展开放发展新空间</w:t>
      </w:r>
    </w:p>
    <w:p w14:paraId="0834E8AC">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ascii="仿宋_GB2312" w:hAnsi="仿宋_GB2312" w:eastAsia="仿宋_GB2312" w:cs="仿宋_GB2312"/>
          <w:color w:val="000000" w:themeColor="text1"/>
          <w:kern w:val="0"/>
          <w:sz w:val="30"/>
          <w:szCs w:val="30"/>
        </w:rPr>
        <w:t>坚持以</w:t>
      </w:r>
      <w:r>
        <w:rPr>
          <w:rFonts w:hint="eastAsia" w:ascii="仿宋_GB2312" w:hAnsi="仿宋_GB2312" w:eastAsia="仿宋_GB2312" w:cs="仿宋_GB2312"/>
          <w:color w:val="000000" w:themeColor="text1"/>
          <w:kern w:val="0"/>
          <w:sz w:val="30"/>
          <w:szCs w:val="30"/>
        </w:rPr>
        <w:t>资源兴产业、产业带投资、投资促发展，完善区域融合产业链，打造服务东北亚地区的国际陆海联运新枢纽，强化开放枢纽功能。突出国土空间规划的引领作用，统筹协调资源开发秩序，合理布局开放型产业，探索协同建设“飞地经济”，促进与周边区域产业协同融合发展。积极对接辽东湾沿海港口资源、保税物流综合服务功能，推动盘锦港保税物流中心与东北快递（电商）物流产业园、冷链物流中心协同互动。依托辽宁自由贸易试验区的政策优势，积极复制成功经验，实施新兴市场拓展和“一带一路”市场开拓专项行动。牢固树立经济命运共同体新理念，支持有实力的涉外企业与“一带一路”国家境外企业合作共建外向型经济特色产业园，谋划共建跨境经济合作区，将交通走廊打造成为经济走廊。大力推进跨境产业链共建、商贸物流互通、要素配置共享优化和人文交流合作，全面深化与东北亚地区国家和城市多领域、多层次的务实合作，突出门户枢纽功能，在辽宁沿海经济带打造“一带一路”衔接门户的新格局中发挥突出作用。</w:t>
      </w:r>
    </w:p>
    <w:p w14:paraId="6551C6EE">
      <w:pPr>
        <w:pStyle w:val="8"/>
        <w:spacing w:line="600" w:lineRule="exact"/>
        <w:ind w:firstLine="672"/>
        <w:rPr>
          <w:rFonts w:ascii="楷体_GB2312"/>
          <w:color w:val="000000" w:themeColor="text1"/>
          <w:szCs w:val="32"/>
        </w:rPr>
      </w:pPr>
      <w:r>
        <w:rPr>
          <w:rFonts w:hint="eastAsia" w:ascii="楷体_GB2312"/>
          <w:color w:val="000000" w:themeColor="text1"/>
          <w:szCs w:val="32"/>
        </w:rPr>
        <w:t>二、构建产品双向互动融合集散新模式</w:t>
      </w:r>
    </w:p>
    <w:p w14:paraId="6BF62060">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ascii="仿宋_GB2312" w:hAnsi="仿宋_GB2312" w:eastAsia="仿宋_GB2312" w:cs="仿宋_GB2312"/>
          <w:color w:val="000000" w:themeColor="text1"/>
          <w:kern w:val="0"/>
          <w:sz w:val="30"/>
          <w:szCs w:val="30"/>
        </w:rPr>
        <w:t>依托东北快递（电商）物流产业园，推动发展跨境电子商务，探索营造关检互认互信等政策环境。争取在盘山县设立“辽宁跨境电子商务综合试验区盘山分园区”，吸引一批跨境电商和进出口企业，整合包括商贸、信息、资金、物流领域的电子商务企业，培育线上线下全产业链、全领域跨境贸易电子商务产业集群，力争将盘山县建设成为国际跨境贸易电子商务交易中心和商品集散中心。积极争取“市场采购”贸易政策试点，努力成为重要商品进口集散地。支持优势企业开拓“一带一路”沿线市场，建设国际化营销网络、生产基地和区域总部。加快培育</w:t>
      </w:r>
      <w:r>
        <w:rPr>
          <w:rFonts w:hint="eastAsia" w:ascii="仿宋_GB2312" w:hAnsi="仿宋_GB2312" w:eastAsia="仿宋_GB2312" w:cs="仿宋_GB2312"/>
          <w:color w:val="000000" w:themeColor="text1"/>
          <w:kern w:val="0"/>
          <w:sz w:val="30"/>
          <w:szCs w:val="30"/>
        </w:rPr>
        <w:t>以</w:t>
      </w:r>
      <w:r>
        <w:rPr>
          <w:rFonts w:ascii="仿宋_GB2312" w:hAnsi="仿宋_GB2312" w:eastAsia="仿宋_GB2312" w:cs="仿宋_GB2312"/>
          <w:color w:val="000000" w:themeColor="text1"/>
          <w:kern w:val="0"/>
          <w:sz w:val="30"/>
          <w:szCs w:val="30"/>
        </w:rPr>
        <w:t>东北快递（电商）物流产业园为核心的出口集散地。力争到2025年，进出口贸易总额达到6亿元。</w:t>
      </w:r>
    </w:p>
    <w:p w14:paraId="5FD88DA2">
      <w:pPr>
        <w:pStyle w:val="8"/>
        <w:spacing w:line="600" w:lineRule="exact"/>
        <w:ind w:firstLine="672"/>
        <w:rPr>
          <w:rFonts w:ascii="楷体_GB2312"/>
          <w:color w:val="000000" w:themeColor="text1"/>
          <w:szCs w:val="32"/>
        </w:rPr>
      </w:pPr>
      <w:r>
        <w:rPr>
          <w:rFonts w:hint="eastAsia" w:ascii="楷体_GB2312"/>
          <w:color w:val="000000" w:themeColor="text1"/>
          <w:szCs w:val="32"/>
        </w:rPr>
        <w:t>三、积极发展新型消费</w:t>
      </w:r>
    </w:p>
    <w:p w14:paraId="431332BD">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ascii="仿宋_GB2312" w:hAnsi="仿宋_GB2312" w:eastAsia="仿宋_GB2312" w:cs="仿宋_GB2312"/>
          <w:color w:val="000000" w:themeColor="text1"/>
          <w:kern w:val="0"/>
          <w:sz w:val="30"/>
          <w:szCs w:val="30"/>
        </w:rPr>
        <w:t>加快推进陈家通用机场等交通基础设施建设，发挥“公铁水空”一体化的流通领域战略优势，形成以外部消费带动盘山高质量发展的新格局。以新商贸为着力点，引领和促进新型消费上台阶。通过数字</w:t>
      </w:r>
      <w:r>
        <w:rPr>
          <w:rFonts w:hint="eastAsia" w:ascii="仿宋_GB2312" w:hAnsi="仿宋_GB2312" w:eastAsia="仿宋_GB2312" w:cs="仿宋_GB2312"/>
          <w:color w:val="000000" w:themeColor="text1"/>
          <w:kern w:val="0"/>
          <w:sz w:val="30"/>
          <w:szCs w:val="30"/>
        </w:rPr>
        <w:t>赋能，推动</w:t>
      </w:r>
      <w:r>
        <w:rPr>
          <w:rFonts w:ascii="仿宋_GB2312" w:hAnsi="仿宋_GB2312" w:eastAsia="仿宋_GB2312" w:cs="仿宋_GB2312"/>
          <w:color w:val="000000" w:themeColor="text1"/>
          <w:kern w:val="0"/>
          <w:sz w:val="30"/>
          <w:szCs w:val="30"/>
        </w:rPr>
        <w:t>传统商贸</w:t>
      </w:r>
      <w:r>
        <w:rPr>
          <w:rFonts w:hint="eastAsia" w:ascii="仿宋_GB2312" w:hAnsi="仿宋_GB2312" w:eastAsia="仿宋_GB2312" w:cs="仿宋_GB2312"/>
          <w:color w:val="000000" w:themeColor="text1"/>
          <w:kern w:val="0"/>
          <w:sz w:val="30"/>
          <w:szCs w:val="30"/>
        </w:rPr>
        <w:t>的</w:t>
      </w:r>
      <w:r>
        <w:rPr>
          <w:rFonts w:ascii="仿宋_GB2312" w:hAnsi="仿宋_GB2312" w:eastAsia="仿宋_GB2312" w:cs="仿宋_GB2312"/>
          <w:color w:val="000000" w:themeColor="text1"/>
          <w:kern w:val="0"/>
          <w:sz w:val="30"/>
          <w:szCs w:val="30"/>
        </w:rPr>
        <w:t>主流业态、产业链、供应链体系实现“人、货、场”重构及创新升级，加强与网络经济先进地区协调互动，做大做活“场”的资源，把盘山建设成国内国际新型消费循环的流通支点和仓储节点。以新基建为着力点，加速推进和完善新型消费基础设施建设，构建畅通的互联网通讯体系和高效发达的快递物流体系和配送网络，锚定线上经济发展中的物流配送、客户服务等线下支撑领域，打造“盘山服务”品牌，在国内国际新型消费循环中占据重要位置。以新媒体为着力点，促进新型消费与三次产业发展深度融合，加快拓展时尚消费、定制消费、信息消费、智能消费等新兴消费领域，增加健康、养老、医疗、文化、教育以及安全等领域消费的有效供给，推动传统生产、消费行业转型升级，激发全社会消费活力。</w:t>
      </w:r>
    </w:p>
    <w:p w14:paraId="6FE0BFA4">
      <w:pPr>
        <w:pStyle w:val="7"/>
        <w:spacing w:line="600" w:lineRule="exact"/>
        <w:ind w:firstLine="0" w:firstLineChars="0"/>
        <w:jc w:val="center"/>
        <w:rPr>
          <w:color w:val="000000" w:themeColor="text1"/>
        </w:rPr>
      </w:pPr>
      <w:bookmarkStart w:id="251" w:name="_Toc29054"/>
      <w:bookmarkStart w:id="252" w:name="_Toc1281"/>
      <w:bookmarkStart w:id="253" w:name="_Toc14955"/>
      <w:bookmarkStart w:id="254" w:name="_Toc5481"/>
      <w:bookmarkStart w:id="255" w:name="_Toc30681"/>
      <w:bookmarkStart w:id="256" w:name="_Toc16341"/>
      <w:bookmarkStart w:id="257" w:name="_Toc24150"/>
      <w:r>
        <w:rPr>
          <w:rFonts w:hint="eastAsia"/>
          <w:color w:val="000000" w:themeColor="text1"/>
        </w:rPr>
        <w:t>第二节持续优化开放型经济新体制</w:t>
      </w:r>
      <w:bookmarkEnd w:id="251"/>
      <w:bookmarkEnd w:id="252"/>
      <w:bookmarkEnd w:id="253"/>
      <w:bookmarkEnd w:id="254"/>
      <w:bookmarkEnd w:id="255"/>
      <w:bookmarkEnd w:id="256"/>
      <w:bookmarkEnd w:id="257"/>
    </w:p>
    <w:p w14:paraId="4BC5D244">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ascii="仿宋_GB2312" w:hAnsi="仿宋_GB2312" w:eastAsia="仿宋_GB2312" w:cs="仿宋_GB2312"/>
          <w:color w:val="000000" w:themeColor="text1"/>
          <w:kern w:val="0"/>
          <w:sz w:val="30"/>
          <w:szCs w:val="30"/>
        </w:rPr>
        <w:t>坚持“高端要素引进来”与“尖端企业走出去”相融合战略，鼓励企业扩大对外投资，完善开放型对外投资体制机制，力争在“十四五”期间建成全省“双循环发展”先导区。</w:t>
      </w:r>
    </w:p>
    <w:p w14:paraId="58A76FFF">
      <w:pPr>
        <w:pStyle w:val="8"/>
        <w:spacing w:line="600" w:lineRule="exact"/>
        <w:ind w:firstLine="672"/>
        <w:rPr>
          <w:rFonts w:ascii="楷体_GB2312"/>
          <w:color w:val="000000" w:themeColor="text1"/>
          <w:szCs w:val="32"/>
        </w:rPr>
      </w:pPr>
      <w:r>
        <w:rPr>
          <w:rFonts w:hint="eastAsia" w:ascii="楷体_GB2312"/>
          <w:color w:val="000000" w:themeColor="text1"/>
          <w:szCs w:val="32"/>
        </w:rPr>
        <w:t>一、打造外商投资政策新高地</w:t>
      </w:r>
    </w:p>
    <w:p w14:paraId="1F221099">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ascii="仿宋_GB2312" w:hAnsi="仿宋_GB2312" w:eastAsia="仿宋_GB2312" w:cs="仿宋_GB2312"/>
          <w:color w:val="000000" w:themeColor="text1"/>
          <w:kern w:val="0"/>
          <w:sz w:val="30"/>
          <w:szCs w:val="30"/>
        </w:rPr>
        <w:t>坚持把吸引国际投资、人才等资源要素聚集作为出发点和落脚点，</w:t>
      </w:r>
      <w:r>
        <w:rPr>
          <w:rFonts w:hint="eastAsia" w:ascii="仿宋_GB2312" w:hAnsi="仿宋_GB2312" w:eastAsia="仿宋_GB2312" w:cs="仿宋_GB2312"/>
          <w:color w:val="000000" w:themeColor="text1"/>
          <w:kern w:val="0"/>
          <w:sz w:val="30"/>
          <w:szCs w:val="30"/>
        </w:rPr>
        <w:t>持续</w:t>
      </w:r>
      <w:r>
        <w:rPr>
          <w:rFonts w:ascii="仿宋_GB2312" w:hAnsi="仿宋_GB2312" w:eastAsia="仿宋_GB2312" w:cs="仿宋_GB2312"/>
          <w:color w:val="000000" w:themeColor="text1"/>
          <w:kern w:val="0"/>
          <w:sz w:val="30"/>
          <w:szCs w:val="30"/>
        </w:rPr>
        <w:t>优化外商投资环境。全面贯彻落实《中华人民共和国外商投资法》，建立更加开放透明的市场准入管理模式，在投资服务中不断优化完善便利化举措。密切关注信息技术、产业金融、精细化工、文化旅游等领域的对外开放动态，超前对接外商投资意愿，争取走在全省对外开放的最前列，鼓励引导国际知名城市运营商参与盘山县城市改造项目。完善外资准入及准入后的事中事后监管机制。力争到2025年，将盘山打造成为营商环境国际化示范县、投资经营便利化新典范。</w:t>
      </w:r>
    </w:p>
    <w:p w14:paraId="349E6D91">
      <w:pPr>
        <w:pStyle w:val="8"/>
        <w:spacing w:line="600" w:lineRule="exact"/>
        <w:ind w:firstLine="672"/>
        <w:rPr>
          <w:rFonts w:ascii="楷体_GB2312"/>
          <w:color w:val="000000" w:themeColor="text1"/>
          <w:szCs w:val="32"/>
        </w:rPr>
      </w:pPr>
      <w:r>
        <w:rPr>
          <w:rFonts w:hint="eastAsia" w:ascii="楷体_GB2312"/>
          <w:color w:val="000000" w:themeColor="text1"/>
          <w:szCs w:val="32"/>
        </w:rPr>
        <w:t>二、建设有利于本土公司对外投资的新机制</w:t>
      </w:r>
    </w:p>
    <w:p w14:paraId="5170D342">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ascii="仿宋_GB2312" w:hAnsi="仿宋_GB2312" w:eastAsia="仿宋_GB2312" w:cs="仿宋_GB2312"/>
          <w:color w:val="000000" w:themeColor="text1"/>
          <w:kern w:val="0"/>
          <w:sz w:val="30"/>
          <w:szCs w:val="30"/>
        </w:rPr>
        <w:t>加快体制机制创新，制定优惠政策，强化企业的投资主体地位，发挥市场主导、政府引导作用。鼓励企业开展对外投资、境外并购，建设境外营销网络及研发中心等；鼓励本土石化及精细化工企业与境外企业加强股权合作，促进与国际市场的融合，打造国际化产业链条。深度研究国际经贸规则，探索引入第三方成立国际贸易规则专业研究机构，引进专业人才，为对外投资企业和服务外包企业提供智力支持。</w:t>
      </w:r>
    </w:p>
    <w:p w14:paraId="6406D165">
      <w:pPr>
        <w:pStyle w:val="8"/>
        <w:spacing w:line="600" w:lineRule="exact"/>
        <w:ind w:firstLine="672"/>
        <w:rPr>
          <w:rFonts w:ascii="楷体_GB2312"/>
          <w:color w:val="000000" w:themeColor="text1"/>
          <w:szCs w:val="32"/>
        </w:rPr>
      </w:pPr>
      <w:r>
        <w:rPr>
          <w:rFonts w:hint="eastAsia" w:ascii="楷体_GB2312"/>
          <w:color w:val="000000" w:themeColor="text1"/>
          <w:szCs w:val="32"/>
        </w:rPr>
        <w:t>三、打造促进资本更加活跃的要素市场</w:t>
      </w:r>
    </w:p>
    <w:p w14:paraId="6EA8919C">
      <w:pPr>
        <w:adjustRightInd w:val="0"/>
        <w:snapToGrid w:val="0"/>
        <w:spacing w:line="600" w:lineRule="exact"/>
        <w:ind w:firstLine="630"/>
        <w:rPr>
          <w:rFonts w:asciiTheme="minorEastAsia" w:hAnsiTheme="minorEastAsia" w:eastAsiaTheme="minorEastAsia" w:cstheme="minorEastAsia"/>
          <w:color w:val="000000" w:themeColor="text1"/>
          <w:kern w:val="0"/>
          <w:szCs w:val="28"/>
        </w:rPr>
      </w:pPr>
      <w:r>
        <w:rPr>
          <w:rFonts w:hint="eastAsia" w:ascii="仿宋_GB2312" w:hAnsi="仿宋_GB2312" w:eastAsia="仿宋_GB2312" w:cs="仿宋_GB2312"/>
          <w:color w:val="000000" w:themeColor="text1"/>
          <w:kern w:val="0"/>
          <w:sz w:val="30"/>
          <w:szCs w:val="30"/>
        </w:rPr>
        <w:t>实施更宽领域、更深层次的全面开放，推动由商品和要素流动型开放向规则等制度型开放转变，为盘山经济社会高质量发展积聚新动能。坚持问题导向和目标导向，积极推进要素市场化改革，解决好土地、劳动力、资本等深层次问题，消除各类隐性壁垒，让各类要素自主有序流动，重点推动宝来生物、浩业化工上市融资、入市融地。整县推进农村集体产权制度改革国家试点工作。创新土地交易机制、交易运行模式、交易服务体系，探索国有土地和宅基地入市交易，建立规则透明、产权明晰、市场定价、信息集聚、交易安全、服务健全、监管完善的土地二级市场。建立诚信褒扬、失信惩戒的信用监管机制。加强监测监管，从事前、事中、事后三个环节，完善市场分析研判和管理调控的具体措施。</w:t>
      </w:r>
    </w:p>
    <w:p w14:paraId="01F0478A">
      <w:pPr>
        <w:pStyle w:val="7"/>
        <w:spacing w:line="600" w:lineRule="exact"/>
        <w:ind w:firstLine="0" w:firstLineChars="0"/>
        <w:jc w:val="center"/>
        <w:rPr>
          <w:rFonts w:ascii="黑体" w:hAnsi="黑体" w:cs="黑体"/>
          <w:color w:val="000000" w:themeColor="text1"/>
        </w:rPr>
      </w:pPr>
      <w:bookmarkStart w:id="258" w:name="_Toc10626"/>
      <w:bookmarkStart w:id="259" w:name="_Toc13939"/>
      <w:bookmarkStart w:id="260" w:name="_Toc1249"/>
      <w:bookmarkStart w:id="261" w:name="_Toc8707"/>
      <w:bookmarkStart w:id="262" w:name="_Toc23233"/>
      <w:bookmarkStart w:id="263" w:name="_Toc27416"/>
      <w:bookmarkStart w:id="264" w:name="_Toc22552"/>
      <w:r>
        <w:rPr>
          <w:rFonts w:hint="eastAsia" w:ascii="黑体" w:hAnsi="黑体" w:cs="黑体"/>
          <w:color w:val="000000" w:themeColor="text1"/>
        </w:rPr>
        <w:fldChar w:fldCharType="begin"/>
      </w:r>
      <w:r>
        <w:rPr>
          <w:rFonts w:hint="eastAsia" w:ascii="黑体" w:hAnsi="黑体" w:cs="黑体"/>
          <w:color w:val="000000" w:themeColor="text1"/>
        </w:rPr>
        <w:instrText xml:space="preserve"> HYPERLINK \l "_Toc13486"</w:instrText>
      </w:r>
      <w:r>
        <w:rPr>
          <w:rFonts w:hint="eastAsia" w:ascii="黑体" w:hAnsi="黑体" w:cs="黑体"/>
          <w:color w:val="000000" w:themeColor="text1"/>
        </w:rPr>
        <w:fldChar w:fldCharType="separate"/>
      </w:r>
      <w:r>
        <w:rPr>
          <w:rFonts w:hint="eastAsia" w:ascii="黑体" w:hAnsi="黑体" w:cs="黑体"/>
          <w:color w:val="000000" w:themeColor="text1"/>
        </w:rPr>
        <w:t>第三节 打造一流营商环境</w:t>
      </w:r>
      <w:r>
        <w:rPr>
          <w:rFonts w:hint="eastAsia" w:ascii="黑体" w:hAnsi="黑体" w:cs="黑体"/>
          <w:color w:val="000000" w:themeColor="text1"/>
        </w:rPr>
        <w:fldChar w:fldCharType="end"/>
      </w:r>
      <w:bookmarkEnd w:id="258"/>
      <w:bookmarkEnd w:id="259"/>
      <w:bookmarkEnd w:id="260"/>
      <w:bookmarkEnd w:id="261"/>
      <w:bookmarkEnd w:id="262"/>
      <w:bookmarkEnd w:id="263"/>
      <w:bookmarkEnd w:id="264"/>
    </w:p>
    <w:p w14:paraId="171B5D1E">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坚持“人人都是营商环境、个个都是开放形象”的全民共建营商环境理念，按照“高效便捷、惠民利企”的原则，创新体制机制，切实减轻企业税费负担、完善政策执行方式、构建亲清新型政商关系，打造创新创业政策洼地、服务高地。</w:t>
      </w:r>
    </w:p>
    <w:p w14:paraId="452D2A22">
      <w:pPr>
        <w:pStyle w:val="8"/>
        <w:spacing w:line="600" w:lineRule="exact"/>
        <w:ind w:firstLine="672"/>
        <w:rPr>
          <w:rFonts w:ascii="楷体_GB2312"/>
          <w:color w:val="000000" w:themeColor="text1"/>
          <w:szCs w:val="32"/>
        </w:rPr>
      </w:pPr>
      <w:r>
        <w:rPr>
          <w:rFonts w:hint="eastAsia" w:ascii="楷体_GB2312"/>
          <w:color w:val="000000" w:themeColor="text1"/>
          <w:szCs w:val="32"/>
        </w:rPr>
        <w:t>一、全面深化“放管服”改革</w:t>
      </w:r>
    </w:p>
    <w:p w14:paraId="2259C369">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健全盘山县政务服务评价指标体系。承接落实好中央和省、市取消、下放行政审批事项，动态调整盘山县行政许可权力清单。扎实推广“互联网+政务服务”新模式，逐步实现群众办事“零跑路”。积极开展“互联网+政务服务”改革，加快实现“一扇门、一张网、一次办”。推动相对集中行政许可权改革向镇级延伸。设置“一窗通办”综合受理窗口，推进政务服务“简易办”改革。强化审批和监管协调联动，建立行政审批、监管联动机制。加快推进“一网通办”，抓好“线上政务、网上政府、掌上政府”的建设运营。修订首问负责、服务承诺、限时办结、容缺受理、一次性告知、办不成书面说明等制度，规范审批服务行为。</w:t>
      </w:r>
    </w:p>
    <w:p w14:paraId="5DEC5D58">
      <w:pPr>
        <w:pStyle w:val="8"/>
        <w:spacing w:line="600" w:lineRule="exact"/>
        <w:ind w:firstLine="672"/>
        <w:rPr>
          <w:color w:val="000000" w:themeColor="text1"/>
        </w:rPr>
      </w:pPr>
      <w:r>
        <w:rPr>
          <w:rFonts w:hint="eastAsia"/>
          <w:color w:val="000000" w:themeColor="text1"/>
        </w:rPr>
        <w:t>二、深入推进行政审批制度改革</w:t>
      </w:r>
    </w:p>
    <w:p w14:paraId="62F0523C">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编制公布行政许可事项清单，逐项明确设定依据、实施机关、许可条件、办理程序、办理时限、申请材料、适用范围、有效期限、中介服务等要素。持续优化“容缺审批+企业承诺”审批制度和建立“审批代办+项目管家”服务制度，完善企业开办服务链条，确保企业开办时限压缩在1个工作日内；高质量提高就近办税服务，建立镇街新增纳税人信息采集工作机制，有效减轻纳税人负担；强化事中事后监管，加强培训指导，确保相关事项放得下、接得住、管得好。加强对行政许可的监督评估，持续推进行政审批制度改革标准化、规范化建设，督促各镇（街道）、各有关部门依法依规对行政许可等已申请行政审批事项进行动态调整，并通过一体化在线政务服务平台实时向社会公开展示。</w:t>
      </w:r>
    </w:p>
    <w:p w14:paraId="79653F69">
      <w:pPr>
        <w:pStyle w:val="8"/>
        <w:spacing w:line="600" w:lineRule="exact"/>
        <w:ind w:firstLine="672"/>
        <w:rPr>
          <w:color w:val="000000" w:themeColor="text1"/>
        </w:rPr>
      </w:pPr>
      <w:r>
        <w:rPr>
          <w:rFonts w:hint="eastAsia"/>
          <w:color w:val="000000" w:themeColor="text1"/>
        </w:rPr>
        <w:t>三、推进“数字政务、便民政府”建设</w:t>
      </w:r>
    </w:p>
    <w:p w14:paraId="4E603BDF">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建成纵向贯通、横向协同、上接国家和省、市，覆盖全县的“数字政府”体系。全面推行“互联网＋政务服务”、“互联网＋监管”，深度推广大数据应用，推动政府决策科学化、治理精准化、公共服务高效化水平进一步提升。社会养老保险实现“一站式”办理，解决银行、社保“分头跑”的问题；职工和城乡居民工伤、生育、医疗保险实现全流程办理，解决二次报销、高额补充保险“分头跑”问题；不动产登记实现全链条办理，从不动产登记、契税缴纳、住宅专项维修资金收缴、公证（不动产继承、赠与、析产、抵押登记）实现县政务服务中心大厅办理。搭建“零工一站式共享用工平台”，有效破解“人找不到活、活找不到人”的社会难题。非涉密政务服务事项实现全流程“一网通办”，县、镇（街道）两级政务服务事项网上可办率稳定在80%以上，80%以上高频事项实现“掌上办”；政务服务、执法监管、基层治理等领域“信息孤岛”实现100%打通；县本级部门专网实现100%整合。</w:t>
      </w:r>
    </w:p>
    <w:p w14:paraId="49DE68CA">
      <w:pPr>
        <w:pStyle w:val="8"/>
        <w:spacing w:line="600" w:lineRule="exact"/>
        <w:ind w:firstLine="672"/>
        <w:rPr>
          <w:color w:val="000000" w:themeColor="text1"/>
        </w:rPr>
      </w:pPr>
      <w:r>
        <w:rPr>
          <w:rFonts w:hint="eastAsia"/>
          <w:color w:val="000000" w:themeColor="text1"/>
        </w:rPr>
        <w:t>四、深化财税制度改革</w:t>
      </w:r>
    </w:p>
    <w:p w14:paraId="0D503BC5">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规范县镇（街道）财政分配关系。合理划分县以下财政事权和支出责任，进一步调动镇（街道）聚焦经济发展的积极性。全面实施预算绩效管理。构建全过程预算绩效管理机制，完善预算支出绩效评价指标体系，强化对第三方绩效评价工作监管，加强预算绩效管理信息系统应用。防范化解地方政府债务风险。健全规范政府举债融资机制，遏制政府债务增量，积极稳妥化解存量政府性债务，持续保持监管防控高压态势。深入落实个税改革、小微企业普惠性减免、社保费降率、深化增值税改革等中央和省、市减税降费各项政策，持续增强企业发展动能和获得感。</w:t>
      </w:r>
    </w:p>
    <w:p w14:paraId="38C8868D">
      <w:pPr>
        <w:pStyle w:val="7"/>
        <w:spacing w:line="600" w:lineRule="exact"/>
        <w:ind w:firstLine="0" w:firstLineChars="0"/>
        <w:jc w:val="center"/>
        <w:rPr>
          <w:color w:val="000000" w:themeColor="text1"/>
        </w:rPr>
      </w:pPr>
      <w:bookmarkStart w:id="265" w:name="_Toc20872"/>
      <w:bookmarkStart w:id="266" w:name="_Toc230"/>
      <w:bookmarkStart w:id="267" w:name="_Toc26572"/>
      <w:bookmarkStart w:id="268" w:name="_Toc23498"/>
      <w:bookmarkStart w:id="269" w:name="_Toc3061"/>
      <w:bookmarkStart w:id="270" w:name="_Toc31640"/>
      <w:bookmarkStart w:id="271" w:name="_Toc6373"/>
      <w:r>
        <w:rPr>
          <w:rFonts w:hint="eastAsia"/>
          <w:color w:val="000000" w:themeColor="text1"/>
        </w:rPr>
        <w:t>第四节 加快国资国企改革</w:t>
      </w:r>
      <w:bookmarkEnd w:id="265"/>
      <w:bookmarkEnd w:id="266"/>
      <w:bookmarkEnd w:id="267"/>
      <w:bookmarkEnd w:id="268"/>
      <w:bookmarkEnd w:id="269"/>
      <w:bookmarkEnd w:id="270"/>
      <w:bookmarkEnd w:id="271"/>
    </w:p>
    <w:p w14:paraId="218037C9">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以创建一流企业为目标，着力推进混合所有制、股权多元化改革，打造国有资本投资公司“升级版”。</w:t>
      </w:r>
    </w:p>
    <w:p w14:paraId="33B67AED">
      <w:pPr>
        <w:pStyle w:val="8"/>
        <w:spacing w:line="600" w:lineRule="exact"/>
        <w:ind w:firstLine="672"/>
        <w:rPr>
          <w:color w:val="000000" w:themeColor="text1"/>
        </w:rPr>
      </w:pPr>
      <w:r>
        <w:rPr>
          <w:rFonts w:hint="eastAsia"/>
          <w:color w:val="000000" w:themeColor="text1"/>
        </w:rPr>
        <w:t>一、全力推进和落实国企改革三年行动</w:t>
      </w:r>
    </w:p>
    <w:p w14:paraId="13ACE4EA">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切实发挥好国有企业在国民经济发展中的“稳定器”作用，突出抓好改革落实、科技创新、结构调整、职能转变，为盘山高质量发展提供有力支撑。持续深化国有企业劳动人事分配三项制度改革。深入推进县属国有企业收入分配改革，落实工资总额管理制度。严格实施投资项目负面清单制度。积极推进国有资本投资运营试点。稳妥推进混合所有制改革。积极推进“一企一策”改革，推动企业转型发展。加快推进国有企业退休人员社会化管理改革。</w:t>
      </w:r>
    </w:p>
    <w:p w14:paraId="3462BA7B">
      <w:pPr>
        <w:pStyle w:val="8"/>
        <w:spacing w:line="600" w:lineRule="exact"/>
        <w:ind w:firstLine="672"/>
        <w:rPr>
          <w:color w:val="000000" w:themeColor="text1"/>
        </w:rPr>
      </w:pPr>
      <w:r>
        <w:rPr>
          <w:rFonts w:hint="eastAsia"/>
          <w:color w:val="000000" w:themeColor="text1"/>
        </w:rPr>
        <w:t>二、完善国有资产管理体制</w:t>
      </w:r>
    </w:p>
    <w:p w14:paraId="1922925B">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完善国有资产监管机构和职能，规范国有资产监管机构作为县政府直属特设机构的性质定位，确保国有资产监管政策、目标、任务与中央、省、市一致。规范政府、国资监管机构和国家出资企业的关系，健全国家出资企业投资管理、财务管理、产权管理、风险管理等专项管理制度，健全产权登记、资产评估、资产统计等国有资产基础管理制度。推进经营性国有资产集中统一监管，实现国有资产监管的全覆盖，为在更大范围优化配置资源、提高国有资本运行效率、加快资源整合和企业重组、培育核心竞争力企业创造条件。</w:t>
      </w:r>
    </w:p>
    <w:p w14:paraId="416612E8">
      <w:pPr>
        <w:pStyle w:val="14"/>
        <w:spacing w:line="600" w:lineRule="exact"/>
        <w:ind w:firstLine="590"/>
        <w:rPr>
          <w:rFonts w:asciiTheme="minorEastAsia" w:hAnsiTheme="minorEastAsia" w:eastAsiaTheme="minorEastAsia" w:cstheme="minorEastAsia"/>
          <w:color w:val="000000" w:themeColor="text1"/>
          <w:kern w:val="0"/>
          <w:szCs w:val="28"/>
        </w:rPr>
      </w:pPr>
    </w:p>
    <w:p w14:paraId="36F1950A">
      <w:pPr>
        <w:spacing w:line="600" w:lineRule="exact"/>
        <w:ind w:firstLine="590"/>
        <w:rPr>
          <w:rFonts w:asciiTheme="minorEastAsia" w:hAnsiTheme="minorEastAsia" w:eastAsiaTheme="minorEastAsia" w:cstheme="minorEastAsia"/>
          <w:color w:val="000000" w:themeColor="text1"/>
          <w:kern w:val="0"/>
          <w:szCs w:val="28"/>
        </w:rPr>
      </w:pPr>
    </w:p>
    <w:p w14:paraId="583AA682">
      <w:pPr>
        <w:pStyle w:val="11"/>
        <w:spacing w:line="600" w:lineRule="exact"/>
        <w:ind w:firstLine="670"/>
        <w:rPr>
          <w:rFonts w:asciiTheme="minorEastAsia" w:hAnsiTheme="minorEastAsia" w:eastAsiaTheme="minorEastAsia" w:cstheme="minorEastAsia"/>
          <w:color w:val="000000" w:themeColor="text1"/>
          <w:kern w:val="0"/>
          <w:szCs w:val="28"/>
        </w:rPr>
      </w:pPr>
    </w:p>
    <w:p w14:paraId="645C9B7E">
      <w:pPr>
        <w:spacing w:line="600" w:lineRule="exact"/>
        <w:ind w:firstLine="590"/>
        <w:rPr>
          <w:rFonts w:hint="eastAsia"/>
          <w:color w:val="000000" w:themeColor="text1"/>
        </w:rPr>
      </w:pPr>
    </w:p>
    <w:p w14:paraId="3AB7EB4A">
      <w:pPr>
        <w:spacing w:line="600" w:lineRule="exact"/>
        <w:ind w:firstLine="590"/>
        <w:rPr>
          <w:rFonts w:asciiTheme="minorEastAsia" w:hAnsiTheme="minorEastAsia" w:eastAsiaTheme="minorEastAsia" w:cstheme="minorEastAsia"/>
          <w:color w:val="000000" w:themeColor="text1"/>
          <w:kern w:val="0"/>
          <w:szCs w:val="28"/>
        </w:rPr>
      </w:pPr>
    </w:p>
    <w:p w14:paraId="1EF83416">
      <w:pPr>
        <w:pStyle w:val="11"/>
        <w:spacing w:line="600" w:lineRule="exact"/>
        <w:ind w:firstLine="670"/>
        <w:rPr>
          <w:rFonts w:asciiTheme="minorEastAsia" w:hAnsiTheme="minorEastAsia" w:eastAsiaTheme="minorEastAsia" w:cstheme="minorEastAsia"/>
          <w:color w:val="000000" w:themeColor="text1"/>
          <w:kern w:val="0"/>
          <w:szCs w:val="28"/>
        </w:rPr>
      </w:pPr>
    </w:p>
    <w:p w14:paraId="2336491F">
      <w:pPr>
        <w:spacing w:line="600" w:lineRule="exact"/>
        <w:ind w:firstLine="590"/>
        <w:rPr>
          <w:rFonts w:hint="eastAsia"/>
          <w:color w:val="000000" w:themeColor="text1"/>
        </w:rPr>
      </w:pPr>
    </w:p>
    <w:p w14:paraId="65653AA6">
      <w:pPr>
        <w:pStyle w:val="2"/>
        <w:spacing w:line="600" w:lineRule="exact"/>
        <w:ind w:left="590" w:firstLine="590"/>
        <w:rPr>
          <w:rFonts w:hint="eastAsia"/>
          <w:color w:val="000000" w:themeColor="text1"/>
        </w:rPr>
      </w:pPr>
    </w:p>
    <w:p w14:paraId="21CD7C78">
      <w:pPr>
        <w:pStyle w:val="6"/>
        <w:spacing w:line="600" w:lineRule="exact"/>
        <w:ind w:firstLine="0" w:firstLineChars="0"/>
        <w:jc w:val="center"/>
        <w:rPr>
          <w:color w:val="000000" w:themeColor="text1"/>
          <w:sz w:val="36"/>
          <w:szCs w:val="36"/>
        </w:rPr>
      </w:pPr>
      <w:bookmarkStart w:id="272" w:name="_Toc8767"/>
      <w:bookmarkStart w:id="273" w:name="_Toc3134"/>
      <w:bookmarkStart w:id="274" w:name="_Toc16001"/>
      <w:bookmarkStart w:id="275" w:name="_Toc1975"/>
      <w:bookmarkStart w:id="276" w:name="_Toc19916"/>
      <w:bookmarkStart w:id="277" w:name="_Toc11880"/>
      <w:bookmarkStart w:id="278" w:name="_Toc21181"/>
      <w:r>
        <w:rPr>
          <w:rFonts w:hint="eastAsia"/>
          <w:color w:val="000000" w:themeColor="text1"/>
          <w:sz w:val="36"/>
          <w:szCs w:val="36"/>
        </w:rPr>
        <w:t>第九章 夯实根基 打造生态文明建设新高地</w:t>
      </w:r>
      <w:bookmarkEnd w:id="272"/>
      <w:bookmarkEnd w:id="273"/>
      <w:bookmarkEnd w:id="274"/>
      <w:bookmarkEnd w:id="275"/>
      <w:bookmarkEnd w:id="276"/>
      <w:bookmarkEnd w:id="277"/>
      <w:bookmarkEnd w:id="278"/>
    </w:p>
    <w:p w14:paraId="0730A500">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牢牢树立“绿水青山就是金山银山”、“冰天雪地也是金山银山”的发展理念，坚持生产、生活、生态融合共生，生态经济化与经济生态化并举，强化生态建设和环境保护，加速生态资源向生产力的深度转化，建成国家生态文明建设示范县。</w:t>
      </w:r>
    </w:p>
    <w:p w14:paraId="0498FE91">
      <w:pPr>
        <w:pStyle w:val="7"/>
        <w:spacing w:line="600" w:lineRule="exact"/>
        <w:ind w:firstLine="0" w:firstLineChars="0"/>
        <w:jc w:val="center"/>
        <w:rPr>
          <w:color w:val="000000" w:themeColor="text1"/>
        </w:rPr>
      </w:pPr>
      <w:bookmarkStart w:id="279" w:name="_Toc15323"/>
      <w:bookmarkStart w:id="280" w:name="_Toc10932"/>
      <w:bookmarkStart w:id="281" w:name="_Toc25331"/>
      <w:bookmarkStart w:id="282" w:name="_Toc5673"/>
      <w:bookmarkStart w:id="283" w:name="_Toc13638"/>
      <w:bookmarkStart w:id="284" w:name="_Toc14758"/>
      <w:bookmarkStart w:id="285" w:name="_Toc15598"/>
      <w:r>
        <w:rPr>
          <w:rFonts w:hint="eastAsia"/>
          <w:color w:val="000000" w:themeColor="text1"/>
        </w:rPr>
        <w:t>第一节 构建生态文明五大制度体系</w:t>
      </w:r>
      <w:bookmarkEnd w:id="279"/>
      <w:bookmarkEnd w:id="280"/>
      <w:bookmarkEnd w:id="281"/>
      <w:bookmarkEnd w:id="282"/>
      <w:bookmarkEnd w:id="283"/>
      <w:bookmarkEnd w:id="284"/>
      <w:bookmarkEnd w:id="285"/>
    </w:p>
    <w:p w14:paraId="022DE48B">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以满足人民日益增长的优美生态环境需求为核心，加快构建严格的生态环境保护制度，形成推进生态文明建设的长效机制，推动盘山县绿色发展和生态文明建设迈上新台阶。</w:t>
      </w:r>
    </w:p>
    <w:p w14:paraId="3E0DD2D1">
      <w:pPr>
        <w:pStyle w:val="8"/>
        <w:spacing w:line="600" w:lineRule="exact"/>
        <w:ind w:firstLine="672"/>
        <w:rPr>
          <w:color w:val="000000" w:themeColor="text1"/>
        </w:rPr>
      </w:pPr>
      <w:r>
        <w:rPr>
          <w:rFonts w:hint="eastAsia"/>
          <w:color w:val="000000" w:themeColor="text1"/>
        </w:rPr>
        <w:t>一、以生态价值观念为准则的生态文化体系</w:t>
      </w:r>
    </w:p>
    <w:p w14:paraId="36F3FB36">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以全民共建共享为目标，加强生活理念绿色化宣传，纵深推进生态文明建设。在全县范围内弘扬“绿水青山就是金山银山”的生态文明理念，提高对生态文明价值观的认识，强化人与自然和谐共生的生态建设意识，激发居民共同参与生态文明建设的积极性，把建设美丽盘山化为每个人的自觉行动。倡导消费行为绿色化，反对奢侈浪费，引导居民在衣食住行等方面养成绿色、环保、节约的生活习惯，减少使用一次性不可降解塑料袋、塑料餐具，大力开展“光盘行动”。</w:t>
      </w:r>
    </w:p>
    <w:p w14:paraId="6250184A">
      <w:pPr>
        <w:pStyle w:val="8"/>
        <w:spacing w:line="600" w:lineRule="exact"/>
        <w:ind w:firstLine="672"/>
        <w:rPr>
          <w:color w:val="000000" w:themeColor="text1"/>
        </w:rPr>
      </w:pPr>
      <w:r>
        <w:rPr>
          <w:rFonts w:hint="eastAsia"/>
          <w:color w:val="000000" w:themeColor="text1"/>
        </w:rPr>
        <w:t>二、以产业生态化和生态产业化为主体的生态经济体系</w:t>
      </w:r>
    </w:p>
    <w:p w14:paraId="6B702CB8">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把资源环境承载力作为经济社会发展先决条件，提高产业发展与环境保护的协调性，打造低碳循环产业体系，推动绿色发展。严格落实主体功能区规划，推进县城主城区内的石化、沥青混凝土搅拌等重污染企业搬迁、改造。推进传统产业绿色化改造、生态化设计，加强产品全生命周期绿色管理，推</w:t>
      </w:r>
      <w:bookmarkStart w:id="286" w:name="OLE_LINK2"/>
      <w:bookmarkStart w:id="287" w:name="OLE_LINK1"/>
      <w:r>
        <w:rPr>
          <w:rFonts w:hint="eastAsia" w:ascii="仿宋_GB2312" w:hAnsi="仿宋_GB2312" w:eastAsia="仿宋_GB2312" w:cs="仿宋_GB2312"/>
          <w:color w:val="000000" w:themeColor="text1"/>
          <w:kern w:val="0"/>
          <w:sz w:val="30"/>
          <w:szCs w:val="30"/>
        </w:rPr>
        <w:t>动优势传统产业向品牌效益型转变。</w:t>
      </w:r>
      <w:bookmarkEnd w:id="286"/>
      <w:bookmarkEnd w:id="287"/>
      <w:r>
        <w:rPr>
          <w:rFonts w:hint="eastAsia" w:ascii="仿宋_GB2312" w:hAnsi="仿宋_GB2312" w:eastAsia="仿宋_GB2312" w:cs="仿宋_GB2312"/>
          <w:color w:val="000000" w:themeColor="text1"/>
          <w:kern w:val="0"/>
          <w:sz w:val="30"/>
          <w:szCs w:val="30"/>
        </w:rPr>
        <w:t>推动工业、建筑、交通运输和公共机构等重点领域节能增效、自然资源高效循环利用，强化约束性指标管理，实行能源和水资源消耗、建设用地等总量和强度双控行动。推动工业园区开展循环化改造，构建循环经济产业链。重点加强石化企业节能技术改造，力争石化企业单位能耗降至全国同行业较低水平。建立废弃物循环利用产业链，重点推进工业行业的“三废”循环利用，推进清洁生产。</w:t>
      </w:r>
    </w:p>
    <w:p w14:paraId="22902F5C">
      <w:pPr>
        <w:pStyle w:val="8"/>
        <w:spacing w:line="600" w:lineRule="exact"/>
        <w:ind w:firstLine="672"/>
        <w:rPr>
          <w:color w:val="000000" w:themeColor="text1"/>
        </w:rPr>
      </w:pPr>
      <w:bookmarkStart w:id="288" w:name="_Toc22659"/>
      <w:r>
        <w:rPr>
          <w:rFonts w:hint="eastAsia"/>
          <w:color w:val="000000" w:themeColor="text1"/>
        </w:rPr>
        <w:t>三、</w:t>
      </w:r>
      <w:bookmarkEnd w:id="288"/>
      <w:r>
        <w:rPr>
          <w:rFonts w:hint="eastAsia"/>
          <w:color w:val="000000" w:themeColor="text1"/>
        </w:rPr>
        <w:t>以改善生态环境质量为核心目标的责任体系</w:t>
      </w:r>
    </w:p>
    <w:p w14:paraId="597DB121">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制定生态文明建设评价考核办法，把资源消耗、环境损害、生态效益纳入经济社会发展评价体系。落实控排承诺的一系列相关约束性指标，全面推行网格化责任，压实责任强化担当。完善领导干部任期生态文明建设责任制、节能减排目标责任考核以及问责制度。建立科学合理的考核评价体系，考核结果作为各级领导班子和领导干部奖惩、提拔任用的重要依据。以土地资源、水资源、森林资源、生态环境治理为重点，健全领导干部自然资源资产离任审计制度，确保各项目标统计考核数据真实准确，建立生态环境损害责任终身追究制。</w:t>
      </w:r>
    </w:p>
    <w:p w14:paraId="39C19846">
      <w:pPr>
        <w:pStyle w:val="8"/>
        <w:spacing w:line="600" w:lineRule="exact"/>
        <w:ind w:firstLine="672"/>
        <w:rPr>
          <w:color w:val="000000" w:themeColor="text1"/>
        </w:rPr>
      </w:pPr>
      <w:r>
        <w:rPr>
          <w:rFonts w:hint="eastAsia"/>
          <w:color w:val="000000" w:themeColor="text1"/>
        </w:rPr>
        <w:t>四、以治理体系治理能力现代化为保障的生态文明制度体系</w:t>
      </w:r>
    </w:p>
    <w:p w14:paraId="08CACCD5">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成立盘山县生态环境保护委员会，统筹协调全县生态文明建设工作，按照权责统一、合理补偿、政府主导、社会参与的原则，探索健全多元化生态保护补偿机制。健全环境治理监管体系，实施“双随机、一公开”环境监管模式。强化行政执法，依法打击污染环境、破坏生态、损害社会公共利益的行为。逐步建立自然资源资产产权制度，完善自然资源资产监管体系，探索编制自然资源资产负债表。健全市场机制，拓宽环保投融资渠道，创新环保融资方式，吸引社会资本参与环境治理和生态保护。以政府购买服务等方式，加大对环境污染第三方治理的支持力度，探索发展生态修复和环境治理产品，深挖“绿苇红滩”产业价值。建立健全排污权有偿使用和交易机制，积极参与用能权和碳排放权交易。开展重点行业多污染物协同控制机制及技术方案研究。构建主要工业点源、农村面源和无组织源的排放监管技术体系，研究污染物总量指标分配与实施对策。</w:t>
      </w:r>
    </w:p>
    <w:p w14:paraId="2BFFC421">
      <w:pPr>
        <w:pStyle w:val="8"/>
        <w:spacing w:line="600" w:lineRule="exact"/>
        <w:ind w:firstLine="672"/>
        <w:rPr>
          <w:color w:val="000000" w:themeColor="text1"/>
        </w:rPr>
      </w:pPr>
      <w:r>
        <w:rPr>
          <w:rFonts w:hint="eastAsia"/>
          <w:color w:val="000000" w:themeColor="text1"/>
        </w:rPr>
        <w:t>五、以生态系统良性循环和环境风险有效防控为重点的生态安全体系</w:t>
      </w:r>
    </w:p>
    <w:p w14:paraId="476C41EA">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大力维护生态系统的完整性、稳定性和功能性。依法依规推动能耗、环保、安全、技术不达标或淘汰类产能关停，加快引导低端低效产能退出；严格项目准入管理，加强项目规划选址、环评、能评、用地标准控制和安全生产评估审查，禁止投资建设不符合产业政策的高耗能、高污染项目，以及不符合安全生产标准的各类项目；持续落实推进辽河沿岸、森林公园、八一水库、青年水库等生态区域的保护，加强国家生态公益林建设，努力增加森林碳汇。严格森林执法，禁止生态公益林采伐，加强古树名木保护，努力实现林草覆盖率、林草蓄积量、林草固碳能力“三增长”。实施环境风险分级分类管理，加强污染源环境风险隐患排查，完善生态环境监测监控系统，完善各项环境应急预案。</w:t>
      </w:r>
    </w:p>
    <w:p w14:paraId="2EDB753A">
      <w:pPr>
        <w:pStyle w:val="7"/>
        <w:spacing w:line="600" w:lineRule="exact"/>
        <w:ind w:firstLine="0" w:firstLineChars="0"/>
        <w:jc w:val="center"/>
        <w:rPr>
          <w:color w:val="000000" w:themeColor="text1"/>
        </w:rPr>
      </w:pPr>
      <w:bookmarkStart w:id="289" w:name="_Toc13341"/>
      <w:bookmarkStart w:id="290" w:name="_Toc10744"/>
      <w:bookmarkStart w:id="291" w:name="_Toc28200"/>
      <w:bookmarkStart w:id="292" w:name="_Toc22136"/>
      <w:bookmarkStart w:id="293" w:name="_Toc22673"/>
      <w:bookmarkStart w:id="294" w:name="_Toc6580"/>
      <w:bookmarkStart w:id="295" w:name="_Toc28279"/>
      <w:r>
        <w:rPr>
          <w:rFonts w:hint="eastAsia"/>
          <w:color w:val="000000" w:themeColor="text1"/>
        </w:rPr>
        <w:t>第二节 推动实施八大工程</w:t>
      </w:r>
      <w:bookmarkEnd w:id="289"/>
      <w:bookmarkEnd w:id="290"/>
      <w:bookmarkEnd w:id="291"/>
      <w:bookmarkEnd w:id="292"/>
      <w:bookmarkEnd w:id="293"/>
      <w:bookmarkEnd w:id="294"/>
      <w:bookmarkEnd w:id="295"/>
    </w:p>
    <w:p w14:paraId="3F136A35">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推动实施大气污染防治、水污染防治、土壤污染防治、生态多样性保护、湿地生态保护修复、农业农村污染治理、畜禽养殖综合整治、固体废物处理八大工程，夯实盘山县生态文明建设根基。</w:t>
      </w:r>
    </w:p>
    <w:p w14:paraId="263D05A0">
      <w:pPr>
        <w:pStyle w:val="8"/>
        <w:spacing w:line="600" w:lineRule="exact"/>
        <w:ind w:firstLine="672"/>
        <w:rPr>
          <w:color w:val="000000" w:themeColor="text1"/>
        </w:rPr>
      </w:pPr>
      <w:bookmarkStart w:id="296" w:name="_Toc27860802"/>
      <w:bookmarkStart w:id="297" w:name="_Toc30340207"/>
      <w:r>
        <w:rPr>
          <w:rFonts w:hint="eastAsia"/>
          <w:color w:val="000000" w:themeColor="text1"/>
        </w:rPr>
        <w:t>一、大气污染综合防治工程</w:t>
      </w:r>
      <w:bookmarkEnd w:id="296"/>
      <w:bookmarkEnd w:id="297"/>
    </w:p>
    <w:p w14:paraId="1E8B0E3E">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推进清洁能源利用，加快提高清洁取暖比重，有序扩大农村地区集中供暖延伸覆盖范围。强化散煤燃烧污染控制，严禁销售使用含硫量超过1%、灰分超过16%的散煤，禁燃区内取缔全部散煤销售网点。加强城市扬尘、烟尘管控，基本实现餐饮企业和经营商户油烟治理全覆盖。加强机动车和油品管控，严格实行高排放车辆区域禁行、限行工作，建立超标排放车辆维修治理制度和体系，严厉打击非法生产、销售不合格油品行为。持续推进工业企业、垃圾转运站和城镇污水处理厂大气污染综合治理，加大在线监督管理力度。</w:t>
      </w:r>
    </w:p>
    <w:p w14:paraId="1BBAF83C">
      <w:pPr>
        <w:pStyle w:val="8"/>
        <w:spacing w:line="600" w:lineRule="exact"/>
        <w:ind w:firstLine="672"/>
        <w:rPr>
          <w:color w:val="000000" w:themeColor="text1"/>
        </w:rPr>
      </w:pPr>
      <w:bookmarkStart w:id="298" w:name="_Toc30340208"/>
      <w:bookmarkStart w:id="299" w:name="_Toc27860803"/>
      <w:r>
        <w:rPr>
          <w:rFonts w:hint="eastAsia"/>
          <w:color w:val="000000" w:themeColor="text1"/>
        </w:rPr>
        <w:t>二、水污染综合防治工程</w:t>
      </w:r>
      <w:bookmarkEnd w:id="298"/>
      <w:bookmarkEnd w:id="299"/>
    </w:p>
    <w:p w14:paraId="38014D75">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完成集中式饮用水水源地一、二级保护区划定、勘界、立标工作。开展集中式饮用水水源年度风险评估，定期对集中式饮用水水源地周边环境安全隐患进行排查，制定保护区及其影响范围内的风险源名录和风险防控方案。加强对近海海域水污染环境监管和综合治理。开展入河排污口综合整治，全面排查、取缔违法入河排污口。实施河道清洁行动，深入落实河长制，制定实施“一河一策”达标方案。重点对镇街建成区黑臭水体开展整治，实现河面无大面积漂浮物、河岸无垃圾、无违法排污口。强化城镇污水处理设施运营监管，杜绝设施停运、空转，进一步完善污水处理设施及污水管网配套建设。力争到2025年，县城污水处理率达到100%，污泥全部无害化处理处置，镇街建成区生活污水实现全收集、全处理、全达标。</w:t>
      </w:r>
    </w:p>
    <w:p w14:paraId="478F26F1">
      <w:pPr>
        <w:pStyle w:val="8"/>
        <w:spacing w:line="600" w:lineRule="exact"/>
        <w:ind w:firstLine="672"/>
        <w:rPr>
          <w:color w:val="000000" w:themeColor="text1"/>
        </w:rPr>
      </w:pPr>
      <w:bookmarkStart w:id="300" w:name="_Toc30340209"/>
      <w:bookmarkStart w:id="301" w:name="_Toc27860804"/>
      <w:r>
        <w:rPr>
          <w:rFonts w:hint="eastAsia"/>
          <w:color w:val="000000" w:themeColor="text1"/>
        </w:rPr>
        <w:t>三、土壤污染综合防治工程</w:t>
      </w:r>
      <w:bookmarkEnd w:id="300"/>
      <w:bookmarkEnd w:id="301"/>
    </w:p>
    <w:p w14:paraId="26128058">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以农用地和重点行业企业用地为重点，开展全县土壤污染状况详查。加强土壤环境信息化管理。制定实施受污染耕地安全利用方案，采取农艺调控、替代种植等措施，降低农产品超标风险。对土壤环境重点监管企业开展用地土壤环境监测和环境风险评估，完善污染治理设施。严格管控石油开采过程中产生的各类污染物对土壤造成的污染，对县域内石油开采集中区域，适时执行重点污染物特别排放限值。组织开展农用地和建设用地土壤污染治理与修复试点，逐步建立土壤治理与修复技术体系。</w:t>
      </w:r>
    </w:p>
    <w:p w14:paraId="003D564E">
      <w:pPr>
        <w:pStyle w:val="8"/>
        <w:spacing w:line="600" w:lineRule="exact"/>
        <w:ind w:firstLine="672"/>
        <w:rPr>
          <w:color w:val="000000" w:themeColor="text1"/>
        </w:rPr>
      </w:pPr>
      <w:bookmarkStart w:id="302" w:name="_Toc30340210"/>
      <w:bookmarkStart w:id="303" w:name="_Toc27860805"/>
      <w:r>
        <w:rPr>
          <w:rFonts w:hint="eastAsia"/>
          <w:color w:val="000000" w:themeColor="text1"/>
        </w:rPr>
        <w:t>四、生态多样性保护工程</w:t>
      </w:r>
      <w:bookmarkEnd w:id="302"/>
      <w:bookmarkEnd w:id="303"/>
    </w:p>
    <w:p w14:paraId="46213D3C">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开展大规模绿化行动，扩大植树造林面积，减少土地退化面积。完善天然林保护制度，全面停止天然林商业性采伐，保护培育森林生态系统。创新产权模式，引导社会资金参与植树造林，严禁天然大树进城。加大景区景点、林地、湿地、畜禽禁养区等保护力度，适度开发公众休闲、旅游观光等旅游产品。优化城乡绿道、郊野公园等城乡生态基础设施布局，开发生态体验精品线路，打造绿色宜人的生态县城。强化自然保护区建设和管理，加大典型生态系统、物种、基因和景观多样性保护力度。完善珍稀濒危物种检测体系，扩大人工放流的品种、数量和范围，保护珍稀濒危物种多样性。</w:t>
      </w:r>
    </w:p>
    <w:p w14:paraId="1BADABFC">
      <w:pPr>
        <w:pStyle w:val="8"/>
        <w:spacing w:line="600" w:lineRule="exact"/>
        <w:ind w:firstLine="672"/>
        <w:rPr>
          <w:color w:val="000000" w:themeColor="text1"/>
        </w:rPr>
      </w:pPr>
      <w:bookmarkStart w:id="304" w:name="_Toc30340211"/>
      <w:bookmarkStart w:id="305" w:name="_Toc27860806"/>
      <w:r>
        <w:rPr>
          <w:rFonts w:hint="eastAsia"/>
          <w:color w:val="000000" w:themeColor="text1"/>
        </w:rPr>
        <w:t>五、湿地生态保护修复工程</w:t>
      </w:r>
      <w:bookmarkEnd w:id="304"/>
      <w:bookmarkEnd w:id="305"/>
    </w:p>
    <w:p w14:paraId="334E080B">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着力解决湿地碎片化问题，建设完整的滨海湿地生态系统。将辽河口盘山境内建成全国重要的湿地生态公园。推进县域海岸生态修复、退养还湿，扩大植被面积，恢复原生态滩涂，保护修复湿地与河湖生态系统。重点加强辽河口国家级自然保护区、辽宁盘山绕阳湾国家湿地公园、羊圈子省级重要湿地及小微湿地建设。建设生态监测站、观鸟点，完善湿地科普宣传教育和湿地科研监测设施，合理开展生态旅游。开展水体富营养化和湿地有害生物防治研究，在辽河、大辽河干流和主要支流、各大水库等重要湿地建立水体富营养化和湿地有害生物综合防治示范项目。</w:t>
      </w:r>
    </w:p>
    <w:p w14:paraId="2D023EE5">
      <w:pPr>
        <w:pStyle w:val="8"/>
        <w:spacing w:line="600" w:lineRule="exact"/>
        <w:ind w:firstLine="672"/>
        <w:rPr>
          <w:color w:val="000000" w:themeColor="text1"/>
        </w:rPr>
      </w:pPr>
      <w:bookmarkStart w:id="306" w:name="_Toc27860807"/>
      <w:bookmarkStart w:id="307" w:name="_Toc30340212"/>
      <w:r>
        <w:rPr>
          <w:rFonts w:hint="eastAsia"/>
          <w:color w:val="000000" w:themeColor="text1"/>
        </w:rPr>
        <w:t>六、农业农村污染治理工程</w:t>
      </w:r>
      <w:bookmarkEnd w:id="306"/>
      <w:bookmarkEnd w:id="307"/>
    </w:p>
    <w:p w14:paraId="6B08B569">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强化农业面源污染防治。实施化肥、农药零增长行动，大力推广粮食作物、设施农业及蔬菜、果树等经济园艺作物测土配方施肥技术。开展农用地废弃农膜回收利用，推广使用可降解塑料薄膜。持续开展农村人居环境整治，完善农村基础设施，建立长效管理机制，巩固提升农村生态环境质量。全面落实《盘锦市农作物秸秆禁烧实施方案》，研究出台秸秆综合利用方案。到2025年底，农村卫生厕所改造率达到100%，重点农村小型污水处理设施实现全覆盖。</w:t>
      </w:r>
    </w:p>
    <w:p w14:paraId="24E61DF7">
      <w:pPr>
        <w:pStyle w:val="8"/>
        <w:spacing w:line="600" w:lineRule="exact"/>
        <w:ind w:firstLine="672"/>
        <w:rPr>
          <w:color w:val="000000" w:themeColor="text1"/>
        </w:rPr>
      </w:pPr>
      <w:bookmarkStart w:id="308" w:name="_Toc27860808"/>
      <w:bookmarkStart w:id="309" w:name="_Toc30340213"/>
      <w:r>
        <w:rPr>
          <w:rFonts w:hint="eastAsia"/>
          <w:color w:val="000000" w:themeColor="text1"/>
        </w:rPr>
        <w:t>七、畜禽养殖污染综合整治工程</w:t>
      </w:r>
      <w:bookmarkEnd w:id="308"/>
      <w:bookmarkEnd w:id="309"/>
    </w:p>
    <w:p w14:paraId="44520748">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将饮用水水源保护区、自然保护区、风景名胜区、人口聚居区等禁养范围作为重点，加强环境监管。在禁养区内，严禁新建、扩建各类畜禽养殖场。在非禁养区内，控制畜禽养殖规模，并严格落实污染防治措施，实现污染物达标排放。严格规范兽药、饲料添加剂生产和使用，杜绝过量使用。开展畜禽养殖废弃物处理和资源化利用工作，建立畜禽养殖污染防治工作长效机制。建立规模化养殖场粪污处理配套和病死动物无害化处理设施建设，切实推进全县养殖废弃物处理和资源化利用。</w:t>
      </w:r>
    </w:p>
    <w:p w14:paraId="67DD30EF">
      <w:pPr>
        <w:pStyle w:val="8"/>
        <w:spacing w:line="600" w:lineRule="exact"/>
        <w:ind w:firstLine="672"/>
        <w:rPr>
          <w:color w:val="000000" w:themeColor="text1"/>
        </w:rPr>
      </w:pPr>
      <w:bookmarkStart w:id="310" w:name="_Toc30340214"/>
      <w:bookmarkStart w:id="311" w:name="_Toc27860809"/>
      <w:r>
        <w:rPr>
          <w:rFonts w:hint="eastAsia"/>
          <w:color w:val="000000" w:themeColor="text1"/>
        </w:rPr>
        <w:t>八、固体废物处理工程</w:t>
      </w:r>
      <w:bookmarkEnd w:id="310"/>
      <w:bookmarkEnd w:id="311"/>
    </w:p>
    <w:p w14:paraId="76FAB1B1">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加快生活垃圾分类处理城乡一体化推进进程，加强生活垃圾无害化处理，推进垃圾资源化利用。推进农村垃圾就地分类、资源化利用和处理，建立农村有机废弃物收集、转化、利用网络体系。积极推进危险废物综合利用处置项目的建设，提高危险废物处置利用企业准入标准，逐步淘汰规模小、工艺水平低的企业。加快固体废物智慧平台建设，以科技化、智慧化的固废监管模式，逐步实现危险废物从产生、贮存、转移到处置或利用全过程监管，防止危险废物污染事故发生。建立废铅蓄电池和废机油等社会源危险废物回收体系。</w:t>
      </w:r>
    </w:p>
    <w:p w14:paraId="2A3814BB">
      <w:pPr>
        <w:pStyle w:val="11"/>
        <w:spacing w:line="600" w:lineRule="exact"/>
        <w:ind w:firstLine="630"/>
        <w:rPr>
          <w:rFonts w:ascii="仿宋_GB2312" w:hAnsi="仿宋_GB2312" w:eastAsia="仿宋_GB2312" w:cs="仿宋_GB2312"/>
          <w:color w:val="000000" w:themeColor="text1"/>
          <w:kern w:val="0"/>
          <w:sz w:val="30"/>
          <w:szCs w:val="30"/>
        </w:rPr>
      </w:pPr>
    </w:p>
    <w:p w14:paraId="52DCC54B">
      <w:pPr>
        <w:spacing w:line="600" w:lineRule="exact"/>
        <w:ind w:firstLine="590"/>
        <w:rPr>
          <w:rFonts w:hint="eastAsia"/>
          <w:color w:val="000000" w:themeColor="text1"/>
        </w:rPr>
      </w:pPr>
    </w:p>
    <w:p w14:paraId="3C6973E8">
      <w:pPr>
        <w:pStyle w:val="2"/>
        <w:spacing w:line="600" w:lineRule="exact"/>
        <w:ind w:left="590" w:firstLine="590"/>
        <w:rPr>
          <w:rFonts w:hint="eastAsia"/>
          <w:color w:val="000000" w:themeColor="text1"/>
        </w:rPr>
      </w:pPr>
    </w:p>
    <w:p w14:paraId="1B52A2F6">
      <w:pPr>
        <w:spacing w:line="600" w:lineRule="exact"/>
        <w:ind w:firstLine="590"/>
        <w:rPr>
          <w:rFonts w:hint="eastAsia"/>
          <w:color w:val="000000" w:themeColor="text1"/>
        </w:rPr>
      </w:pPr>
    </w:p>
    <w:p w14:paraId="287A5D6F">
      <w:pPr>
        <w:pStyle w:val="2"/>
        <w:spacing w:line="600" w:lineRule="exact"/>
        <w:ind w:left="590" w:firstLine="590"/>
        <w:rPr>
          <w:rFonts w:hint="eastAsia"/>
          <w:color w:val="000000" w:themeColor="text1"/>
        </w:rPr>
      </w:pPr>
    </w:p>
    <w:p w14:paraId="4A5A5682">
      <w:pPr>
        <w:spacing w:line="600" w:lineRule="exact"/>
        <w:ind w:firstLine="590"/>
        <w:rPr>
          <w:rFonts w:hint="eastAsia"/>
          <w:color w:val="000000" w:themeColor="text1"/>
        </w:rPr>
      </w:pPr>
    </w:p>
    <w:p w14:paraId="759693BA">
      <w:pPr>
        <w:pStyle w:val="2"/>
        <w:spacing w:line="600" w:lineRule="exact"/>
        <w:ind w:left="590" w:firstLine="590"/>
        <w:rPr>
          <w:rFonts w:hint="eastAsia"/>
        </w:rPr>
      </w:pPr>
    </w:p>
    <w:p w14:paraId="0D3842BB">
      <w:pPr>
        <w:pStyle w:val="6"/>
        <w:spacing w:line="600" w:lineRule="exact"/>
        <w:ind w:firstLine="0" w:firstLineChars="0"/>
        <w:jc w:val="center"/>
        <w:rPr>
          <w:color w:val="000000" w:themeColor="text1"/>
          <w:sz w:val="36"/>
          <w:szCs w:val="36"/>
        </w:rPr>
      </w:pPr>
      <w:bookmarkStart w:id="312" w:name="_Toc23602"/>
      <w:bookmarkStart w:id="313" w:name="_Toc22532"/>
      <w:bookmarkStart w:id="314" w:name="_Toc22520"/>
      <w:bookmarkStart w:id="315" w:name="_Toc31130"/>
      <w:bookmarkStart w:id="316" w:name="_Toc15786"/>
      <w:bookmarkStart w:id="317" w:name="_Toc25280"/>
      <w:bookmarkStart w:id="318" w:name="_Toc28018"/>
      <w:r>
        <w:rPr>
          <w:rFonts w:hint="eastAsia"/>
          <w:color w:val="000000" w:themeColor="text1"/>
          <w:sz w:val="36"/>
          <w:szCs w:val="36"/>
        </w:rPr>
        <w:t>第十章 聚焦民生 完善普惠共享社会公共服务新</w:t>
      </w:r>
      <w:bookmarkEnd w:id="312"/>
      <w:bookmarkEnd w:id="313"/>
      <w:bookmarkEnd w:id="314"/>
      <w:bookmarkEnd w:id="315"/>
      <w:bookmarkEnd w:id="316"/>
      <w:bookmarkEnd w:id="317"/>
      <w:r>
        <w:rPr>
          <w:rFonts w:hint="eastAsia"/>
          <w:color w:val="000000" w:themeColor="text1"/>
          <w:sz w:val="36"/>
          <w:szCs w:val="36"/>
        </w:rPr>
        <w:t>保障</w:t>
      </w:r>
      <w:bookmarkEnd w:id="318"/>
    </w:p>
    <w:p w14:paraId="6D174F18">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坚持从解决人民群众最关心最直接最现实的利益问题入手，注重教育、卫生、文化、体育等设施均衡布局和资源优化配置，提高公共服务共建能力和共享水平。</w:t>
      </w:r>
    </w:p>
    <w:p w14:paraId="3ECB54CB">
      <w:pPr>
        <w:pStyle w:val="7"/>
        <w:spacing w:line="600" w:lineRule="exact"/>
        <w:ind w:firstLine="0" w:firstLineChars="0"/>
        <w:jc w:val="center"/>
        <w:rPr>
          <w:color w:val="000000" w:themeColor="text1"/>
        </w:rPr>
      </w:pPr>
      <w:bookmarkStart w:id="319" w:name="_Toc25343"/>
      <w:bookmarkStart w:id="320" w:name="_Toc7283"/>
      <w:bookmarkStart w:id="321" w:name="_Toc27420"/>
      <w:bookmarkStart w:id="322" w:name="_Toc8127"/>
      <w:bookmarkStart w:id="323" w:name="_Toc4167"/>
      <w:bookmarkStart w:id="324" w:name="_Toc6488"/>
      <w:bookmarkStart w:id="325" w:name="_Toc21386"/>
      <w:r>
        <w:rPr>
          <w:rFonts w:hint="eastAsia"/>
          <w:color w:val="000000" w:themeColor="text1"/>
        </w:rPr>
        <w:t>第一节 保就业促创业</w:t>
      </w:r>
      <w:bookmarkEnd w:id="319"/>
      <w:bookmarkEnd w:id="320"/>
      <w:bookmarkEnd w:id="321"/>
      <w:bookmarkEnd w:id="322"/>
      <w:bookmarkEnd w:id="323"/>
      <w:bookmarkEnd w:id="324"/>
      <w:bookmarkEnd w:id="325"/>
    </w:p>
    <w:p w14:paraId="4647E872">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坚持把稳定和扩大就业作为宏观调控的下限，加强经济政策与就业政策协调，形成劳动者自主择业、市场调节就业、政府促进就业和自主创业带动就业的新机制，努力实现充分就业。</w:t>
      </w:r>
    </w:p>
    <w:p w14:paraId="2299F966">
      <w:pPr>
        <w:pStyle w:val="8"/>
        <w:spacing w:line="600" w:lineRule="exact"/>
        <w:ind w:firstLine="672"/>
        <w:rPr>
          <w:color w:val="000000" w:themeColor="text1"/>
        </w:rPr>
      </w:pPr>
      <w:r>
        <w:rPr>
          <w:rFonts w:hint="eastAsia"/>
          <w:color w:val="000000" w:themeColor="text1"/>
        </w:rPr>
        <w:t>一、支持企业稳定就业</w:t>
      </w:r>
    </w:p>
    <w:p w14:paraId="0A5A24C0">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制定鼓励企业吸纳就业、落实失业保险稳岗返还、支持企业稳定劳动关系的鼓励政策。出台服务企业用工激励办法，推进政府购买就业服务，强化支持企业发展稳定就业。坚持重点企业挂钩联席制度，优化用工帮办服务。坚持线上线下相结合、内招外引相结合，适应需求灵活招聘，建立健全e就业定期视频求职招聘机制，打造“零工儿”便民就业智能共享服务平台。充分利用微信链接、就业创业公众号等平台开展招聘。完善在外人员信息台账，积极利用信息库服务群众就业和企业用工。鼓励企业发展吸纳就业能力强的产业，逐步建立公共投资和重大项目建设带动就业评估机制。</w:t>
      </w:r>
    </w:p>
    <w:p w14:paraId="3C3BD179">
      <w:pPr>
        <w:pStyle w:val="8"/>
        <w:spacing w:line="600" w:lineRule="exact"/>
        <w:ind w:firstLine="672"/>
        <w:rPr>
          <w:color w:val="000000" w:themeColor="text1"/>
        </w:rPr>
      </w:pPr>
      <w:r>
        <w:rPr>
          <w:rFonts w:hint="eastAsia"/>
          <w:color w:val="000000" w:themeColor="text1"/>
        </w:rPr>
        <w:t>二、发展经济扩大就业</w:t>
      </w:r>
    </w:p>
    <w:p w14:paraId="6B30BB75">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提高经济发展与就业、新旧动能转换与扩大就业“双联动”。支持实体经济、民营经济和小微企业高质量发展，巩固和发展就业主渠道，稳住就业基本盘。促进平台经济、众包经济、分享经济等创新发展，推动就业创业、社会保险政策服务向新就业形态覆盖。对符合条件的新兴业态企业吸纳高校毕业生、就业困难人员就业的，按规定落实相关补贴政策。加快发展文化旅游、健康养老等现代服务业，支持家庭服务业发展和转型升级，提高服务业从业人员比重。大力培育专业大户、家庭农场、农民合作社、农业企业等新型农业经营主体，扩大职业农民就业规模。加快推进专业化、信息化、产业化、国际化的人力资源服务体系建设，提高市场化配置人力资源的能力。</w:t>
      </w:r>
    </w:p>
    <w:p w14:paraId="0A596E35">
      <w:pPr>
        <w:pStyle w:val="8"/>
        <w:spacing w:line="600" w:lineRule="exact"/>
        <w:ind w:firstLine="672"/>
        <w:rPr>
          <w:color w:val="000000" w:themeColor="text1"/>
        </w:rPr>
      </w:pPr>
      <w:r>
        <w:rPr>
          <w:rFonts w:hint="eastAsia"/>
          <w:color w:val="000000" w:themeColor="text1"/>
        </w:rPr>
        <w:t>三、鼓励创业带动就业</w:t>
      </w:r>
    </w:p>
    <w:p w14:paraId="289BB124">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优化升级创业环境，实施市场主体住所（经营场所）登记申报承诺制，允许小微企业和自由职业者，依法将住宅、公寓登记注册为营业场所。依托科创大厦，支持农民工、高校毕业生、专业技术人员、技能人才返乡下乡创业；结合新型城镇化试点政策，开展支持农民工等相关人员返乡创业试点，推动人才链、资金链、产业链、创新链全要素集聚，实现创新、创业、就业良性循环。支持鼓励事业单位专业技术人员在职创办企业、离岗创业，离岗创业期间保留人事关系，发放国家规定的基本工资。建立政府性融资担保机构，引导更多金融资源支持创业就业；鼓励引进专业风险投资机构，为创业创新项目提供投融资对接。鼓励龙头企业围绕主导产业或企业自身技术需求，建设专业性科技企业孵化器，为上下游科技型小微企业提供孵化服务。</w:t>
      </w:r>
    </w:p>
    <w:p w14:paraId="5BC8BC15">
      <w:pPr>
        <w:pStyle w:val="8"/>
        <w:spacing w:line="600" w:lineRule="exact"/>
        <w:ind w:firstLine="672"/>
        <w:rPr>
          <w:color w:val="000000" w:themeColor="text1"/>
        </w:rPr>
      </w:pPr>
      <w:r>
        <w:rPr>
          <w:rFonts w:hint="eastAsia"/>
          <w:color w:val="000000" w:themeColor="text1"/>
        </w:rPr>
        <w:t>四、强化培训优化就业</w:t>
      </w:r>
    </w:p>
    <w:p w14:paraId="310E0144">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贯彻落实新一轮职业技能培训政策，出台盘山县职业技能提升行动方案实施细则，推动职业培训促进就业。探索建立覆盖城乡全体劳动者、贯穿劳动者学习工作终身的职业技能培训制度，逐步实现培训对象普惠化、培训资源市场化、培训方式多样化、评价机制多元化、培训管理规范化，完善职业培训补贴政策，扩大职业（工种）补贴范围，全面提升劳动者就业创业能力；完善职业资格评价、职业技能等级认定与专项能力考核相互补充的评价机制和培训补贴制度。</w:t>
      </w:r>
    </w:p>
    <w:p w14:paraId="07089052">
      <w:pPr>
        <w:pStyle w:val="8"/>
        <w:spacing w:line="600" w:lineRule="exact"/>
        <w:ind w:firstLine="672"/>
        <w:rPr>
          <w:color w:val="000000" w:themeColor="text1"/>
        </w:rPr>
      </w:pPr>
      <w:r>
        <w:rPr>
          <w:rFonts w:hint="eastAsia"/>
          <w:color w:val="000000" w:themeColor="text1"/>
        </w:rPr>
        <w:t>五、聚焦重点帮扶就业</w:t>
      </w:r>
    </w:p>
    <w:p w14:paraId="395DD131">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做好重点群体就业帮扶工作，强化对困难人员的就业援助，确保零就业家庭、最低生活保障家庭等困难家庭至少有一人就业。失业人员在常住地办理失业登记，申请享受当地就业创业服务、就业扶持政策、重点群体创业就业税收优惠政策。促进以高校毕业生、退伍军人、农民工为重点的青年就业。制定实施高校毕业生基层成长计划。落实城乡一体的就业创业扶持政策。坚持党对退役军人服务工作的全面领导，不断提升标准化、规范化、制度化、信息化水平，积极做好退役军人就业创业扶持、优抚帮扶等工作。</w:t>
      </w:r>
    </w:p>
    <w:p w14:paraId="1601A1BF">
      <w:pPr>
        <w:pStyle w:val="7"/>
        <w:spacing w:line="600" w:lineRule="exact"/>
        <w:ind w:firstLine="0" w:firstLineChars="0"/>
        <w:jc w:val="center"/>
        <w:rPr>
          <w:color w:val="000000" w:themeColor="text1"/>
        </w:rPr>
      </w:pPr>
      <w:bookmarkStart w:id="326" w:name="_Toc2242"/>
      <w:bookmarkStart w:id="327" w:name="_Toc10799"/>
      <w:bookmarkStart w:id="328" w:name="_Toc21269"/>
      <w:bookmarkStart w:id="329" w:name="_Toc16416"/>
      <w:bookmarkStart w:id="330" w:name="_Toc9689"/>
      <w:bookmarkStart w:id="331" w:name="_Toc18920"/>
      <w:bookmarkStart w:id="332" w:name="_Toc9193"/>
      <w:r>
        <w:rPr>
          <w:rFonts w:hint="eastAsia"/>
          <w:color w:val="000000" w:themeColor="text1"/>
        </w:rPr>
        <w:t>第二节 提升公共服务均等化水平</w:t>
      </w:r>
      <w:bookmarkEnd w:id="326"/>
      <w:bookmarkEnd w:id="327"/>
      <w:bookmarkEnd w:id="328"/>
      <w:bookmarkEnd w:id="329"/>
      <w:bookmarkEnd w:id="330"/>
      <w:bookmarkEnd w:id="331"/>
      <w:bookmarkEnd w:id="332"/>
    </w:p>
    <w:p w14:paraId="08F42296">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优化公共资源供给结构和质量，提升城乡公共服务均等化水平，重点培育优质教育资源，完善公共卫生和医疗服务体系，加快推动体育文化事业发展，不断提高人民群众生活质量。</w:t>
      </w:r>
    </w:p>
    <w:p w14:paraId="4818A6C6">
      <w:pPr>
        <w:pStyle w:val="8"/>
        <w:spacing w:line="600" w:lineRule="exact"/>
        <w:ind w:firstLine="672"/>
        <w:rPr>
          <w:color w:val="000000" w:themeColor="text1"/>
          <w:szCs w:val="32"/>
        </w:rPr>
      </w:pPr>
      <w:r>
        <w:rPr>
          <w:rFonts w:hint="eastAsia"/>
          <w:color w:val="000000" w:themeColor="text1"/>
          <w:szCs w:val="32"/>
        </w:rPr>
        <w:t>一、提升医疗卫生服务水平</w:t>
      </w:r>
    </w:p>
    <w:p w14:paraId="420E8A5C">
      <w:pPr>
        <w:adjustRightInd w:val="0"/>
        <w:snapToGrid w:val="0"/>
        <w:spacing w:afterLines="50"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坚持“大卫生、大健康、大服务、大共享”理念，建立健全覆盖城乡居民的现代医疗卫生体系。持续推进医药卫生体制改革，推动医药分离，健全职能明晰的协同联动机制，形成“三医联动”、协调发展的良好格局。推进公立医院薪酬制度改革，完善医改财政补偿机制。制定人才引进激励政策，加强全科医生队伍建设；探索实施家庭医师（护士）执业管理新机制，鼓励公立医院医师优先到基层机构、非公立医疗机构多点执业。完善突发公共卫生事件应急机制，补上新冠疫情暴露出来的短板弱项，提高公共卫生应急物资保障能力。加强医疗救治体系、疾病预防控制体系、卫生监督体系的建设，加强对重大传染病的预防和控制。严格落实基本药物制度，扩大基本药物制度覆盖面。深入开展爱国卫生运动，加强职业病、精神卫生防治网络建设。建立健全医保政策，到2025年城镇职工医保、城乡居民医保政策范围内住院医疗费用报销比例分别稳定在90%和75%以上，城乡居民基本医疗保险人均政府补助标准达到筹资水平的80%以上。</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5D1E5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dotted" w:color="auto" w:sz="4" w:space="0"/>
              <w:left w:val="dotted" w:color="auto" w:sz="4" w:space="0"/>
              <w:bottom w:val="dotted" w:color="auto" w:sz="4" w:space="0"/>
              <w:right w:val="dotted" w:color="auto" w:sz="4" w:space="0"/>
            </w:tcBorders>
            <w:shd w:val="clear" w:color="auto" w:fill="FFFFFF"/>
          </w:tcPr>
          <w:p w14:paraId="4C47C6F3">
            <w:pPr>
              <w:pStyle w:val="2"/>
              <w:spacing w:line="600" w:lineRule="exact"/>
              <w:ind w:left="590" w:firstLine="511"/>
              <w:jc w:val="center"/>
              <w:rPr>
                <w:rFonts w:asciiTheme="minorEastAsia" w:hAnsiTheme="minorEastAsia" w:eastAsiaTheme="minorEastAsia" w:cstheme="minorEastAsia"/>
                <w:color w:val="000000" w:themeColor="text1"/>
                <w:kern w:val="0"/>
                <w:szCs w:val="28"/>
              </w:rPr>
            </w:pPr>
            <w:r>
              <w:rPr>
                <w:rFonts w:hint="eastAsia" w:asciiTheme="minorEastAsia" w:hAnsiTheme="minorEastAsia" w:eastAsiaTheme="minorEastAsia" w:cstheme="minorEastAsia"/>
                <w:b/>
                <w:bCs/>
                <w:color w:val="000000" w:themeColor="text1"/>
                <w:sz w:val="24"/>
                <w:szCs w:val="24"/>
                <w:shd w:val="clear" w:color="auto" w:fill="FFFFFF"/>
              </w:rPr>
              <w:t>专栏10-1 医疗共同体工程</w:t>
            </w:r>
          </w:p>
        </w:tc>
      </w:tr>
      <w:tr w14:paraId="0AF70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dotted" w:color="auto" w:sz="4" w:space="0"/>
              <w:left w:val="dotted" w:color="auto" w:sz="4" w:space="0"/>
              <w:bottom w:val="dotted" w:color="auto" w:sz="4" w:space="0"/>
              <w:right w:val="dotted" w:color="auto" w:sz="4" w:space="0"/>
            </w:tcBorders>
            <w:shd w:val="clear" w:color="auto" w:fill="FFFFFF"/>
          </w:tcPr>
          <w:p w14:paraId="01B6E2A8">
            <w:pPr>
              <w:pStyle w:val="2"/>
              <w:spacing w:line="600" w:lineRule="exact"/>
              <w:ind w:left="0" w:leftChars="0" w:firstLine="510"/>
              <w:rPr>
                <w:rFonts w:asciiTheme="minorEastAsia" w:hAnsiTheme="minorEastAsia" w:eastAsiaTheme="minorEastAsia" w:cstheme="minorEastAsia"/>
                <w:color w:val="000000" w:themeColor="text1"/>
                <w:kern w:val="0"/>
                <w:szCs w:val="28"/>
              </w:rPr>
            </w:pPr>
            <w:r>
              <w:rPr>
                <w:rFonts w:hint="eastAsia" w:asciiTheme="minorEastAsia" w:hAnsiTheme="minorEastAsia" w:eastAsiaTheme="minorEastAsia" w:cstheme="minorEastAsia"/>
                <w:color w:val="000000" w:themeColor="text1"/>
                <w:sz w:val="24"/>
                <w:szCs w:val="24"/>
                <w:shd w:val="clear" w:color="auto" w:fill="FFFFFF"/>
              </w:rPr>
              <w:t>以县医院为诊疗中心，推动县——镇——村一体化管理的紧密型医疗共同体全面建成运行。重点完善县医院检验中心、病理中心、影像中心、心电中心、远程会诊中心、消毒供应中心硬件设备；强化村（社区）卫生机构软硬件提升建设；持续优化远程诊疗服务水平，提高硬件支撑能力。</w:t>
            </w:r>
          </w:p>
        </w:tc>
      </w:tr>
      <w:tr w14:paraId="69C97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dotted" w:color="auto" w:sz="4" w:space="0"/>
              <w:left w:val="dotted" w:color="auto" w:sz="4" w:space="0"/>
              <w:bottom w:val="dotted" w:color="auto" w:sz="4" w:space="0"/>
              <w:right w:val="dotted" w:color="auto" w:sz="4" w:space="0"/>
            </w:tcBorders>
            <w:shd w:val="clear" w:color="auto" w:fill="FFFFFF"/>
          </w:tcPr>
          <w:p w14:paraId="00E66DC5">
            <w:pPr>
              <w:pStyle w:val="2"/>
              <w:spacing w:line="600" w:lineRule="exact"/>
              <w:ind w:left="0" w:leftChars="0" w:firstLine="511"/>
              <w:jc w:val="center"/>
              <w:rPr>
                <w:rFonts w:hint="eastAsia"/>
                <w:color w:val="000000" w:themeColor="text1"/>
              </w:rPr>
            </w:pPr>
            <w:r>
              <w:rPr>
                <w:rFonts w:hint="eastAsia" w:asciiTheme="minorEastAsia" w:hAnsiTheme="minorEastAsia" w:eastAsiaTheme="minorEastAsia" w:cstheme="minorEastAsia"/>
                <w:b/>
                <w:bCs/>
                <w:color w:val="000000" w:themeColor="text1"/>
                <w:sz w:val="24"/>
                <w:szCs w:val="24"/>
              </w:rPr>
              <w:t>专栏10-2 补短板强弱项医疗体系</w:t>
            </w:r>
          </w:p>
        </w:tc>
      </w:tr>
      <w:tr w14:paraId="694D1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dotted" w:color="auto" w:sz="4" w:space="0"/>
              <w:left w:val="dotted" w:color="auto" w:sz="4" w:space="0"/>
              <w:bottom w:val="dotted" w:color="auto" w:sz="4" w:space="0"/>
              <w:right w:val="dotted" w:color="auto" w:sz="4" w:space="0"/>
            </w:tcBorders>
            <w:shd w:val="clear" w:color="auto" w:fill="FFFFFF"/>
          </w:tcPr>
          <w:p w14:paraId="02BB8090">
            <w:pPr>
              <w:pStyle w:val="2"/>
              <w:spacing w:line="600" w:lineRule="exact"/>
              <w:ind w:left="0" w:leftChars="0" w:firstLine="510"/>
              <w:rPr>
                <w:rFonts w:hint="eastAsia"/>
                <w:color w:val="000000" w:themeColor="text1"/>
              </w:rPr>
            </w:pPr>
            <w:bookmarkStart w:id="333" w:name="_Hlk51528026"/>
            <w:r>
              <w:rPr>
                <w:rFonts w:hint="eastAsia" w:asciiTheme="minorEastAsia" w:hAnsiTheme="minorEastAsia" w:eastAsiaTheme="minorEastAsia" w:cstheme="minorEastAsia"/>
                <w:color w:val="000000" w:themeColor="text1"/>
                <w:sz w:val="24"/>
                <w:szCs w:val="24"/>
                <w:shd w:val="clear" w:color="auto" w:fill="FFFFFF"/>
              </w:rPr>
              <w:t>重点推进盘山县中医院改扩建及重大疫情救助基地项目、盘山县人民医院平战转换综合楼项目、辽宁省盘锦市盘山县疾病预防控制中心改建建设项目、盘山县医用机器人区域救治能力提升项目、盘山县人民医院应急储备库项目、盘山县人民医院妇产儿童科室提升建设项目、盘锦市盘山县人民医院综合服务能力建设项目。</w:t>
            </w:r>
            <w:bookmarkEnd w:id="333"/>
            <w:r>
              <w:rPr>
                <w:rFonts w:hint="eastAsia" w:asciiTheme="minorEastAsia" w:hAnsiTheme="minorEastAsia" w:eastAsiaTheme="minorEastAsia" w:cstheme="minorEastAsia"/>
                <w:color w:val="000000" w:themeColor="text1"/>
                <w:sz w:val="24"/>
                <w:szCs w:val="24"/>
                <w:shd w:val="clear" w:color="auto" w:fill="FFFFFF"/>
              </w:rPr>
              <w:t>其中，将盘山县中医院改扩建成以中医药诊疗治疗、康复、疫情救治基地为特色的综合型中医医院；盘山县人民医院平战转换综合楼具备平战两用功能，发生疫情时整栋楼可转换为负压病房。</w:t>
            </w:r>
          </w:p>
        </w:tc>
      </w:tr>
    </w:tbl>
    <w:p w14:paraId="026AA52F">
      <w:pPr>
        <w:pStyle w:val="8"/>
        <w:spacing w:line="600" w:lineRule="exact"/>
        <w:ind w:firstLine="672"/>
        <w:rPr>
          <w:color w:val="000000" w:themeColor="text1"/>
          <w:szCs w:val="32"/>
        </w:rPr>
      </w:pPr>
      <w:r>
        <w:rPr>
          <w:rFonts w:hint="eastAsia"/>
          <w:color w:val="000000" w:themeColor="text1"/>
          <w:szCs w:val="32"/>
        </w:rPr>
        <w:t>二、提升全民健康水平</w:t>
      </w:r>
    </w:p>
    <w:p w14:paraId="425E1E44">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完善卫生健康科技创新体系。探索“互联网＋医疗”模式，推进人口健康信息化建设，建立居民体质大数据库，促进人口健康发展。认真开展妇女儿童工作，深入贯彻实施妇女儿童发展规划，加强妇幼保健体系建设，保障妇女儿童及未成年人合法权益，促进妇女儿童和未成年人事业全面发展。深入贯彻《盘山县中长期青年发展规划（</w:t>
      </w:r>
      <w:r>
        <w:rPr>
          <w:rFonts w:ascii="仿宋_GB2312" w:hAnsi="仿宋_GB2312" w:eastAsia="仿宋_GB2312" w:cs="仿宋_GB2312"/>
          <w:color w:val="000000" w:themeColor="text1"/>
          <w:kern w:val="0"/>
          <w:sz w:val="30"/>
          <w:szCs w:val="30"/>
        </w:rPr>
        <w:t>2020-2025年）》，充分照顾青年的特点和利益，优化青年成长环境，服务青年紧迫需求，维护青年发展权益，促进青年全面发展。</w:t>
      </w:r>
      <w:r>
        <w:rPr>
          <w:rFonts w:hint="eastAsia" w:ascii="仿宋_GB2312" w:hAnsi="仿宋_GB2312" w:eastAsia="仿宋_GB2312" w:cs="仿宋_GB2312"/>
          <w:color w:val="000000" w:themeColor="text1"/>
          <w:kern w:val="0"/>
          <w:sz w:val="30"/>
          <w:szCs w:val="30"/>
        </w:rPr>
        <w:t>建立健全产前筛查和新生儿筛查预防报告制度，做到早发现、早干预、早治疗，减少出生缺陷和残疾的发生。</w:t>
      </w:r>
    </w:p>
    <w:p w14:paraId="4CFE60C0">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完善公共体育服务体系。统筹全县体育设施资源，鼓励各类体育设施向社会公众开放。加快公益体育设施建设，推进社区体育设施规范化、标准化建设。大力发展群众体育、竞技体育，推动全民健身。广泛开展青少年阳光体育活动，深入开展青少年校园足球活动。以学校、社区为重点，大力推动健身休闲、竞赛表演、技能培训、场馆服务等重点体育产业发展。到2025年，经常参加体育健身活动的居民比例达到70%以上，国民体质主要指标达到全省中等水平。</w:t>
      </w:r>
    </w:p>
    <w:p w14:paraId="590F8FE4">
      <w:pPr>
        <w:pStyle w:val="8"/>
        <w:spacing w:line="600" w:lineRule="exact"/>
        <w:ind w:firstLine="672"/>
        <w:rPr>
          <w:color w:val="000000" w:themeColor="text1"/>
          <w:szCs w:val="32"/>
        </w:rPr>
      </w:pPr>
      <w:r>
        <w:rPr>
          <w:rFonts w:hint="eastAsia"/>
          <w:color w:val="000000" w:themeColor="text1"/>
          <w:szCs w:val="32"/>
        </w:rPr>
        <w:t>三、促进教育优质均衡发展</w:t>
      </w:r>
    </w:p>
    <w:p w14:paraId="314872DA">
      <w:pPr>
        <w:adjustRightInd w:val="0"/>
        <w:snapToGrid w:val="0"/>
        <w:spacing w:afterLines="50"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坚持基础教育的公益性和普惠性。加快消除城乡差距、校际差距，均衡合理配置教师、设备、图书、校舍等资源，提升义务教育公平度、适合度和满意度，努力办好人民群众满意的优质均衡教育。引导社会力量建设普惠性幼儿园（托儿所），实现义务教育校舍和场所标准化；加强普通高中校园校舍设施建设，全面解决大班额问题，提升教育环境，推进教育品牌化；依托全市在甜水建设石化技校的资源优势，增强职业教育资源供给能力，努力建设适应盘山经济社会发展需求、产教深度融合、职业教育与普通教育相互融通、具有盘山特色的现代职业教育体系。保障进城务工人员随迁子女平等接受义务教育，加大贫困学生资助力度，构建涵盖学前教育、义务教育和高中教育的资助体系，实现困难学生群体资助“全覆盖”，确保无学生因家庭经济困难辍学。到2025年，实现城乡广大幼儿就近入园，有效缓解“入园难、入园贵”的矛盾；各学段教育教学质量在全市处于领先地位；全面打造“数字化智慧教育”全国示范县。</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1918E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dotted" w:color="auto" w:sz="4" w:space="0"/>
              <w:left w:val="dotted" w:color="auto" w:sz="4" w:space="0"/>
              <w:bottom w:val="dotted" w:color="auto" w:sz="4" w:space="0"/>
              <w:right w:val="dotted" w:color="auto" w:sz="4" w:space="0"/>
            </w:tcBorders>
            <w:shd w:val="clear" w:color="auto" w:fill="FFFFFF"/>
          </w:tcPr>
          <w:p w14:paraId="170582C1">
            <w:pPr>
              <w:adjustRightInd w:val="0"/>
              <w:snapToGrid w:val="0"/>
              <w:spacing w:line="600" w:lineRule="exact"/>
              <w:ind w:firstLine="511"/>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b/>
                <w:bCs/>
                <w:color w:val="000000" w:themeColor="text1"/>
                <w:sz w:val="24"/>
                <w:szCs w:val="24"/>
              </w:rPr>
              <w:t>专栏10-3名校名师名校长培育工程</w:t>
            </w:r>
          </w:p>
        </w:tc>
      </w:tr>
      <w:tr w14:paraId="04A2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000" w:type="pct"/>
            <w:tcBorders>
              <w:top w:val="dotted" w:color="auto" w:sz="4" w:space="0"/>
              <w:left w:val="dotted" w:color="auto" w:sz="4" w:space="0"/>
              <w:bottom w:val="dotted" w:color="auto" w:sz="4" w:space="0"/>
              <w:right w:val="dotted" w:color="auto" w:sz="4" w:space="0"/>
            </w:tcBorders>
            <w:shd w:val="clear" w:color="auto" w:fill="FFFFFF"/>
          </w:tcPr>
          <w:p w14:paraId="0F38ECC9">
            <w:pPr>
              <w:adjustRightInd w:val="0"/>
              <w:snapToGrid w:val="0"/>
              <w:spacing w:line="600" w:lineRule="exact"/>
              <w:ind w:firstLine="51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建设完善名校联盟、集团办学、教育发展共同体等紧密型办学模式，通过一对一、一拖三、“名校+弱校”、“名校+新校”、“名校+民校”等方式，促进优质教育资源共享。深入推进名师名校长培养工程，力争到2025年，全县学科带头人和骨干教师占比达到35%以上，省、市级优秀校长和教师人数实现翻倍。</w:t>
            </w:r>
          </w:p>
        </w:tc>
      </w:tr>
      <w:tr w14:paraId="786B0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dotted" w:color="auto" w:sz="4" w:space="0"/>
              <w:left w:val="dotted" w:color="auto" w:sz="4" w:space="0"/>
              <w:bottom w:val="dotted" w:color="auto" w:sz="4" w:space="0"/>
              <w:right w:val="dotted" w:color="auto" w:sz="4" w:space="0"/>
            </w:tcBorders>
            <w:shd w:val="clear" w:color="auto" w:fill="FFFFFF"/>
          </w:tcPr>
          <w:p w14:paraId="3281E938">
            <w:pPr>
              <w:adjustRightInd w:val="0"/>
              <w:snapToGrid w:val="0"/>
              <w:spacing w:line="600" w:lineRule="exact"/>
              <w:ind w:firstLine="511"/>
              <w:jc w:val="center"/>
              <w:rPr>
                <w:rFonts w:asciiTheme="minorEastAsia" w:hAnsiTheme="minorEastAsia" w:eastAsiaTheme="minorEastAsia" w:cstheme="minorEastAsia"/>
                <w:color w:val="000000" w:themeColor="text1"/>
                <w:sz w:val="24"/>
                <w:szCs w:val="24"/>
              </w:rPr>
            </w:pPr>
            <w:bookmarkStart w:id="334" w:name="_Toc2246"/>
            <w:r>
              <w:rPr>
                <w:rFonts w:hint="eastAsia" w:asciiTheme="minorEastAsia" w:hAnsiTheme="minorEastAsia" w:eastAsiaTheme="minorEastAsia" w:cstheme="minorEastAsia"/>
                <w:b/>
                <w:bCs/>
                <w:color w:val="000000" w:themeColor="text1"/>
                <w:sz w:val="24"/>
                <w:szCs w:val="24"/>
              </w:rPr>
              <w:t>专栏10-4 均衡优质教育项目</w:t>
            </w:r>
          </w:p>
        </w:tc>
      </w:tr>
      <w:tr w14:paraId="7EB24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dotted" w:color="auto" w:sz="4" w:space="0"/>
              <w:left w:val="dotted" w:color="auto" w:sz="4" w:space="0"/>
              <w:bottom w:val="dotted" w:color="auto" w:sz="4" w:space="0"/>
              <w:right w:val="dotted" w:color="auto" w:sz="4" w:space="0"/>
            </w:tcBorders>
            <w:shd w:val="clear" w:color="auto" w:fill="FFFFFF"/>
          </w:tcPr>
          <w:p w14:paraId="53CE050B">
            <w:pPr>
              <w:adjustRightInd w:val="0"/>
              <w:snapToGrid w:val="0"/>
              <w:spacing w:line="600" w:lineRule="exact"/>
              <w:ind w:firstLine="51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重点实施盘山县高级中学提升改造建设项目、盘山县寄宿制学校校舍设施建设项目、盘山县职业教育中心实习实训基地改建提升工程项目、盘山县义务教育能力提升项目、盘山县弘毅中学学生公寓建设项目、盘山县国际青少年足球培训中心和盘山县新时代百姓大学堂项目。</w:t>
            </w:r>
          </w:p>
        </w:tc>
      </w:tr>
    </w:tbl>
    <w:p w14:paraId="06E34172">
      <w:pPr>
        <w:pStyle w:val="7"/>
        <w:spacing w:line="600" w:lineRule="exact"/>
        <w:ind w:firstLine="0" w:firstLineChars="0"/>
        <w:jc w:val="center"/>
        <w:rPr>
          <w:color w:val="000000" w:themeColor="text1"/>
        </w:rPr>
      </w:pPr>
      <w:bookmarkStart w:id="335" w:name="_Toc10144"/>
      <w:bookmarkStart w:id="336" w:name="_Toc26670"/>
      <w:bookmarkStart w:id="337" w:name="_Toc16577"/>
      <w:bookmarkStart w:id="338" w:name="_Toc8661"/>
      <w:bookmarkStart w:id="339" w:name="_Toc20151"/>
      <w:bookmarkStart w:id="340" w:name="_Toc32327"/>
      <w:r>
        <w:rPr>
          <w:rFonts w:hint="eastAsia"/>
          <w:color w:val="000000" w:themeColor="text1"/>
        </w:rPr>
        <w:t>第三节 构建公平高效的社会保障体系</w:t>
      </w:r>
      <w:bookmarkEnd w:id="334"/>
      <w:bookmarkEnd w:id="335"/>
      <w:bookmarkEnd w:id="336"/>
      <w:bookmarkEnd w:id="337"/>
      <w:bookmarkEnd w:id="338"/>
      <w:bookmarkEnd w:id="339"/>
      <w:bookmarkEnd w:id="340"/>
    </w:p>
    <w:p w14:paraId="5D555D4E">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把社会保障作为民生之基，强化以养老、医疗、失业、工伤、生育五项保险为重点的基本保障，全面建成“覆盖全民、城乡统筹、权责清晰、保障适度、可持续”的多层次社会保障体系。</w:t>
      </w:r>
    </w:p>
    <w:p w14:paraId="0E50AA0F">
      <w:pPr>
        <w:pStyle w:val="8"/>
        <w:spacing w:line="600" w:lineRule="exact"/>
        <w:ind w:firstLine="672"/>
        <w:rPr>
          <w:color w:val="000000" w:themeColor="text1"/>
          <w:szCs w:val="32"/>
        </w:rPr>
      </w:pPr>
      <w:r>
        <w:rPr>
          <w:rFonts w:hint="eastAsia"/>
          <w:color w:val="000000" w:themeColor="text1"/>
          <w:szCs w:val="32"/>
        </w:rPr>
        <w:t>一、完善覆盖全民的社会保障体系</w:t>
      </w:r>
    </w:p>
    <w:p w14:paraId="450EE2BF">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完善社会保障、社会救助和养老服务制度，确保城镇职工社会保险、城乡居民养老保险和医疗保险覆盖率稳定在99%以上。强势推进被征地农民刚性进保、即征即保、应保尽保。做好失业保险扩面征缴，增强失业保险基金保障能力。严格贯彻执行国家、省阶段性“减免缓”企业社会保险费政策。按照上级部署，及时调整企业和机关事业单位退休人员养老金。继续推进机关事业单位养老保险制度改革相关工作。鼓励引导社会力量参与养老机构的建设和运营，强化养老服务社会化发展，全面建成以居家为基础、社区为依托、机构为补充、医养融合发展、覆盖全体老年人的多层次社会养老服务体系。积极完善以公共租赁住房为主体的保障性住房供应体系，扩大保障性住房覆盖范围。到2025年，社会力量经营的养老机构床位数达到70%以上，专业机构运营的日间照料中心达到50%以上。</w:t>
      </w:r>
    </w:p>
    <w:p w14:paraId="6EA55A28">
      <w:pPr>
        <w:pStyle w:val="8"/>
        <w:spacing w:line="600" w:lineRule="exact"/>
        <w:ind w:firstLine="672"/>
        <w:rPr>
          <w:color w:val="000000" w:themeColor="text1"/>
          <w:szCs w:val="32"/>
        </w:rPr>
      </w:pPr>
      <w:r>
        <w:rPr>
          <w:rFonts w:hint="eastAsia"/>
          <w:color w:val="000000" w:themeColor="text1"/>
          <w:szCs w:val="32"/>
        </w:rPr>
        <w:t>二、提高社会救助水平</w:t>
      </w:r>
    </w:p>
    <w:p w14:paraId="7B3CE157">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整体推进民生福利事业，筑牢民生保障底线。全面推行以常住人口为对象的“救急难”服务，构建涵盖低保、特困供养、低保边缘、受灾、医疗、教育、住房、就业和临时救助等9大救助制度的“大救助、大联动”现代社会救助保障体系。镇（街道）层面设立“一站式”救助窗口，健全“一门受理、协同办理”的工作机制，确保困难群众求助有门、受助及时。探索低保标准与人均消费支出挂钩，解决“支出型”贫困难题。妥善做好困难企业职工和关停并转企业失业职工社会保障工作。落实妇女儿童发展纲要，实施关爱留守妇女儿童和空巢老人计划，落实困境儿童分类保障制度，切实保障妇女儿童合法权益。健全残疾人保障服务体系。支持慈善事业发展，广泛动员社会力量开展社会救济和社会互助、志愿服务活动。</w:t>
      </w:r>
    </w:p>
    <w:p w14:paraId="2B53E6D2">
      <w:pPr>
        <w:pStyle w:val="2"/>
        <w:spacing w:line="600" w:lineRule="exact"/>
        <w:ind w:left="590" w:firstLine="590"/>
        <w:rPr>
          <w:rFonts w:asciiTheme="minorEastAsia" w:hAnsiTheme="minorEastAsia" w:eastAsiaTheme="minorEastAsia" w:cstheme="minorEastAsia"/>
          <w:color w:val="000000" w:themeColor="text1"/>
          <w:kern w:val="0"/>
          <w:szCs w:val="28"/>
        </w:rPr>
        <w:sectPr>
          <w:footerReference r:id="rId13" w:type="default"/>
          <w:pgSz w:w="11906" w:h="16838"/>
          <w:pgMar w:top="2154" w:right="1531" w:bottom="1814" w:left="1531" w:header="851" w:footer="992" w:gutter="0"/>
          <w:pgNumType w:fmt="numberInDash"/>
          <w:cols w:space="0" w:num="1"/>
          <w:docGrid w:type="linesAndChars" w:linePitch="585" w:charSpace="3031"/>
        </w:sectPr>
      </w:pPr>
    </w:p>
    <w:p w14:paraId="5980CA81">
      <w:pPr>
        <w:pStyle w:val="6"/>
        <w:spacing w:line="600" w:lineRule="exact"/>
        <w:ind w:firstLine="0" w:firstLineChars="0"/>
        <w:jc w:val="center"/>
        <w:rPr>
          <w:color w:val="000000" w:themeColor="text1"/>
          <w:sz w:val="36"/>
          <w:szCs w:val="36"/>
        </w:rPr>
      </w:pPr>
      <w:bookmarkStart w:id="341" w:name="_Toc20013"/>
      <w:bookmarkStart w:id="342" w:name="_Toc9028"/>
      <w:bookmarkStart w:id="343" w:name="_Toc4667"/>
      <w:bookmarkStart w:id="344" w:name="_Toc30667"/>
      <w:bookmarkStart w:id="345" w:name="_Toc25467"/>
      <w:bookmarkStart w:id="346" w:name="_Toc2547"/>
      <w:bookmarkStart w:id="347" w:name="_Toc3169"/>
      <w:bookmarkStart w:id="348" w:name="_Toc6495"/>
      <w:r>
        <w:rPr>
          <w:rFonts w:hint="eastAsia"/>
          <w:color w:val="000000" w:themeColor="text1"/>
          <w:sz w:val="36"/>
          <w:szCs w:val="36"/>
        </w:rPr>
        <w:t>第十一章 文化强县 提升盘山发展软实力</w:t>
      </w:r>
      <w:bookmarkEnd w:id="341"/>
      <w:r>
        <w:rPr>
          <w:rFonts w:hint="eastAsia"/>
          <w:color w:val="000000" w:themeColor="text1"/>
          <w:sz w:val="36"/>
          <w:szCs w:val="36"/>
        </w:rPr>
        <w:t>新优势</w:t>
      </w:r>
      <w:bookmarkEnd w:id="342"/>
      <w:bookmarkEnd w:id="343"/>
      <w:bookmarkEnd w:id="344"/>
      <w:bookmarkEnd w:id="345"/>
      <w:bookmarkEnd w:id="346"/>
      <w:bookmarkEnd w:id="347"/>
      <w:bookmarkEnd w:id="348"/>
    </w:p>
    <w:p w14:paraId="039A371B">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 xml:space="preserve">繁荣发展文化事业和文化产业，全面提高社会文明程度，提升公共文化服务水平，健全现代文化产业体系，培育盘山文化软实力。 </w:t>
      </w:r>
    </w:p>
    <w:p w14:paraId="45A4CA8B">
      <w:pPr>
        <w:pStyle w:val="7"/>
        <w:spacing w:line="600" w:lineRule="exact"/>
        <w:ind w:firstLine="0" w:firstLineChars="0"/>
        <w:jc w:val="center"/>
        <w:rPr>
          <w:color w:val="000000" w:themeColor="text1"/>
        </w:rPr>
      </w:pPr>
      <w:bookmarkStart w:id="349" w:name="_Toc26140"/>
      <w:bookmarkStart w:id="350" w:name="_Toc4716"/>
      <w:bookmarkStart w:id="351" w:name="_Toc21366"/>
      <w:bookmarkStart w:id="352" w:name="_Toc8211"/>
      <w:bookmarkStart w:id="353" w:name="_Toc13563"/>
      <w:bookmarkStart w:id="354" w:name="_Toc27956"/>
      <w:bookmarkStart w:id="355" w:name="_Toc8389"/>
      <w:bookmarkStart w:id="356" w:name="_Toc30917"/>
      <w:r>
        <w:rPr>
          <w:rFonts w:hint="eastAsia"/>
          <w:color w:val="000000" w:themeColor="text1"/>
        </w:rPr>
        <w:t>第一节 培育践行社会主义核心价值观</w:t>
      </w:r>
      <w:bookmarkEnd w:id="349"/>
      <w:bookmarkEnd w:id="350"/>
      <w:bookmarkEnd w:id="351"/>
      <w:bookmarkEnd w:id="352"/>
      <w:bookmarkEnd w:id="353"/>
      <w:bookmarkEnd w:id="354"/>
      <w:bookmarkEnd w:id="355"/>
      <w:bookmarkEnd w:id="356"/>
    </w:p>
    <w:p w14:paraId="37D98BE7">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坚持正确舆论引导，推动社会主义核心价值观深入人心，全面提升居民思想道德素质、科学文化素质和身心健康素质，树立文化自信和价值观自信，厚植爱国情怀，筑牢精神之基。</w:t>
      </w:r>
    </w:p>
    <w:p w14:paraId="3EF7D2B7">
      <w:pPr>
        <w:pStyle w:val="8"/>
        <w:spacing w:line="600" w:lineRule="exact"/>
        <w:ind w:firstLine="672"/>
        <w:rPr>
          <w:color w:val="000000" w:themeColor="text1"/>
          <w:szCs w:val="32"/>
        </w:rPr>
      </w:pPr>
      <w:r>
        <w:rPr>
          <w:rFonts w:hint="eastAsia"/>
          <w:color w:val="000000" w:themeColor="text1"/>
          <w:szCs w:val="32"/>
        </w:rPr>
        <w:t>一、牢固树立文化自信和价值观自信</w:t>
      </w:r>
    </w:p>
    <w:p w14:paraId="35B26811">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坚持以社会主义核心价值观为引领，加强社会主义核心价值体系建设，不断增强奋发向上的精神动力。坚持物质文明和精神文明一起抓，提升居民精神风貌，以传承发展盘山优秀传统文化、红色文化为核心，倡树文明乡风、良好家风、淳朴民风，积极申请承建东北地区国歌展示馆等革命教育基地，培育盘山文明新风尚。强化学习教育，把社会主义核心价值观融入国民教育全过程，让广大居民准确掌握社会主义核心价值观的丰富内涵，深刻理解并发自内心地认同其核心要义，持续拓展文明城市创建的深度和广度。持续深化社会主义核心价值观学习教育，引导广大党员干部进一步坚定对马克思主义的信仰，对中国特色社会主义道路、理论、制度、文化的自信。</w:t>
      </w:r>
    </w:p>
    <w:p w14:paraId="29405889">
      <w:pPr>
        <w:pStyle w:val="8"/>
        <w:spacing w:line="600" w:lineRule="exact"/>
        <w:ind w:firstLine="672"/>
        <w:rPr>
          <w:color w:val="000000" w:themeColor="text1"/>
          <w:szCs w:val="32"/>
        </w:rPr>
      </w:pPr>
      <w:r>
        <w:rPr>
          <w:rFonts w:hint="eastAsia"/>
          <w:color w:val="000000" w:themeColor="text1"/>
          <w:szCs w:val="32"/>
        </w:rPr>
        <w:t>二、坚持正确舆论导向</w:t>
      </w:r>
    </w:p>
    <w:p w14:paraId="7444F785">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推动核心价值观宣传覆盖各类媒体、各类宣传文化阵地、各类人群、各类公共空间。充分发挥领导干部、公众人物、青少年等重点人群的示范作用，积极</w:t>
      </w:r>
      <w:bookmarkStart w:id="357" w:name="OLE_LINK3"/>
      <w:r>
        <w:rPr>
          <w:rFonts w:hint="eastAsia" w:ascii="仿宋_GB2312" w:hAnsi="仿宋_GB2312" w:eastAsia="仿宋_GB2312" w:cs="仿宋_GB2312"/>
          <w:color w:val="000000" w:themeColor="text1"/>
          <w:kern w:val="0"/>
          <w:sz w:val="30"/>
          <w:szCs w:val="30"/>
        </w:rPr>
        <w:t>培树</w:t>
      </w:r>
      <w:bookmarkEnd w:id="357"/>
      <w:r>
        <w:rPr>
          <w:rFonts w:hint="eastAsia" w:ascii="仿宋_GB2312" w:hAnsi="仿宋_GB2312" w:eastAsia="仿宋_GB2312" w:cs="仿宋_GB2312"/>
          <w:color w:val="000000" w:themeColor="text1"/>
          <w:kern w:val="0"/>
          <w:sz w:val="30"/>
          <w:szCs w:val="30"/>
        </w:rPr>
        <w:t>在全国、全省、全市有影响的道德楷模人物，持续推动“身边好人”活动。深入实施市民道德建设工程，推进市民文明素质提升，促进全社会形成“善、孝、爱、忠”的良好道德风尚。把社会主义核心价值观融入社会发展各方面，融入到文艺精品创作、文化惠民活动、文化产品生产中，使之转化为群众的情感认同和行为习惯。创新传承优秀传统文化，赋予时代内涵，展现永久魅力。</w:t>
      </w:r>
    </w:p>
    <w:p w14:paraId="738E9695">
      <w:pPr>
        <w:pStyle w:val="7"/>
        <w:spacing w:line="600" w:lineRule="exact"/>
        <w:ind w:firstLine="0" w:firstLineChars="0"/>
        <w:jc w:val="center"/>
        <w:rPr>
          <w:color w:val="000000" w:themeColor="text1"/>
        </w:rPr>
      </w:pPr>
      <w:bookmarkStart w:id="358" w:name="_Toc53611787"/>
      <w:bookmarkStart w:id="359" w:name="_Toc32235"/>
      <w:bookmarkStart w:id="360" w:name="_Toc3229"/>
      <w:bookmarkStart w:id="361" w:name="_Toc13804"/>
      <w:bookmarkStart w:id="362" w:name="_Toc29444"/>
      <w:bookmarkStart w:id="363" w:name="_Toc19322"/>
      <w:bookmarkStart w:id="364" w:name="_Toc16966"/>
      <w:bookmarkStart w:id="365" w:name="_Toc22399"/>
      <w:bookmarkStart w:id="366" w:name="_Toc10779"/>
      <w:bookmarkStart w:id="367" w:name="_Toc20745"/>
      <w:bookmarkStart w:id="368" w:name="_Toc15528"/>
      <w:bookmarkStart w:id="369" w:name="_Toc31997"/>
      <w:bookmarkStart w:id="370" w:name="_Toc15219"/>
      <w:r>
        <w:rPr>
          <w:rFonts w:hint="eastAsia"/>
          <w:color w:val="000000" w:themeColor="text1"/>
        </w:rPr>
        <w:t xml:space="preserve">第二节 </w:t>
      </w:r>
      <w:bookmarkEnd w:id="358"/>
      <w:bookmarkEnd w:id="359"/>
      <w:bookmarkEnd w:id="360"/>
      <w:bookmarkEnd w:id="361"/>
      <w:bookmarkEnd w:id="362"/>
      <w:r>
        <w:rPr>
          <w:rFonts w:hint="eastAsia"/>
          <w:color w:val="000000" w:themeColor="text1"/>
        </w:rPr>
        <w:t>加强社会主义精神文明建设</w:t>
      </w:r>
      <w:bookmarkEnd w:id="363"/>
      <w:bookmarkEnd w:id="364"/>
      <w:bookmarkEnd w:id="365"/>
      <w:bookmarkEnd w:id="366"/>
      <w:bookmarkEnd w:id="367"/>
      <w:bookmarkEnd w:id="368"/>
      <w:bookmarkEnd w:id="369"/>
      <w:bookmarkEnd w:id="370"/>
    </w:p>
    <w:p w14:paraId="6B66C766">
      <w:pPr>
        <w:adjustRightInd w:val="0"/>
        <w:snapToGrid w:val="0"/>
        <w:spacing w:line="600" w:lineRule="exact"/>
        <w:ind w:firstLine="630"/>
        <w:rPr>
          <w:rFonts w:ascii="仿宋_GB2312" w:hAnsi="仿宋_GB2312" w:eastAsia="仿宋_GB2312" w:cs="仿宋_GB2312"/>
          <w:color w:val="000000" w:themeColor="text1"/>
          <w:kern w:val="0"/>
          <w:sz w:val="30"/>
          <w:szCs w:val="30"/>
        </w:rPr>
      </w:pPr>
      <w:bookmarkStart w:id="371" w:name="_Toc12577"/>
      <w:bookmarkStart w:id="372" w:name="_Toc19983"/>
      <w:bookmarkStart w:id="373" w:name="_Toc24289"/>
      <w:bookmarkStart w:id="374" w:name="_Toc53611789"/>
      <w:bookmarkStart w:id="375" w:name="_Toc11543"/>
      <w:r>
        <w:rPr>
          <w:rFonts w:hint="eastAsia" w:ascii="仿宋_GB2312" w:hAnsi="仿宋_GB2312" w:eastAsia="仿宋_GB2312" w:cs="仿宋_GB2312"/>
          <w:color w:val="000000" w:themeColor="text1"/>
          <w:kern w:val="0"/>
          <w:sz w:val="30"/>
          <w:szCs w:val="30"/>
        </w:rPr>
        <w:t xml:space="preserve">传承优秀文化，凝聚文化内涵，弘扬人文精神，提升居民文明素养，着力建成文化繁荣、风尚文明的文化强县，不断扩大盘山美誉度、增强盘山人文底蕴。 </w:t>
      </w:r>
    </w:p>
    <w:p w14:paraId="0FE4818E">
      <w:pPr>
        <w:pStyle w:val="8"/>
        <w:spacing w:line="600" w:lineRule="exact"/>
        <w:ind w:firstLine="672"/>
        <w:rPr>
          <w:color w:val="000000" w:themeColor="text1"/>
          <w:szCs w:val="32"/>
        </w:rPr>
      </w:pPr>
      <w:r>
        <w:rPr>
          <w:rFonts w:hint="eastAsia"/>
          <w:color w:val="000000" w:themeColor="text1"/>
          <w:szCs w:val="32"/>
        </w:rPr>
        <w:t>一、弘扬盘山人文精神</w:t>
      </w:r>
    </w:p>
    <w:p w14:paraId="4B7CB6F7">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传承和弘扬优秀传统文化，保护、利用好历史文化资源，注重保护乡村原始风貌、文化特色和自然生态，打造兼容并蓄、特色突出的“人文盘山”。实施传统古长城文化、民俗文化等整理挖掘、传承创新计划，开展本土传统文化资源普查调查，梳理汇总各时期、各镇（街道）、各类型文化资源，扎实推进乡村文化传承记忆工程，加快建设优秀传统文化研究、保护传承、传播交流体系，高效利用县图书馆数字资源系统等数字化载体传播传统文化，开展多样化传承活动。围绕盘山历史地域文化精髓，提炼具有时代特征的精神内核，培育具有地域特色的盘山文化氛围。</w:t>
      </w:r>
    </w:p>
    <w:p w14:paraId="04B901D0">
      <w:pPr>
        <w:pStyle w:val="8"/>
        <w:spacing w:line="600" w:lineRule="exact"/>
        <w:ind w:firstLine="672"/>
        <w:rPr>
          <w:color w:val="000000" w:themeColor="text1"/>
          <w:szCs w:val="32"/>
        </w:rPr>
      </w:pPr>
      <w:r>
        <w:rPr>
          <w:rFonts w:hint="eastAsia"/>
          <w:color w:val="000000" w:themeColor="text1"/>
          <w:szCs w:val="32"/>
        </w:rPr>
        <w:t>二、开展群众性精神文明创建活动</w:t>
      </w:r>
    </w:p>
    <w:p w14:paraId="227E9482">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深入实施多领域、多形式的精神文明创建活动，引导全社会移风易俗、革除陋习、反对迷信邪教、追求健康文明。实施文明行业、文明单位、文明村镇、文明社区、文明家庭创建活动，加大对居民公共文明素养评价，形成正向激励导向。全面开展文明素养宣传教育，开展不文明行为专项整治活动。深化“厉行节约、反对浪费”文明活动，推进垃圾分类行动，利用互联网、自媒体等大力传播新风正气，确保创建周期全国文明城市提名城市的目标如期实现。</w:t>
      </w:r>
    </w:p>
    <w:bookmarkEnd w:id="371"/>
    <w:bookmarkEnd w:id="372"/>
    <w:bookmarkEnd w:id="373"/>
    <w:bookmarkEnd w:id="374"/>
    <w:bookmarkEnd w:id="375"/>
    <w:p w14:paraId="05ACC5DB">
      <w:pPr>
        <w:pStyle w:val="7"/>
        <w:spacing w:line="600" w:lineRule="exact"/>
        <w:ind w:firstLine="0" w:firstLineChars="0"/>
        <w:jc w:val="center"/>
        <w:rPr>
          <w:color w:val="000000" w:themeColor="text1"/>
        </w:rPr>
      </w:pPr>
      <w:bookmarkStart w:id="376" w:name="_Toc10830"/>
      <w:bookmarkStart w:id="377" w:name="_Toc7036"/>
      <w:bookmarkStart w:id="378" w:name="_Toc26589"/>
      <w:bookmarkStart w:id="379" w:name="_Toc31255"/>
      <w:bookmarkStart w:id="380" w:name="_Toc13635"/>
      <w:bookmarkStart w:id="381" w:name="_Toc7399"/>
      <w:bookmarkStart w:id="382" w:name="_Toc32378"/>
      <w:bookmarkStart w:id="383" w:name="_Toc31516"/>
      <w:r>
        <w:rPr>
          <w:rFonts w:hint="eastAsia"/>
          <w:color w:val="000000" w:themeColor="text1"/>
        </w:rPr>
        <w:t>第三节 构建新时代公共文化服务体系</w:t>
      </w:r>
      <w:bookmarkEnd w:id="376"/>
      <w:bookmarkEnd w:id="377"/>
      <w:bookmarkEnd w:id="378"/>
      <w:bookmarkEnd w:id="379"/>
      <w:bookmarkEnd w:id="380"/>
      <w:bookmarkEnd w:id="381"/>
      <w:bookmarkEnd w:id="382"/>
      <w:bookmarkEnd w:id="383"/>
    </w:p>
    <w:p w14:paraId="137A1BB1">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 xml:space="preserve">坚持为民利民惠民导向，推动公共文化服务体系标准化、现代化，构建具有时代特色的服务体系，不断满足人民文化需求，增强人民精神力量。 </w:t>
      </w:r>
    </w:p>
    <w:p w14:paraId="4810E5A2">
      <w:pPr>
        <w:pStyle w:val="8"/>
        <w:spacing w:line="600" w:lineRule="exact"/>
        <w:ind w:firstLine="672"/>
        <w:rPr>
          <w:color w:val="000000" w:themeColor="text1"/>
          <w:szCs w:val="32"/>
        </w:rPr>
      </w:pPr>
      <w:r>
        <w:rPr>
          <w:rFonts w:hint="eastAsia"/>
          <w:color w:val="000000" w:themeColor="text1"/>
          <w:szCs w:val="32"/>
        </w:rPr>
        <w:t>一、推进公共文化服务现代化</w:t>
      </w:r>
    </w:p>
    <w:p w14:paraId="78E437BF">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 xml:space="preserve">落实全省基本公共文化服务评价体系标准，完善县级公共图书馆、文化馆、博物馆等公共文化服务功能，推进文旅融合发展、共同繁荣。重点推动盘山县全媒体智慧广电平台改造、东北特产博物园、盘山县国家应急广播系统、盘山县有线电视网双向改造、盘山县城市文化运动公园、盘山县图书馆、盘山县湿地文化博物馆等项目建设，并推动县城综合性文化服务中心、公共图书馆、文化馆（站）、博物馆等基本公共文化服务设施免费向社会开放。推动文化信息资源共享和数字图书馆博物馆等公共数字文化工程建设。引入社会资本，推动公共文化服务社会化发展，建立公共文化服务城乡联动机制，引导社会力量参与公共文化服务设施建设，健全群众参与公共文化服务机制。 </w:t>
      </w:r>
    </w:p>
    <w:p w14:paraId="60AE6B21">
      <w:pPr>
        <w:pStyle w:val="8"/>
        <w:spacing w:line="600" w:lineRule="exact"/>
        <w:ind w:firstLine="672"/>
        <w:rPr>
          <w:color w:val="000000" w:themeColor="text1"/>
          <w:szCs w:val="32"/>
        </w:rPr>
      </w:pPr>
      <w:r>
        <w:rPr>
          <w:rFonts w:hint="eastAsia"/>
          <w:color w:val="000000" w:themeColor="text1"/>
          <w:szCs w:val="32"/>
        </w:rPr>
        <w:t>二、推进公共文化服务智能化</w:t>
      </w:r>
    </w:p>
    <w:p w14:paraId="7A251615">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利用信息技术和人工智能为公共文化服务助力赋能，提高公共文化服务供给质量，提高供需匹配度，着力打造引领社会软实力提升的盘山文化智能化服务平台。统筹推进文化信息资源共享，构建标准统一、互联互通的智能数字文化服务平台，提升公共文化服务多样化、便民化水平。重点推进县图书馆项目智能化改造建设，提升阅览室、图书室、学术活动室、报告厅、展览厅、多功能厅、电子阅览室、24小时城市书房、智能借阅系统和监控系统、图书购买等功能。加强城乡文化产品供给，全面提升镇（街道）、村公共文化场馆和乡村文化站服务水平和能力，完善公共阅读服务体系，推出多类文化产品，探索实施“菜单式、订单式”文化服务方式，切实满足人民群众日益多样化的文化需求，提升全民文化素养。</w:t>
      </w:r>
    </w:p>
    <w:p w14:paraId="4B926652">
      <w:pPr>
        <w:pStyle w:val="7"/>
        <w:spacing w:line="600" w:lineRule="exact"/>
        <w:ind w:firstLine="0" w:firstLineChars="0"/>
        <w:jc w:val="center"/>
        <w:rPr>
          <w:color w:val="000000" w:themeColor="text1"/>
        </w:rPr>
      </w:pPr>
      <w:bookmarkStart w:id="384" w:name="_Toc13913"/>
      <w:bookmarkStart w:id="385" w:name="_Toc16253"/>
      <w:bookmarkStart w:id="386" w:name="_Toc23347"/>
      <w:bookmarkStart w:id="387" w:name="_Toc21725"/>
      <w:bookmarkStart w:id="388" w:name="_Toc32754"/>
      <w:bookmarkStart w:id="389" w:name="_Toc86"/>
      <w:bookmarkStart w:id="390" w:name="_Toc26628"/>
      <w:bookmarkStart w:id="391" w:name="_Toc24185"/>
      <w:r>
        <w:rPr>
          <w:rFonts w:hint="eastAsia"/>
          <w:color w:val="000000" w:themeColor="text1"/>
        </w:rPr>
        <w:t>第四节 打造盘山特色文化产业</w:t>
      </w:r>
      <w:bookmarkEnd w:id="384"/>
      <w:bookmarkEnd w:id="385"/>
      <w:bookmarkEnd w:id="386"/>
      <w:bookmarkEnd w:id="387"/>
      <w:bookmarkEnd w:id="388"/>
      <w:bookmarkEnd w:id="389"/>
      <w:bookmarkEnd w:id="390"/>
      <w:bookmarkEnd w:id="391"/>
    </w:p>
    <w:p w14:paraId="5657C173">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丰富地域文化的时代内涵，强化“传统文化产业化、优势产业文化化”，不断优化文化产业结构，推动文化赋能盘山发展，提升文化引领发展能力。</w:t>
      </w:r>
    </w:p>
    <w:p w14:paraId="660593BA">
      <w:pPr>
        <w:pStyle w:val="8"/>
        <w:spacing w:line="600" w:lineRule="exact"/>
        <w:ind w:firstLine="672"/>
        <w:rPr>
          <w:color w:val="000000" w:themeColor="text1"/>
          <w:szCs w:val="32"/>
        </w:rPr>
      </w:pPr>
      <w:r>
        <w:rPr>
          <w:rFonts w:hint="eastAsia"/>
          <w:color w:val="000000" w:themeColor="text1"/>
          <w:szCs w:val="32"/>
        </w:rPr>
        <w:t>一、挖掘提升传统文化资源价值</w:t>
      </w:r>
    </w:p>
    <w:p w14:paraId="4BD1E3AD">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以继承和弘扬历史传统文化为核心，提升文物公共服务水平和社会教育效果，为文物保护、文化传承、推进盘山振兴发展作出贡献。统筹推进历史文化资源保护和传承，着力加强文物保护修复和展示传播，着力深化文物价值挖掘和创新利用，着力突出加强革命文物抢救保护和研究展示工作，落实革命文物保护利用工程的责任。加快推进文旅融合，对优质文物、文化、旅游资源一体化开发，培育一批有竞争力的文旅企业。重点推进数字再现工程，依托国家数据共享交换平台体系和5G技术，加强与国际国内著名博物馆合作共建，逐步实现对文物和文化资源进行数字化展示。</w:t>
      </w:r>
    </w:p>
    <w:p w14:paraId="4A2243F2">
      <w:pPr>
        <w:pStyle w:val="8"/>
        <w:spacing w:line="600" w:lineRule="exact"/>
        <w:ind w:firstLine="672"/>
        <w:rPr>
          <w:color w:val="000000" w:themeColor="text1"/>
          <w:szCs w:val="32"/>
        </w:rPr>
      </w:pPr>
      <w:r>
        <w:rPr>
          <w:rFonts w:hint="eastAsia"/>
          <w:color w:val="000000" w:themeColor="text1"/>
          <w:szCs w:val="32"/>
        </w:rPr>
        <w:t>二、推动文化旅游产业融合发展</w:t>
      </w:r>
    </w:p>
    <w:p w14:paraId="09431DB9">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坚持统筹发展与保护，推动文化、旅游融合发展。加大对非物质文化遗产项目代表性传承人和民间文化艺术团体的扶持力度，切实发挥行业协会作用，振兴苇编、草编、苇画、剪纸等传统工艺，鼓励发展传统小吃作坊，农耕文化体验，激发产业发展内在动力。加强对红色文化旅游资源的挖掘整合，提升红色文化新时代精神内涵，培育红色旅游精品线路。重点推进甜水镇、胡家镇及得胜街道的“五·七”干校旧址、王铁汉故居、沙岭烈士陵园旅游开发项目，论证实施高升街道于喜彬烈士纪念塔、纪念碑和沙岭镇抗战纪念馆等红色文化旅游项目，增强盘山文化的凝聚力和吸引力。深入推进书画盘山建设，深度挖掘历史文化、书画名家、名作资源价值，以及刘长年等盘山籍当代书画艺术名家回乡创业，重点支持种石源文化产业园项目，做大做强文化产业，通过重彩中华系列壁画展示，将历史的回声刻进时代文化的记忆，传承发扬盘山文化，提高对外知名度和影响力。</w:t>
      </w:r>
    </w:p>
    <w:p w14:paraId="6F64E297">
      <w:pPr>
        <w:adjustRightInd w:val="0"/>
        <w:snapToGrid w:val="0"/>
        <w:spacing w:line="600" w:lineRule="exact"/>
        <w:ind w:firstLine="630"/>
        <w:rPr>
          <w:rFonts w:ascii="仿宋_GB2312" w:hAnsi="仿宋_GB2312" w:eastAsia="仿宋_GB2312" w:cs="仿宋_GB2312"/>
          <w:color w:val="000000" w:themeColor="text1"/>
          <w:kern w:val="0"/>
          <w:sz w:val="30"/>
          <w:szCs w:val="30"/>
        </w:rPr>
        <w:sectPr>
          <w:pgSz w:w="11906" w:h="16838"/>
          <w:pgMar w:top="2154" w:right="1531" w:bottom="1814" w:left="1531" w:header="851" w:footer="992" w:gutter="0"/>
          <w:pgNumType w:fmt="numberInDash"/>
          <w:cols w:space="0" w:num="1"/>
          <w:docGrid w:type="linesAndChars" w:linePitch="585" w:charSpace="3031"/>
        </w:sectPr>
      </w:pPr>
    </w:p>
    <w:p w14:paraId="127D4D9A">
      <w:pPr>
        <w:pStyle w:val="6"/>
        <w:spacing w:line="600" w:lineRule="exact"/>
        <w:ind w:firstLine="0" w:firstLineChars="0"/>
        <w:jc w:val="center"/>
        <w:rPr>
          <w:color w:val="000000" w:themeColor="text1"/>
          <w:sz w:val="36"/>
          <w:szCs w:val="36"/>
        </w:rPr>
      </w:pPr>
      <w:bookmarkStart w:id="392" w:name="_Toc6428"/>
      <w:bookmarkStart w:id="393" w:name="_Toc25072"/>
      <w:bookmarkStart w:id="394" w:name="_Toc16465"/>
      <w:bookmarkStart w:id="395" w:name="_Toc7605"/>
      <w:bookmarkStart w:id="396" w:name="_Toc24887"/>
      <w:bookmarkStart w:id="397" w:name="_Toc32285"/>
      <w:bookmarkStart w:id="398" w:name="_Toc13406"/>
      <w:r>
        <w:rPr>
          <w:rFonts w:hint="eastAsia"/>
          <w:color w:val="000000" w:themeColor="text1"/>
          <w:sz w:val="36"/>
          <w:szCs w:val="36"/>
        </w:rPr>
        <w:t>第十二章 固本强基 建设平安和谐法治新盘山</w:t>
      </w:r>
      <w:bookmarkEnd w:id="392"/>
      <w:bookmarkEnd w:id="393"/>
      <w:bookmarkEnd w:id="394"/>
      <w:bookmarkEnd w:id="395"/>
      <w:bookmarkEnd w:id="396"/>
      <w:bookmarkEnd w:id="397"/>
      <w:bookmarkEnd w:id="398"/>
    </w:p>
    <w:p w14:paraId="2DDFB47E">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 xml:space="preserve">坚持风险防范和矛盾化解并举，主动回应和缓解群众诉求，逐步建立政府依法治理、社会有序参与、居民良性互动的现代治理体系，让人民群众更有安全感。 </w:t>
      </w:r>
    </w:p>
    <w:p w14:paraId="5DB76143">
      <w:pPr>
        <w:pStyle w:val="7"/>
        <w:spacing w:line="600" w:lineRule="exact"/>
        <w:ind w:firstLine="0" w:firstLineChars="0"/>
        <w:jc w:val="center"/>
        <w:rPr>
          <w:color w:val="000000" w:themeColor="text1"/>
        </w:rPr>
      </w:pPr>
      <w:bookmarkStart w:id="399" w:name="_Toc6131"/>
      <w:bookmarkStart w:id="400" w:name="_Toc18720"/>
      <w:bookmarkStart w:id="401" w:name="_Toc18894"/>
      <w:bookmarkStart w:id="402" w:name="_Toc18403"/>
      <w:bookmarkStart w:id="403" w:name="_Toc31475"/>
      <w:bookmarkStart w:id="404" w:name="_Toc18992"/>
      <w:bookmarkStart w:id="405" w:name="_Toc15308"/>
      <w:r>
        <w:rPr>
          <w:rFonts w:hint="eastAsia"/>
          <w:color w:val="000000" w:themeColor="text1"/>
        </w:rPr>
        <w:t>第一节 健全公共安全体系</w:t>
      </w:r>
      <w:bookmarkEnd w:id="399"/>
      <w:bookmarkEnd w:id="400"/>
      <w:bookmarkEnd w:id="401"/>
      <w:bookmarkEnd w:id="402"/>
      <w:bookmarkEnd w:id="403"/>
      <w:bookmarkEnd w:id="404"/>
      <w:bookmarkEnd w:id="405"/>
    </w:p>
    <w:p w14:paraId="7EE47D02">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健全公共安全体系，打造共建共治共享的城市安全社会治理格局。重点围绕惠民生、防风险、保稳定，坚持从人民群众反映强烈的食品药品安全等问题入手，着力补齐短板、堵塞漏洞、消除隐患，着力抓重点、抓关键、抓薄弱环节，不断提高公共安全水平。</w:t>
      </w:r>
    </w:p>
    <w:p w14:paraId="4D6BA40C">
      <w:pPr>
        <w:pStyle w:val="8"/>
        <w:spacing w:line="600" w:lineRule="exact"/>
        <w:ind w:firstLine="672"/>
        <w:rPr>
          <w:color w:val="000000" w:themeColor="text1"/>
        </w:rPr>
      </w:pPr>
      <w:r>
        <w:rPr>
          <w:rFonts w:hint="eastAsia"/>
          <w:color w:val="000000" w:themeColor="text1"/>
        </w:rPr>
        <w:t>一、完善立体化综合防控体系</w:t>
      </w:r>
    </w:p>
    <w:p w14:paraId="1E442E5C">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 xml:space="preserve">加快构建党委领导、政府负责、社会协同、公众参与的公共安全共建共治新模式。充分动员社会公众依托社区、乡村等基层组织投身公共安全治理的各项活动，提高公众的自救互救能力，提高基层第一响应者的效能，打通突发事件应急管理中的“最后一公里”。建立健全立体化社会治安防控体系、社会安全体系和生态安全应急机制，加强对国防安全、公共安全、安全生产、食品卫生、环境污染等突发性事件的预测、预警和应急处置。大力实施质量强县战略，全面提升质量管理水平，加大质量安全特别是食品药品安全的监管力度，建立健全食品药品安全“一网五治体系”。健全安全生产监管长效机制，有效防范较大事故，坚决遏制重特大事故。集中突破解决交通管理、环境污染、治安乱点等热点难点问题，强化对高危人员、社区服刑和刑满释放人员、邪教人员等特殊人群的帮扶和管理。 </w:t>
      </w:r>
    </w:p>
    <w:p w14:paraId="474597A4">
      <w:pPr>
        <w:pStyle w:val="8"/>
        <w:spacing w:line="600" w:lineRule="exact"/>
        <w:ind w:firstLine="672"/>
        <w:rPr>
          <w:color w:val="000000" w:themeColor="text1"/>
        </w:rPr>
      </w:pPr>
      <w:r>
        <w:rPr>
          <w:rFonts w:hint="eastAsia" w:asciiTheme="minorEastAsia" w:hAnsiTheme="minorEastAsia" w:eastAsiaTheme="minorEastAsia" w:cstheme="minorEastAsia"/>
          <w:color w:val="000000" w:themeColor="text1"/>
          <w:kern w:val="0"/>
        </w:rPr>
        <w:t>二、</w:t>
      </w:r>
      <w:r>
        <w:rPr>
          <w:rFonts w:hint="eastAsia"/>
          <w:color w:val="000000" w:themeColor="text1"/>
        </w:rPr>
        <w:t>健全公共安全预防化解机制</w:t>
      </w:r>
    </w:p>
    <w:p w14:paraId="3C2891C1">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 xml:space="preserve">强化公共安全的风险防范、隐患治理，从源头、过程和结果三个维度，构建全流程、立体化公共安全治理新体系。在规划、审批等入口环节上，严把质量关，从源头上做好食品药品安全、环境与生态安全、社会安全等风险防控。建立健全基层社会组织和基层群众的利益表达维护机制，构建“党建引领社会组织发展、社会组织服务群众、群众受益促进社会和谐”的良好局面。完善大调解体系，实现公调对接、诉调对接、检调对接，有效化解群众矛盾纠纷。深入实施纠纷预防与多元化解机制，充分调动广大村级人民调解员的积极性，进一步发挥人民调解第一道防线作用。加强重大决策社会风险评估，完善网络舆论收集研判、引导处置机制，改进信访工作，完善社会矛盾疏导化解网络，提高对群体性事件及个人极端事件及时预警和妥善处置能力。 </w:t>
      </w:r>
    </w:p>
    <w:p w14:paraId="4AF4D599">
      <w:pPr>
        <w:pStyle w:val="8"/>
        <w:spacing w:line="600" w:lineRule="exact"/>
        <w:ind w:firstLine="672"/>
        <w:rPr>
          <w:color w:val="000000" w:themeColor="text1"/>
        </w:rPr>
      </w:pPr>
      <w:r>
        <w:rPr>
          <w:rFonts w:hint="eastAsia"/>
          <w:color w:val="000000" w:themeColor="text1"/>
        </w:rPr>
        <w:t>三、建设智慧城市管理中心</w:t>
      </w:r>
    </w:p>
    <w:p w14:paraId="6C396395">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以党建引领智慧治理，构建集资源配置、运行调度、决策支持、融合应用、展示交流、宣传普及等功能于一体的“城市大脑”信息化管理平台，打造集党建、城管、旅游、消防、交通、政务服务、便民服务等功能于一体的智慧城市管理中心，全面提升政府对城市运行体征预测预警、便民服务、指挥调度、统筹管理的能力。加强社会治理领域数据资源汇聚整合和挖掘分析，运用物联网、云计算、大数据、人工智能等技术，建立城乡管理“体征指标”，提供智能感知、智能预警、智能决策和调控方案，支撑城市自我调节、智慧运行、智慧服务，实现城乡治理数字化、网络化、可视化、智慧化。畅通舆情信息渠道，发现舆情线索，完善信息收集、交办、落实、督查、反馈等工作机制，进一步提升网格中心受理群众诉求效率，打造服务群众新通道。让群众反映的问题能够及时回应、及时办理、及时反馈，构筑起“马上就办”便民利民平台。</w:t>
      </w:r>
    </w:p>
    <w:p w14:paraId="227B0200">
      <w:pPr>
        <w:pStyle w:val="7"/>
        <w:spacing w:line="600" w:lineRule="exact"/>
        <w:ind w:firstLine="0" w:firstLineChars="0"/>
        <w:jc w:val="center"/>
        <w:rPr>
          <w:color w:val="000000" w:themeColor="text1"/>
        </w:rPr>
      </w:pPr>
      <w:bookmarkStart w:id="406" w:name="_Toc5347"/>
      <w:bookmarkStart w:id="407" w:name="_Toc933"/>
      <w:bookmarkStart w:id="408" w:name="_Toc4584"/>
      <w:bookmarkStart w:id="409" w:name="_Toc20554"/>
      <w:bookmarkStart w:id="410" w:name="_Toc23290"/>
      <w:bookmarkStart w:id="411" w:name="_Toc10394"/>
      <w:bookmarkStart w:id="412" w:name="_Toc19532"/>
      <w:r>
        <w:rPr>
          <w:rFonts w:hint="eastAsia"/>
          <w:color w:val="000000" w:themeColor="text1"/>
        </w:rPr>
        <w:t>第二节 推动基层治理现代化</w:t>
      </w:r>
      <w:bookmarkEnd w:id="406"/>
      <w:bookmarkEnd w:id="407"/>
      <w:bookmarkEnd w:id="408"/>
      <w:bookmarkEnd w:id="409"/>
      <w:bookmarkEnd w:id="410"/>
      <w:bookmarkEnd w:id="411"/>
      <w:bookmarkEnd w:id="412"/>
    </w:p>
    <w:p w14:paraId="4B1D090E">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牢固树立“基层大治理”的理念，找准基层治理的突破口和关键处，把党的建设贯穿社会治理的全过程各方面，把基层党建的政治优势转化为基层治理的工作优势，构筑具有盘山特色、时代特点的县域治理新模式。</w:t>
      </w:r>
    </w:p>
    <w:p w14:paraId="529332BF">
      <w:pPr>
        <w:pStyle w:val="8"/>
        <w:spacing w:line="600" w:lineRule="exact"/>
        <w:ind w:firstLine="672"/>
        <w:rPr>
          <w:color w:val="000000" w:themeColor="text1"/>
        </w:rPr>
      </w:pPr>
      <w:r>
        <w:rPr>
          <w:rFonts w:hint="eastAsia"/>
          <w:color w:val="000000" w:themeColor="text1"/>
        </w:rPr>
        <w:t>一、构建“一核多元”基层治理体系</w:t>
      </w:r>
    </w:p>
    <w:p w14:paraId="3FC264D3">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坚持以基层党组织为核心，完善党委领导、政府负责、社会协同、公众参与、法治保障的基层治理体制。突出重点、抓住关键，架起筑稳“党建引领、智慧治理”的四梁八柱。建立完善县、镇（街道）、村（社区）三级社会服务管理体系，拓展社会服务管理功能，推进镇（街道）社会服务管理中心建设，加强村（社区）便民服务中心规范化和制度化建设。健全网上舆论引导机制，提升网络虚拟社会管理水平，促进网上政民互动。发挥工会、共青团、妇联等群团组织的桥梁纽带作用，培育壮大志愿者队伍，构筑立体志愿服务网络，实现志愿服务工作制度化、规范化、长效化运行。依托网格管理服务中心，探索建设党群服务中心和智慧城市管理中心，建立健全基层社会服务管理综合信息系统，完善“党群同心圆”服务管理平台建设，深化“网格化管理、组团式服务”，推动党员志愿服务活动，零距离服务群众，实现基层管理的精细化和信息化。</w:t>
      </w:r>
    </w:p>
    <w:p w14:paraId="048C1DD4">
      <w:pPr>
        <w:pStyle w:val="8"/>
        <w:spacing w:line="600" w:lineRule="exact"/>
        <w:ind w:firstLine="672"/>
        <w:rPr>
          <w:color w:val="000000" w:themeColor="text1"/>
        </w:rPr>
      </w:pPr>
      <w:r>
        <w:rPr>
          <w:rFonts w:hint="eastAsia"/>
          <w:color w:val="000000" w:themeColor="text1"/>
        </w:rPr>
        <w:t>二、创新基层治理机制</w:t>
      </w:r>
    </w:p>
    <w:p w14:paraId="13D844C3">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以新理念新思维指导基层治理实践，提升治理效能。探索自治、法治、德治融合的基层治理方式，完善人民群众参与基层治理的制度化渠道，保证人民群众的知情权、参与权、表达权、监督权。要充分调动不同主体参与基层社会治理的积极性，有效整合各种资源，确立权责明晰、分工负责、内在驱动、激励有效的基层社会治理责任链条，进一步健全基层社会治理体制机制。进一步理顺镇（街道）与县级部门关系，推动权力清单和责任清单全面覆盖，保证责权利相统一、人财事相配套。促进村（社区）职能归位，推动社区公共事务“权随责走、费随事转”，全面落实村（社区）事务准入制度。依托智慧城市管理中心，用信息技术打开点线面相结合、防控管打相贯通的治理通道，把大数据、云计算、区块链广泛运用于基层治理实践之中，倒逼基层治理变革，减少治理的死角和盲区。</w:t>
      </w:r>
    </w:p>
    <w:p w14:paraId="73658FFB">
      <w:pPr>
        <w:pStyle w:val="8"/>
        <w:spacing w:line="600" w:lineRule="exact"/>
        <w:ind w:firstLine="672"/>
        <w:rPr>
          <w:color w:val="000000" w:themeColor="text1"/>
        </w:rPr>
      </w:pPr>
      <w:r>
        <w:rPr>
          <w:rFonts w:hint="eastAsia"/>
          <w:color w:val="000000" w:themeColor="text1"/>
        </w:rPr>
        <w:t>三、进一步完善基层自治制度</w:t>
      </w:r>
    </w:p>
    <w:p w14:paraId="7CBA05B3">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 xml:space="preserve">增强党和政府有效管理能力，既要大力支持和帮助人民群众深化自治实践，又要切实引导他们正确行使好民主权利，推动基层群众自治制度走向更加成熟、更加定型。重点引导形成党组织领导下的村委会、村经济（股份）合作社、村务监督委员会各司其职，驻村单位、群众团体、社会组织和村民共同参与的村级治理架构，健全村务决策机制，提升“村务工作权力清单”，建成基层治理典范县。依托盘山县智慧城市管理中心，深化“网格化管理、组团式服务”，实现基层管理的精细化和信息化。完善以城乡社区党组织为领导核心，居委会为主导，社区便民服务中心为依托，其他各类社会组织和居民广泛参与的新型社区治理架构。积极推进居委会直选，规范村委会自荐直选工作，到2025年，全县社区居委会换届直选率达到100%。 </w:t>
      </w:r>
    </w:p>
    <w:p w14:paraId="39A5A8F5">
      <w:pPr>
        <w:pStyle w:val="7"/>
        <w:spacing w:line="600" w:lineRule="exact"/>
        <w:ind w:firstLine="0" w:firstLineChars="0"/>
        <w:jc w:val="center"/>
        <w:rPr>
          <w:color w:val="000000" w:themeColor="text1"/>
        </w:rPr>
      </w:pPr>
      <w:bookmarkStart w:id="413" w:name="_Toc31920"/>
      <w:bookmarkStart w:id="414" w:name="_Toc7858"/>
      <w:bookmarkStart w:id="415" w:name="_Toc9959"/>
      <w:bookmarkStart w:id="416" w:name="_Toc30883"/>
      <w:bookmarkStart w:id="417" w:name="_Toc24372"/>
      <w:bookmarkStart w:id="418" w:name="_Toc27279"/>
      <w:bookmarkStart w:id="419" w:name="_Toc15279"/>
      <w:r>
        <w:rPr>
          <w:rFonts w:hint="eastAsia"/>
          <w:color w:val="000000" w:themeColor="text1"/>
        </w:rPr>
        <w:t>第三节 提升法治建设水平</w:t>
      </w:r>
      <w:bookmarkEnd w:id="413"/>
      <w:bookmarkEnd w:id="414"/>
      <w:bookmarkEnd w:id="415"/>
      <w:bookmarkEnd w:id="416"/>
      <w:bookmarkEnd w:id="417"/>
      <w:bookmarkEnd w:id="418"/>
      <w:bookmarkEnd w:id="419"/>
    </w:p>
    <w:p w14:paraId="1AE393C2">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深入开展社会主义法治教育，锻造过硬的司法队伍，促进公正廉洁执法，积极开展法律援助，不断提升法治盘山建设水平，提高人民群众对法治建设的满意度。</w:t>
      </w:r>
    </w:p>
    <w:p w14:paraId="7A899498">
      <w:pPr>
        <w:pStyle w:val="8"/>
        <w:spacing w:line="600" w:lineRule="exact"/>
        <w:ind w:firstLine="672"/>
        <w:rPr>
          <w:color w:val="000000" w:themeColor="text1"/>
        </w:rPr>
      </w:pPr>
      <w:r>
        <w:rPr>
          <w:rFonts w:hint="eastAsia"/>
          <w:color w:val="000000" w:themeColor="text1"/>
        </w:rPr>
        <w:t>一、全面推进依法治县</w:t>
      </w:r>
    </w:p>
    <w:p w14:paraId="101983DF">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坚持以法治思维和法治方式着力解决事关安全稳定、制约高质量发展、影响社会治理的突出问题，为地方改革发展、经济社会建设和民主法治建设提供有力支撑和保障。加快法治政府建设，依法设定权力、行使权力、制约权力、监督权力，推动各级政府依法履职、依法决策、依法办事，提高各级领导干部运用法治思维和法治方式推动改革发展稳定的能力。支持执法司法机关推进司法体制改革，规范执法司法权行使，提高司法公信力。广泛开展“八五”普法，加强法律宣传教育、法律服务、法律援助，推动全社会形成学法、守法、尊法、用法的良好氛围，增强全民法治观念，巩固提升法治城市创建成果，加快推进法治社会建设。 依法严厉打击违法犯罪，创新和完善安保维稳、扫黑除恶、侦查破案、常态化打击整治、规范化执法机制，提升驾驭社会治安能力，增强人民群众安全感和满意度。</w:t>
      </w:r>
    </w:p>
    <w:p w14:paraId="3DD74E4F">
      <w:pPr>
        <w:pStyle w:val="8"/>
        <w:spacing w:line="600" w:lineRule="exact"/>
        <w:ind w:firstLine="672"/>
        <w:rPr>
          <w:color w:val="000000" w:themeColor="text1"/>
        </w:rPr>
      </w:pPr>
      <w:r>
        <w:rPr>
          <w:rFonts w:hint="eastAsia"/>
          <w:color w:val="000000" w:themeColor="text1"/>
        </w:rPr>
        <w:t>二、健全覆盖城乡的公共法律服务体系</w:t>
      </w:r>
    </w:p>
    <w:p w14:paraId="00EB9A85">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完善县、镇（街道）、村（社区）三级公共法律服务网络，提升司法行政法律服务中心和镇（街道）法律服务机构综合服务能力。加强专业领域法律服务，持续完善法律援助制度，规范和发展基层法律服务，创新人民调解机制，健全社会普法宣传教育机制等内容。整合各类基层司法行政资源，增加公共法律服务体系建设产品项目，拓展人民调解领域，完善法律援助制度，健全司法救助体系，满足群众基本法律服务需求。</w:t>
      </w:r>
    </w:p>
    <w:p w14:paraId="7DEF6E70">
      <w:pPr>
        <w:pStyle w:val="7"/>
        <w:spacing w:line="600" w:lineRule="exact"/>
        <w:ind w:firstLine="0" w:firstLineChars="0"/>
        <w:jc w:val="center"/>
        <w:rPr>
          <w:color w:val="000000" w:themeColor="text1"/>
        </w:rPr>
      </w:pPr>
      <w:bookmarkStart w:id="420" w:name="_Toc32206"/>
      <w:bookmarkStart w:id="421" w:name="_Toc32322"/>
      <w:bookmarkStart w:id="422" w:name="_Toc29441"/>
      <w:bookmarkStart w:id="423" w:name="_Toc24841"/>
      <w:bookmarkStart w:id="424" w:name="_Toc24033"/>
      <w:bookmarkStart w:id="425" w:name="_Toc15183"/>
      <w:bookmarkStart w:id="426" w:name="_Toc3496"/>
      <w:r>
        <w:rPr>
          <w:rFonts w:hint="eastAsia"/>
          <w:color w:val="000000" w:themeColor="text1"/>
        </w:rPr>
        <w:t>第四节 加快信用体系建设</w:t>
      </w:r>
      <w:bookmarkEnd w:id="420"/>
      <w:bookmarkEnd w:id="421"/>
      <w:bookmarkEnd w:id="422"/>
      <w:bookmarkEnd w:id="423"/>
      <w:bookmarkEnd w:id="424"/>
      <w:bookmarkEnd w:id="425"/>
      <w:bookmarkEnd w:id="426"/>
    </w:p>
    <w:p w14:paraId="64B8342A">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树立诚信是生产力的发展理念。立足于诚信盘山建设，着眼于盘山诚信品牌打造，持续完善信用体系，建立健全信用体系运营机制，营造诚信至上的营商环境、生活环境，形成诚信至上的好风尚。</w:t>
      </w:r>
    </w:p>
    <w:p w14:paraId="7AD829F8">
      <w:pPr>
        <w:pStyle w:val="8"/>
        <w:spacing w:line="600" w:lineRule="exact"/>
        <w:ind w:firstLine="672"/>
        <w:rPr>
          <w:color w:val="000000" w:themeColor="text1"/>
        </w:rPr>
      </w:pPr>
      <w:r>
        <w:rPr>
          <w:rFonts w:hint="eastAsia"/>
          <w:color w:val="000000" w:themeColor="text1"/>
        </w:rPr>
        <w:t>一、着力推动重点领域信用建设</w:t>
      </w:r>
    </w:p>
    <w:p w14:paraId="122B057D">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 xml:space="preserve">统筹推进以政务诚信、商务诚信、社会诚信和司法公信建设为主要内容的信用体系建设，积极改善经济社会运行环境，全力打造“信用盘山”。建立健全政府信用信息公开机制，开展金融、工程建设、安全生产、政府采购、社会保障、环境保护、社会组织等重点行业和领域的诚信专项治理，大力推进政务信息公开。 </w:t>
      </w:r>
    </w:p>
    <w:p w14:paraId="0F104D5E">
      <w:pPr>
        <w:pStyle w:val="8"/>
        <w:spacing w:line="600" w:lineRule="exact"/>
        <w:ind w:firstLine="672"/>
        <w:rPr>
          <w:color w:val="000000" w:themeColor="text1"/>
        </w:rPr>
      </w:pPr>
      <w:r>
        <w:rPr>
          <w:rFonts w:hint="eastAsia"/>
          <w:color w:val="000000" w:themeColor="text1"/>
        </w:rPr>
        <w:t>二、逐步完善公共信用信息平台体系</w:t>
      </w:r>
    </w:p>
    <w:p w14:paraId="7CAFDCE1">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依托智慧城市管理中心，推进信用信息系统建设，完善信用信息的记录、整合和应用，逐步建成“一网两库、多点支撑”的统一公共信用信息平台体系。加快信用信息平台信息整合和资源共享，着力推动信用试点建设，积极推广信用信息应用。完善“信用·盘山”网站，实现自然人信用信息、法人信用信息、金融信用信息、工程建设领域综合诚信数据共享。</w:t>
      </w:r>
    </w:p>
    <w:p w14:paraId="200AF532">
      <w:pPr>
        <w:pStyle w:val="8"/>
        <w:spacing w:line="600" w:lineRule="exact"/>
        <w:ind w:firstLine="672"/>
        <w:rPr>
          <w:color w:val="000000" w:themeColor="text1"/>
        </w:rPr>
      </w:pPr>
      <w:r>
        <w:rPr>
          <w:rFonts w:hint="eastAsia"/>
          <w:color w:val="000000" w:themeColor="text1"/>
        </w:rPr>
        <w:t>三、建立健全信用体系运行机制</w:t>
      </w:r>
    </w:p>
    <w:p w14:paraId="6DBFC805">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 xml:space="preserve">建设信用制度体系，培育和规范信用服务市场，建立完善守信激励和失信惩戒机制，开展区域信用合作。建立健全信用信息主体权益保护机制，完善信用信息安全建设管理机制。强化信用环境建设，引导公众提高自我维权能力，提高社会诚信意识。规范发展信用服务业务，鼓励信用评级、信用保险、信用担保、履约担保、信用管理咨询及培训等信用服务产品开发和创新，完善信用服务市场监管体制。 </w:t>
      </w:r>
    </w:p>
    <w:p w14:paraId="720798D1">
      <w:pPr>
        <w:adjustRightInd w:val="0"/>
        <w:snapToGrid w:val="0"/>
        <w:spacing w:line="600" w:lineRule="exact"/>
        <w:ind w:firstLine="630"/>
        <w:rPr>
          <w:rFonts w:ascii="仿宋_GB2312" w:hAnsi="仿宋_GB2312" w:eastAsia="仿宋_GB2312" w:cs="仿宋_GB2312"/>
          <w:color w:val="000000" w:themeColor="text1"/>
          <w:kern w:val="0"/>
          <w:sz w:val="30"/>
          <w:szCs w:val="30"/>
        </w:rPr>
      </w:pPr>
    </w:p>
    <w:p w14:paraId="733CCE71">
      <w:pPr>
        <w:pStyle w:val="11"/>
        <w:spacing w:line="600" w:lineRule="exact"/>
        <w:ind w:firstLine="670"/>
        <w:rPr>
          <w:color w:val="000000" w:themeColor="text1"/>
        </w:rPr>
      </w:pPr>
    </w:p>
    <w:p w14:paraId="5E262554">
      <w:pPr>
        <w:spacing w:line="600" w:lineRule="exact"/>
        <w:ind w:firstLine="590"/>
        <w:rPr>
          <w:rFonts w:hint="eastAsia"/>
          <w:color w:val="000000" w:themeColor="text1"/>
        </w:rPr>
      </w:pPr>
    </w:p>
    <w:p w14:paraId="5947B4E7">
      <w:pPr>
        <w:pStyle w:val="2"/>
        <w:spacing w:line="600" w:lineRule="exact"/>
        <w:ind w:left="590" w:firstLine="590"/>
        <w:rPr>
          <w:rFonts w:hint="eastAsia"/>
          <w:color w:val="000000" w:themeColor="text1"/>
        </w:rPr>
      </w:pPr>
    </w:p>
    <w:p w14:paraId="284AD8D7">
      <w:pPr>
        <w:pStyle w:val="6"/>
        <w:spacing w:line="600" w:lineRule="exact"/>
        <w:ind w:firstLine="0" w:firstLineChars="0"/>
        <w:jc w:val="center"/>
        <w:rPr>
          <w:color w:val="000000" w:themeColor="text1"/>
          <w:sz w:val="36"/>
          <w:szCs w:val="36"/>
        </w:rPr>
      </w:pPr>
      <w:bookmarkStart w:id="427" w:name="_Toc32514"/>
      <w:bookmarkStart w:id="428" w:name="_Toc6326"/>
      <w:bookmarkStart w:id="429" w:name="_Toc22143"/>
      <w:bookmarkStart w:id="430" w:name="_Toc19995"/>
      <w:bookmarkStart w:id="431" w:name="_Toc21115"/>
      <w:bookmarkStart w:id="432" w:name="_Toc23478"/>
      <w:bookmarkStart w:id="433" w:name="_Toc19221"/>
      <w:r>
        <w:rPr>
          <w:rFonts w:hint="eastAsia"/>
          <w:color w:val="000000" w:themeColor="text1"/>
          <w:sz w:val="36"/>
          <w:szCs w:val="36"/>
        </w:rPr>
        <w:t>第十三章强化组织确保规划</w:t>
      </w:r>
      <w:bookmarkStart w:id="434" w:name="_Toc427505367"/>
      <w:bookmarkStart w:id="435" w:name="_Toc426838087"/>
      <w:r>
        <w:rPr>
          <w:rFonts w:hint="eastAsia"/>
          <w:color w:val="000000" w:themeColor="text1"/>
          <w:sz w:val="36"/>
          <w:szCs w:val="36"/>
        </w:rPr>
        <w:t>顺利实施</w:t>
      </w:r>
      <w:bookmarkEnd w:id="427"/>
      <w:bookmarkEnd w:id="428"/>
      <w:bookmarkEnd w:id="429"/>
      <w:bookmarkEnd w:id="430"/>
      <w:bookmarkEnd w:id="431"/>
      <w:bookmarkEnd w:id="432"/>
      <w:bookmarkEnd w:id="433"/>
    </w:p>
    <w:p w14:paraId="363FBE0D">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发挥各级党组织的核心领导作用，强化责任担当，以重大项目落实狠抓规划纲要实施，建立健全规划实施统筹协调机制、监督考核机制，形成全县上下一盘棋推动规划纲要实施的浓厚氛围，确保经济社会发展目标和各项任务全面完成。</w:t>
      </w:r>
    </w:p>
    <w:p w14:paraId="0E7AB838">
      <w:pPr>
        <w:pStyle w:val="7"/>
        <w:spacing w:line="600" w:lineRule="exact"/>
        <w:ind w:firstLine="0" w:firstLineChars="0"/>
        <w:jc w:val="center"/>
        <w:rPr>
          <w:color w:val="000000" w:themeColor="text1"/>
        </w:rPr>
      </w:pPr>
      <w:bookmarkStart w:id="436" w:name="_Toc8712"/>
      <w:bookmarkStart w:id="437" w:name="_Toc385"/>
      <w:bookmarkStart w:id="438" w:name="_Toc13491"/>
      <w:bookmarkStart w:id="439" w:name="_Toc19643"/>
      <w:bookmarkStart w:id="440" w:name="_Toc422"/>
      <w:bookmarkStart w:id="441" w:name="_Toc24563"/>
      <w:bookmarkStart w:id="442" w:name="_Toc3512"/>
      <w:r>
        <w:rPr>
          <w:rFonts w:hint="eastAsia"/>
          <w:color w:val="000000" w:themeColor="text1"/>
        </w:rPr>
        <w:t>第一节 加强统筹协调</w:t>
      </w:r>
      <w:bookmarkEnd w:id="436"/>
      <w:bookmarkEnd w:id="437"/>
      <w:bookmarkEnd w:id="438"/>
      <w:bookmarkEnd w:id="439"/>
      <w:bookmarkEnd w:id="440"/>
      <w:bookmarkEnd w:id="441"/>
      <w:bookmarkEnd w:id="442"/>
    </w:p>
    <w:p w14:paraId="39099670">
      <w:pPr>
        <w:pStyle w:val="8"/>
        <w:spacing w:line="600" w:lineRule="exact"/>
        <w:ind w:firstLine="672"/>
        <w:rPr>
          <w:color w:val="000000" w:themeColor="text1"/>
        </w:rPr>
      </w:pPr>
      <w:r>
        <w:rPr>
          <w:color w:val="000000" w:themeColor="text1"/>
        </w:rPr>
        <w:t>一、加强党的全面领导</w:t>
      </w:r>
    </w:p>
    <w:p w14:paraId="6474F729">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坚持党总揽全局、协调各方的核心领导作用。坚持党对一切工作的领导，不断加强和改善党的领导，</w:t>
      </w:r>
      <w:r>
        <w:rPr>
          <w:rFonts w:ascii="仿宋_GB2312" w:hAnsi="仿宋_GB2312" w:eastAsia="仿宋_GB2312" w:cs="仿宋_GB2312"/>
          <w:color w:val="000000" w:themeColor="text1"/>
          <w:kern w:val="0"/>
          <w:sz w:val="30"/>
          <w:szCs w:val="30"/>
        </w:rPr>
        <w:t>持之以恒地抓好政治建设</w:t>
      </w:r>
      <w:r>
        <w:rPr>
          <w:rFonts w:hint="eastAsia" w:ascii="仿宋_GB2312" w:hAnsi="仿宋_GB2312" w:eastAsia="仿宋_GB2312" w:cs="仿宋_GB2312"/>
          <w:color w:val="000000" w:themeColor="text1"/>
          <w:kern w:val="0"/>
          <w:sz w:val="30"/>
          <w:szCs w:val="30"/>
        </w:rPr>
        <w:t>，</w:t>
      </w:r>
      <w:r>
        <w:rPr>
          <w:rFonts w:ascii="仿宋_GB2312" w:hAnsi="仿宋_GB2312" w:eastAsia="仿宋_GB2312" w:cs="仿宋_GB2312"/>
          <w:color w:val="000000" w:themeColor="text1"/>
          <w:kern w:val="0"/>
          <w:sz w:val="30"/>
          <w:szCs w:val="30"/>
        </w:rPr>
        <w:t>巩固思想建党、理论强党</w:t>
      </w:r>
      <w:r>
        <w:rPr>
          <w:rFonts w:hint="eastAsia" w:ascii="仿宋_GB2312" w:hAnsi="仿宋_GB2312" w:eastAsia="仿宋_GB2312" w:cs="仿宋_GB2312"/>
          <w:color w:val="000000" w:themeColor="text1"/>
          <w:kern w:val="0"/>
          <w:sz w:val="30"/>
          <w:szCs w:val="30"/>
        </w:rPr>
        <w:t>、</w:t>
      </w:r>
      <w:r>
        <w:rPr>
          <w:rFonts w:ascii="仿宋_GB2312" w:hAnsi="仿宋_GB2312" w:eastAsia="仿宋_GB2312" w:cs="仿宋_GB2312"/>
          <w:color w:val="000000" w:themeColor="text1"/>
          <w:kern w:val="0"/>
          <w:sz w:val="30"/>
          <w:szCs w:val="30"/>
        </w:rPr>
        <w:t>制度治党</w:t>
      </w:r>
      <w:r>
        <w:rPr>
          <w:rFonts w:hint="eastAsia" w:ascii="仿宋_GB2312" w:hAnsi="仿宋_GB2312" w:eastAsia="仿宋_GB2312" w:cs="仿宋_GB2312"/>
          <w:color w:val="000000" w:themeColor="text1"/>
          <w:kern w:val="0"/>
          <w:sz w:val="30"/>
          <w:szCs w:val="30"/>
        </w:rPr>
        <w:t>成果，</w:t>
      </w:r>
      <w:r>
        <w:rPr>
          <w:rFonts w:ascii="仿宋_GB2312" w:hAnsi="仿宋_GB2312" w:eastAsia="仿宋_GB2312" w:cs="仿宋_GB2312"/>
          <w:color w:val="000000" w:themeColor="text1"/>
          <w:kern w:val="0"/>
          <w:sz w:val="30"/>
          <w:szCs w:val="30"/>
        </w:rPr>
        <w:t>贯彻党要管党、全面从严治党</w:t>
      </w:r>
      <w:r>
        <w:rPr>
          <w:rFonts w:hint="eastAsia" w:ascii="仿宋_GB2312" w:hAnsi="仿宋_GB2312" w:eastAsia="仿宋_GB2312" w:cs="仿宋_GB2312"/>
          <w:color w:val="000000" w:themeColor="text1"/>
          <w:kern w:val="0"/>
          <w:sz w:val="30"/>
          <w:szCs w:val="30"/>
        </w:rPr>
        <w:t>根本方针，切实抓好党风廉政建设，把质量强党、“一岗双责”落到实处，真正做到同研究、同规划、同布置、同检查、同考核、同问责。切实加强党委领导经济工作的制度化建设，完善党委研究经济社会发展战略、定期分析经济形势、研究重大方针政策的工作机制，强化党对统一战线和群团等工作的领导，健全决策咨询机制，提高决策科学化水平，广泛凝聚社会各界推动盘山经济社会发展的智慧和力量，形成推动规划实施的强大合力。</w:t>
      </w:r>
    </w:p>
    <w:p w14:paraId="69EB840F">
      <w:pPr>
        <w:pStyle w:val="8"/>
        <w:spacing w:line="600" w:lineRule="exact"/>
        <w:ind w:firstLine="672"/>
        <w:rPr>
          <w:color w:val="000000" w:themeColor="text1"/>
        </w:rPr>
      </w:pPr>
      <w:r>
        <w:rPr>
          <w:color w:val="000000" w:themeColor="text1"/>
        </w:rPr>
        <w:t>二、加强规划的统领作用</w:t>
      </w:r>
    </w:p>
    <w:p w14:paraId="6F34BD73">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本规划是国民经济和社会发展的战略性、纲领性、综合性规划。各级党委、政府、各部门在制定镇（街道）规划、专项规划、经济区规划、年度计划、审批核准重大项目、安排政府投资和财政支出预算、制定特定领域相关政策时，要严格贯彻落实本规划的战略意图和主要任务，维护本规划的严肃性和权威性。强化规划组织实施，形成以国民经济和社会发展规划纲要为统领，各类规划定位清晰、功能互补、统筹衔接的规划体系。</w:t>
      </w:r>
    </w:p>
    <w:p w14:paraId="7CFE80ED">
      <w:pPr>
        <w:pStyle w:val="8"/>
        <w:spacing w:line="600" w:lineRule="exact"/>
        <w:ind w:firstLine="672"/>
        <w:rPr>
          <w:color w:val="000000" w:themeColor="text1"/>
        </w:rPr>
      </w:pPr>
      <w:r>
        <w:rPr>
          <w:color w:val="000000" w:themeColor="text1"/>
        </w:rPr>
        <w:t>三、加强规划衔接协调</w:t>
      </w:r>
    </w:p>
    <w:p w14:paraId="59535A31">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积极推进国民经济和社会发展规划与空间规划相互协调，确保总体要求一致、空间配置和时序安排协调有序。各专项规划、各子规划必须做好与本规划的衔接，在发展理念、战略路径、主要目标和重点任务等方面，要贯彻落实全县战略意图，突出行业和区域特点，报县政府批准后实施。</w:t>
      </w:r>
    </w:p>
    <w:p w14:paraId="4601B5F7">
      <w:pPr>
        <w:pStyle w:val="8"/>
        <w:spacing w:line="600" w:lineRule="exact"/>
        <w:ind w:firstLine="672"/>
        <w:rPr>
          <w:color w:val="000000" w:themeColor="text1"/>
        </w:rPr>
      </w:pPr>
      <w:r>
        <w:rPr>
          <w:color w:val="000000" w:themeColor="text1"/>
        </w:rPr>
        <w:t>四、统筹协调</w:t>
      </w:r>
      <w:r>
        <w:rPr>
          <w:rFonts w:hint="eastAsia"/>
          <w:color w:val="000000" w:themeColor="text1"/>
        </w:rPr>
        <w:t>推进</w:t>
      </w:r>
      <w:r>
        <w:rPr>
          <w:color w:val="000000" w:themeColor="text1"/>
        </w:rPr>
        <w:t>各项工作</w:t>
      </w:r>
    </w:p>
    <w:p w14:paraId="7BA40AEC">
      <w:pPr>
        <w:adjustRightInd w:val="0"/>
        <w:snapToGrid w:val="0"/>
        <w:spacing w:line="600" w:lineRule="exact"/>
        <w:ind w:firstLine="63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kern w:val="0"/>
          <w:sz w:val="30"/>
          <w:szCs w:val="30"/>
        </w:rPr>
        <w:t>统筹推进</w:t>
      </w:r>
      <w:r>
        <w:rPr>
          <w:rFonts w:hint="eastAsia" w:ascii="仿宋_GB2312" w:hAnsi="仿宋_GB2312" w:eastAsia="仿宋_GB2312" w:cs="仿宋_GB2312"/>
          <w:color w:val="000000" w:themeColor="text1"/>
          <w:sz w:val="30"/>
          <w:szCs w:val="30"/>
        </w:rPr>
        <w:t>国家安全、外事、边境管理、宗教、统计、审计、海关、海事、新闻出版、新闻发布、广播电视、供销、涉台事务、机关事务管理、接待、信访、调处、地震、消防、保密、无线电管理、气象、水文、老干、老龄、地方志、档案等工作</w:t>
      </w:r>
      <w:r>
        <w:rPr>
          <w:rFonts w:hint="eastAsia" w:ascii="仿宋_GB2312" w:hAnsi="仿宋_GB2312" w:eastAsia="仿宋_GB2312" w:cs="仿宋_GB2312"/>
          <w:color w:val="000000" w:themeColor="text1"/>
          <w:kern w:val="0"/>
          <w:sz w:val="30"/>
          <w:szCs w:val="30"/>
        </w:rPr>
        <w:t>协同发展</w:t>
      </w:r>
      <w:r>
        <w:rPr>
          <w:rFonts w:hint="eastAsia" w:ascii="仿宋_GB2312" w:hAnsi="仿宋_GB2312" w:eastAsia="仿宋_GB2312" w:cs="仿宋_GB2312"/>
          <w:color w:val="000000" w:themeColor="text1"/>
          <w:sz w:val="30"/>
          <w:szCs w:val="30"/>
        </w:rPr>
        <w:t>。</w:t>
      </w:r>
      <w:r>
        <w:rPr>
          <w:rFonts w:hint="eastAsia" w:ascii="仿宋_GB2312" w:hAnsi="仿宋_GB2312" w:eastAsia="仿宋_GB2312" w:cs="仿宋_GB2312"/>
          <w:color w:val="000000" w:themeColor="text1"/>
          <w:kern w:val="0"/>
          <w:sz w:val="30"/>
          <w:szCs w:val="30"/>
        </w:rPr>
        <w:t>统筹协调</w:t>
      </w:r>
      <w:r>
        <w:rPr>
          <w:rFonts w:hint="eastAsia" w:ascii="仿宋_GB2312" w:hAnsi="仿宋_GB2312" w:eastAsia="仿宋_GB2312" w:cs="仿宋_GB2312"/>
          <w:color w:val="000000" w:themeColor="text1"/>
          <w:sz w:val="30"/>
          <w:szCs w:val="30"/>
        </w:rPr>
        <w:t>工会、共青团、妇联、工商联、科协、友协、文联、侨联、残联、社科联、红十字会、法学会、贸促会等群团组织</w:t>
      </w:r>
      <w:r>
        <w:rPr>
          <w:rFonts w:hint="eastAsia" w:ascii="仿宋_GB2312" w:hAnsi="仿宋_GB2312" w:eastAsia="仿宋_GB2312" w:cs="仿宋_GB2312"/>
          <w:color w:val="000000" w:themeColor="text1"/>
          <w:kern w:val="0"/>
          <w:sz w:val="30"/>
          <w:szCs w:val="30"/>
        </w:rPr>
        <w:t>，以及</w:t>
      </w:r>
      <w:r>
        <w:rPr>
          <w:rFonts w:hint="eastAsia" w:ascii="仿宋_GB2312" w:hAnsi="仿宋_GB2312" w:eastAsia="仿宋_GB2312" w:cs="仿宋_GB2312"/>
          <w:color w:val="000000" w:themeColor="text1"/>
          <w:sz w:val="30"/>
          <w:szCs w:val="30"/>
        </w:rPr>
        <w:t>银行、保险、邮政、通信、石油、烟草、盐业等行业</w:t>
      </w:r>
      <w:r>
        <w:rPr>
          <w:rFonts w:hint="eastAsia" w:ascii="仿宋_GB2312" w:hAnsi="仿宋_GB2312" w:eastAsia="仿宋_GB2312" w:cs="仿宋_GB2312"/>
          <w:color w:val="000000" w:themeColor="text1"/>
          <w:kern w:val="0"/>
          <w:sz w:val="30"/>
          <w:szCs w:val="30"/>
        </w:rPr>
        <w:t>，</w:t>
      </w:r>
      <w:r>
        <w:rPr>
          <w:rFonts w:hint="eastAsia" w:ascii="仿宋_GB2312" w:hAnsi="仿宋_GB2312" w:eastAsia="仿宋_GB2312" w:cs="仿宋_GB2312"/>
          <w:color w:val="000000" w:themeColor="text1"/>
          <w:sz w:val="30"/>
          <w:szCs w:val="30"/>
        </w:rPr>
        <w:t>主动作为、扎实工作、不断进步，为全</w:t>
      </w:r>
      <w:r>
        <w:rPr>
          <w:rFonts w:hint="eastAsia" w:ascii="仿宋_GB2312" w:hAnsi="仿宋_GB2312" w:eastAsia="仿宋_GB2312" w:cs="仿宋_GB2312"/>
          <w:color w:val="000000" w:themeColor="text1"/>
          <w:kern w:val="0"/>
          <w:sz w:val="30"/>
          <w:szCs w:val="30"/>
        </w:rPr>
        <w:t>县</w:t>
      </w:r>
      <w:r>
        <w:rPr>
          <w:rFonts w:hint="eastAsia" w:ascii="仿宋_GB2312" w:hAnsi="仿宋_GB2312" w:eastAsia="仿宋_GB2312" w:cs="仿宋_GB2312"/>
          <w:color w:val="000000" w:themeColor="text1"/>
          <w:sz w:val="30"/>
          <w:szCs w:val="30"/>
        </w:rPr>
        <w:t>经济社会发展作出</w:t>
      </w:r>
      <w:r>
        <w:rPr>
          <w:rFonts w:hint="eastAsia" w:ascii="仿宋_GB2312" w:hAnsi="仿宋_GB2312" w:eastAsia="仿宋_GB2312" w:cs="仿宋_GB2312"/>
          <w:color w:val="000000" w:themeColor="text1"/>
          <w:kern w:val="0"/>
          <w:sz w:val="30"/>
          <w:szCs w:val="30"/>
        </w:rPr>
        <w:t>新的更大</w:t>
      </w:r>
      <w:r>
        <w:rPr>
          <w:rFonts w:hint="eastAsia" w:ascii="仿宋_GB2312" w:hAnsi="仿宋_GB2312" w:eastAsia="仿宋_GB2312" w:cs="仿宋_GB2312"/>
          <w:color w:val="000000" w:themeColor="text1"/>
          <w:sz w:val="30"/>
          <w:szCs w:val="30"/>
        </w:rPr>
        <w:t>贡献。</w:t>
      </w:r>
    </w:p>
    <w:p w14:paraId="06E95905">
      <w:pPr>
        <w:pStyle w:val="7"/>
        <w:spacing w:line="600" w:lineRule="exact"/>
        <w:ind w:firstLine="0" w:firstLineChars="0"/>
        <w:jc w:val="center"/>
        <w:rPr>
          <w:color w:val="000000" w:themeColor="text1"/>
        </w:rPr>
      </w:pPr>
      <w:bookmarkStart w:id="443" w:name="_Toc10195"/>
      <w:bookmarkStart w:id="444" w:name="_Toc8162"/>
      <w:bookmarkStart w:id="445" w:name="_Toc3574"/>
      <w:bookmarkStart w:id="446" w:name="_Toc26250"/>
      <w:bookmarkStart w:id="447" w:name="_Toc1746"/>
      <w:bookmarkStart w:id="448" w:name="_Toc31345"/>
      <w:bookmarkStart w:id="449" w:name="_Toc25977"/>
      <w:r>
        <w:rPr>
          <w:rFonts w:hint="eastAsia"/>
          <w:color w:val="000000" w:themeColor="text1"/>
        </w:rPr>
        <w:t xml:space="preserve">第二节 </w:t>
      </w:r>
      <w:bookmarkEnd w:id="443"/>
      <w:bookmarkEnd w:id="444"/>
      <w:bookmarkEnd w:id="445"/>
      <w:bookmarkEnd w:id="446"/>
      <w:r>
        <w:rPr>
          <w:rFonts w:hint="eastAsia"/>
          <w:color w:val="000000" w:themeColor="text1"/>
        </w:rPr>
        <w:t>强化要素保障</w:t>
      </w:r>
      <w:bookmarkEnd w:id="447"/>
      <w:bookmarkEnd w:id="448"/>
      <w:bookmarkEnd w:id="449"/>
    </w:p>
    <w:p w14:paraId="632D5339">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按照以规划带动项目建设，以项目促进规划落实，以要素保障项目落地的原则，有序推进要素保障，确保重大建设项目的组织实施。重点针对宏观发展环境变化和发展实际，制定或落实一批强弱项补短板配套政策，调整、修订一批与“十四五”发展规划适配度不高的政策。</w:t>
      </w:r>
    </w:p>
    <w:p w14:paraId="5680B1DC">
      <w:pPr>
        <w:pStyle w:val="8"/>
        <w:spacing w:line="600" w:lineRule="exact"/>
        <w:ind w:firstLine="672"/>
        <w:rPr>
          <w:color w:val="000000" w:themeColor="text1"/>
        </w:rPr>
      </w:pPr>
      <w:r>
        <w:rPr>
          <w:color w:val="000000" w:themeColor="text1"/>
        </w:rPr>
        <w:t>一、完善土地支撑</w:t>
      </w:r>
    </w:p>
    <w:p w14:paraId="7F08A908">
      <w:pPr>
        <w:adjustRightInd w:val="0"/>
        <w:snapToGrid w:val="0"/>
        <w:spacing w:afterLines="30"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统筹安排生产、生活和生态用地，倡导节约用地，优先利用存量建设用地，鼓励盘活存量土地资源，探索尝试农村住房用地流转改革。积极申报土地综合整治试点项目，申请改进耕地占补平衡管理办法，用好高标准农田建设等新增耕地指标。积极组织农村集体经营性建设用地和油田工矿用地直接入市，分类推进就地入市或异地调整入市。</w:t>
      </w:r>
    </w:p>
    <w:p w14:paraId="7A835890">
      <w:pPr>
        <w:pStyle w:val="8"/>
        <w:spacing w:line="600" w:lineRule="exact"/>
        <w:ind w:firstLine="672"/>
        <w:rPr>
          <w:color w:val="000000" w:themeColor="text1"/>
        </w:rPr>
      </w:pPr>
      <w:r>
        <w:rPr>
          <w:color w:val="000000" w:themeColor="text1"/>
        </w:rPr>
        <w:t>二、加强金融和资本支撑</w:t>
      </w:r>
    </w:p>
    <w:p w14:paraId="20C31971">
      <w:pPr>
        <w:adjustRightInd w:val="0"/>
        <w:snapToGrid w:val="0"/>
        <w:spacing w:afterLines="30"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加大对项目融资服务力度，多渠道筹措建设资金，确保投入力度不断增强、总量持续增加。深化银保合作，做好银企对接，抓好PPP等社会融资方式推广应用，重点做好各类专项债券、项目收益债券、非公开发行公司债券、资产证券化等融资渠道利用工作，吸引民间资本参与市政公用服务领域建设。鼓励引导各部门积极对上争取各类中央预算专项资金，作为对“十四五”工作的有益补充。</w:t>
      </w:r>
    </w:p>
    <w:p w14:paraId="0935C9A6">
      <w:pPr>
        <w:pStyle w:val="8"/>
        <w:spacing w:line="600" w:lineRule="exact"/>
        <w:ind w:firstLine="672"/>
        <w:rPr>
          <w:color w:val="000000" w:themeColor="text1"/>
        </w:rPr>
      </w:pPr>
      <w:r>
        <w:rPr>
          <w:color w:val="000000" w:themeColor="text1"/>
        </w:rPr>
        <w:t>三、加强科技人才支撑</w:t>
      </w:r>
    </w:p>
    <w:p w14:paraId="35E2361A">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坚持智力统筹，建立盘山县“十四五”专家咨询委员会。完善人才政策体系，制定更具创新性和可操作性的人才引进培养优惠政策，引进并重点支持一批高层次科技领军型创新人才，搭建引进人才创业创新平台，扶持高层次人才载体建设。</w:t>
      </w:r>
    </w:p>
    <w:p w14:paraId="7CB8FAEF">
      <w:pPr>
        <w:pStyle w:val="7"/>
        <w:spacing w:line="600" w:lineRule="exact"/>
        <w:ind w:firstLine="0" w:firstLineChars="0"/>
        <w:jc w:val="center"/>
        <w:rPr>
          <w:color w:val="000000" w:themeColor="text1"/>
        </w:rPr>
      </w:pPr>
      <w:bookmarkStart w:id="450" w:name="_Toc12981"/>
      <w:bookmarkStart w:id="451" w:name="_Toc32133"/>
      <w:bookmarkStart w:id="452" w:name="_Toc18058"/>
      <w:bookmarkStart w:id="453" w:name="_Toc3336"/>
      <w:bookmarkStart w:id="454" w:name="_Toc21777"/>
      <w:bookmarkStart w:id="455" w:name="_Toc19770"/>
      <w:bookmarkStart w:id="456" w:name="_Toc8455"/>
      <w:r>
        <w:rPr>
          <w:rFonts w:hint="eastAsia"/>
          <w:color w:val="000000" w:themeColor="text1"/>
        </w:rPr>
        <w:t>第三节 强化监督考核</w:t>
      </w:r>
      <w:bookmarkEnd w:id="450"/>
      <w:bookmarkEnd w:id="451"/>
      <w:bookmarkEnd w:id="452"/>
      <w:bookmarkEnd w:id="453"/>
      <w:bookmarkEnd w:id="454"/>
      <w:bookmarkEnd w:id="455"/>
      <w:bookmarkEnd w:id="456"/>
    </w:p>
    <w:p w14:paraId="7BF65578">
      <w:pPr>
        <w:pStyle w:val="8"/>
        <w:spacing w:line="600" w:lineRule="exact"/>
        <w:ind w:firstLine="672"/>
        <w:rPr>
          <w:color w:val="000000" w:themeColor="text1"/>
        </w:rPr>
      </w:pPr>
      <w:r>
        <w:rPr>
          <w:color w:val="000000" w:themeColor="text1"/>
        </w:rPr>
        <w:t>一、强化主体责任</w:t>
      </w:r>
    </w:p>
    <w:p w14:paraId="3DB6E331">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纲要》明确的预期性指标和产业发展、结构调整等任务，主要依靠发挥市场在资源配置中的决定性作用，需要各级政府正确履行责任，调控引导社会资源，优化公共资源配置，激发市场主体的积极性，推动市场主体的行为方向与全县战略意图相一致，并维护公平竞争。《纲要》提出的约束性指标和公共服务领域的任务是必须履行的重要责任，与之相关的重要任务要细化分解，纳入全县目标管理考核体系，确保目标实现。《纲要》实施，必须坚持宏观政策要稳、产业政策要准、微观政策要活、改革政策要实、社会政策要托底的总体思路，确保各项任务顺利完成。</w:t>
      </w:r>
    </w:p>
    <w:p w14:paraId="19D055E8">
      <w:pPr>
        <w:pStyle w:val="8"/>
        <w:spacing w:line="600" w:lineRule="exact"/>
        <w:ind w:firstLine="672"/>
        <w:rPr>
          <w:color w:val="000000" w:themeColor="text1"/>
        </w:rPr>
      </w:pPr>
      <w:r>
        <w:rPr>
          <w:color w:val="000000" w:themeColor="text1"/>
        </w:rPr>
        <w:t>二、加强规划监测评估</w:t>
      </w:r>
    </w:p>
    <w:p w14:paraId="391BFC95">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分解落实规划目标任务和措施，明确工作分工，落实部门责任。完善规划指标统计制度，建立完善监测、评价和责任追究机制，加强人大、政协对《纲要》执行情况的监督检查，发挥新闻媒体、社会组织的桥梁和监督作用，主动接受社会监督。完善规划中期评估机制，并根据评估结果对规划进行调整修订。《纲要》实施期间因经济运行环境发生重大变化或由于其他特殊原因需要调整时，由政府提出调整方案，报请县人民代表大会常务委员会批准后实施。</w:t>
      </w:r>
    </w:p>
    <w:p w14:paraId="47213C28">
      <w:pPr>
        <w:adjustRightInd w:val="0"/>
        <w:snapToGrid w:val="0"/>
        <w:spacing w:line="600" w:lineRule="exact"/>
        <w:ind w:firstLine="63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实现“十四五”时期发展目标，任务艰巨，责任重大，使命光荣。全县广大干部群众要在县委、县政府的坚强领导下，围绕高质量发展和第二个百年奋斗目标，抢抓机遇、真抓实干、攻坚克难、奋力追赶，为建设经济繁荣、民族团结、环境优美、人民富裕新盘山，实现与全国同步迈向社会主义现代化的宏伟目标而奋斗!</w:t>
      </w:r>
      <w:bookmarkEnd w:id="434"/>
      <w:bookmarkEnd w:id="435"/>
    </w:p>
    <w:sectPr>
      <w:pgSz w:w="11906" w:h="16838"/>
      <w:pgMar w:top="2154" w:right="1531" w:bottom="1814" w:left="1531" w:header="851" w:footer="992" w:gutter="0"/>
      <w:pgNumType w:fmt="numberInDash"/>
      <w:cols w:space="0" w:num="1"/>
      <w:docGrid w:type="linesAndChars" w:linePitch="585" w:charSpace="30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88"/>
      </w:pPr>
      <w:r>
        <w:separator/>
      </w:r>
    </w:p>
  </w:endnote>
  <w:endnote w:type="continuationSeparator" w:id="1">
    <w:p>
      <w:pPr>
        <w:spacing w:line="240" w:lineRule="auto"/>
        <w:ind w:firstLine="58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E58F29-1AAE-446B-AC9E-D0E81AF435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embedRegular r:id="rId2" w:fontKey="{CE1195B8-1435-41D8-9A98-235CE0D9BF49}"/>
  </w:font>
  <w:font w:name="方正小标宋简体">
    <w:altName w:val="微软雅黑"/>
    <w:panose1 w:val="00000000000000000000"/>
    <w:charset w:val="86"/>
    <w:family w:val="script"/>
    <w:pitch w:val="default"/>
    <w:sig w:usb0="00000000" w:usb1="00000000" w:usb2="00000000" w:usb3="00000000" w:csb0="00040000" w:csb1="00000000"/>
    <w:embedRegular r:id="rId3" w:fontKey="{1BFE8C60-2C9C-49D0-B533-8D58DBBF0498}"/>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109E6346-4902-4D53-8EBC-EC9BC962466F}"/>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embedRegular r:id="rId5" w:fontKey="{ADF3F5C2-FCFA-4E05-A679-F8D0D055D25F}"/>
  </w:font>
  <w:font w:name="楷体">
    <w:panose1 w:val="02010609060101010101"/>
    <w:charset w:val="86"/>
    <w:family w:val="modern"/>
    <w:pitch w:val="default"/>
    <w:sig w:usb0="800002BF" w:usb1="38CF7CFA" w:usb2="00000016" w:usb3="00000000" w:csb0="00040001" w:csb1="00000000"/>
    <w:embedRegular r:id="rId6" w:fontKey="{39689272-149C-4AC9-8EE9-4011A4CFBD2E}"/>
  </w:font>
  <w:font w:name="方正楷体_GBK">
    <w:altName w:val="微软雅黑"/>
    <w:panose1 w:val="00000000000000000000"/>
    <w:charset w:val="86"/>
    <w:family w:val="auto"/>
    <w:pitch w:val="default"/>
    <w:sig w:usb0="00000000" w:usb1="00000000" w:usb2="00000000" w:usb3="00000000" w:csb0="00000000" w:csb1="00000000"/>
    <w:embedRegular r:id="rId7" w:fontKey="{152264B7-E8A4-4E0D-8861-9C42C89A070B}"/>
  </w:font>
  <w:font w:name="华文楷体">
    <w:altName w:val="楷体_GB2312"/>
    <w:panose1 w:val="00000000000000000000"/>
    <w:charset w:val="86"/>
    <w:family w:val="auto"/>
    <w:pitch w:val="default"/>
    <w:sig w:usb0="00000000" w:usb1="00000000" w:usb2="00000000" w:usb3="00000000" w:csb0="00000000" w:csb1="00000000"/>
    <w:embedRegular r:id="rId8" w:fontKey="{9AE80CEE-D410-4D32-8650-DA11F06E77F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14132">
    <w:pPr>
      <w:pStyle w:val="16"/>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86E7D">
    <w:pPr>
      <w:pStyle w:val="16"/>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FA52D">
    <w:pPr>
      <w:pStyle w:val="16"/>
      <w:ind w:firstLine="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3A26A">
    <w:pPr>
      <w:pStyle w:val="16"/>
      <w:ind w:firstLine="360"/>
      <w:rPr>
        <w:rFonts w:hint="eastAsia"/>
      </w:rPr>
    </w:pPr>
    <w:r>
      <w:rPr>
        <w:rFonts w:hint="eastAsia"/>
      </w:rP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path/>
          <v:fill on="f" focussize="0,0"/>
          <v:stroke on="f" weight="0.5pt" joinstyle="miter"/>
          <v:imagedata o:title=""/>
          <o:lock v:ext="edit"/>
          <v:textbox inset="0mm,0mm,0mm,0mm" style="mso-fit-shape-to-text:t;">
            <w:txbxContent>
              <w:p w14:paraId="79E54A83">
                <w:pPr>
                  <w:pStyle w:val="16"/>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III</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EB9A6">
    <w:pPr>
      <w:pStyle w:val="16"/>
      <w:ind w:firstLine="360"/>
      <w:rPr>
        <w:rFonts w:hint="eastAsia"/>
      </w:rPr>
    </w:pPr>
    <w:r>
      <w:rPr>
        <w:rFonts w:hint="eastAsia"/>
      </w:rP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14:paraId="69A1CA41">
                <w:pPr>
                  <w:pStyle w:val="16"/>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- 26 -</w:t>
                </w:r>
                <w:r>
                  <w:rPr>
                    <w:rFonts w:hint="eastAsia"/>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AF216">
    <w:pPr>
      <w:pStyle w:val="16"/>
      <w:ind w:firstLine="360"/>
      <w:rPr>
        <w:rFonts w:hint="eastAsia"/>
      </w:rPr>
    </w:pPr>
    <w:r>
      <w:rPr>
        <w:rFonts w:hint="eastAsia"/>
      </w:rP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path/>
          <v:fill on="f" focussize="0,0"/>
          <v:stroke on="f" weight="0.5pt" joinstyle="miter"/>
          <v:imagedata o:title=""/>
          <o:lock v:ext="edit"/>
          <v:textbox inset="0mm,0mm,0mm,0mm" style="mso-fit-shape-to-text:t;">
            <w:txbxContent>
              <w:p w14:paraId="07FEACA6">
                <w:pPr>
                  <w:pStyle w:val="16"/>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- 105 -</w:t>
                </w:r>
                <w:r>
                  <w:rPr>
                    <w:rFonts w:hint="eastAsia"/>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ind w:firstLine="588"/>
      </w:pPr>
      <w:r>
        <w:separator/>
      </w:r>
    </w:p>
  </w:footnote>
  <w:footnote w:type="continuationSeparator" w:id="1">
    <w:p>
      <w:pPr>
        <w:spacing w:line="480" w:lineRule="auto"/>
        <w:ind w:firstLine="588"/>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89CF1">
    <w:pPr>
      <w:pStyle w:val="17"/>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89956">
    <w:pPr>
      <w:pStyle w:val="17"/>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B6E9B">
    <w:pPr>
      <w:pStyle w:val="17"/>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VlMzVmZGMxYWE4MjhkODcwMDI1OGZjNjk3YzEyYmEifQ=="/>
  </w:docVars>
  <w:rsids>
    <w:rsidRoot w:val="00C477C4"/>
    <w:rsid w:val="000322EE"/>
    <w:rsid w:val="00050242"/>
    <w:rsid w:val="00050F49"/>
    <w:rsid w:val="000627ED"/>
    <w:rsid w:val="00085CE6"/>
    <w:rsid w:val="00086C43"/>
    <w:rsid w:val="000936D9"/>
    <w:rsid w:val="000A7AFC"/>
    <w:rsid w:val="000B56F2"/>
    <w:rsid w:val="000B7A8A"/>
    <w:rsid w:val="000B7E7B"/>
    <w:rsid w:val="000E2BA2"/>
    <w:rsid w:val="0010068B"/>
    <w:rsid w:val="00101561"/>
    <w:rsid w:val="0011448B"/>
    <w:rsid w:val="00117303"/>
    <w:rsid w:val="0013349C"/>
    <w:rsid w:val="00145D52"/>
    <w:rsid w:val="001460D2"/>
    <w:rsid w:val="0015155F"/>
    <w:rsid w:val="00156869"/>
    <w:rsid w:val="00166BA5"/>
    <w:rsid w:val="00172198"/>
    <w:rsid w:val="001D2D79"/>
    <w:rsid w:val="001D6A1A"/>
    <w:rsid w:val="001F2733"/>
    <w:rsid w:val="001F54B1"/>
    <w:rsid w:val="002073FE"/>
    <w:rsid w:val="002110A7"/>
    <w:rsid w:val="0023618B"/>
    <w:rsid w:val="002419C1"/>
    <w:rsid w:val="00246901"/>
    <w:rsid w:val="00246A3C"/>
    <w:rsid w:val="00255CD0"/>
    <w:rsid w:val="00263418"/>
    <w:rsid w:val="00271EFD"/>
    <w:rsid w:val="002C227F"/>
    <w:rsid w:val="002D6878"/>
    <w:rsid w:val="002E40A5"/>
    <w:rsid w:val="002F734D"/>
    <w:rsid w:val="00304F16"/>
    <w:rsid w:val="00310CB2"/>
    <w:rsid w:val="00321A1D"/>
    <w:rsid w:val="00336F2E"/>
    <w:rsid w:val="00371806"/>
    <w:rsid w:val="00375E20"/>
    <w:rsid w:val="00382822"/>
    <w:rsid w:val="003B14C4"/>
    <w:rsid w:val="003E5E03"/>
    <w:rsid w:val="003E6231"/>
    <w:rsid w:val="003F01D0"/>
    <w:rsid w:val="003F21B0"/>
    <w:rsid w:val="003F3E7D"/>
    <w:rsid w:val="003F78C0"/>
    <w:rsid w:val="004135D0"/>
    <w:rsid w:val="004209F5"/>
    <w:rsid w:val="00422E13"/>
    <w:rsid w:val="00426EBB"/>
    <w:rsid w:val="0045276F"/>
    <w:rsid w:val="004B12DC"/>
    <w:rsid w:val="004C011D"/>
    <w:rsid w:val="004C7556"/>
    <w:rsid w:val="004F0E60"/>
    <w:rsid w:val="004F3787"/>
    <w:rsid w:val="00514111"/>
    <w:rsid w:val="005506EC"/>
    <w:rsid w:val="00575B21"/>
    <w:rsid w:val="005776E4"/>
    <w:rsid w:val="005A2334"/>
    <w:rsid w:val="005A7034"/>
    <w:rsid w:val="005E1AF8"/>
    <w:rsid w:val="005E433B"/>
    <w:rsid w:val="006028ED"/>
    <w:rsid w:val="00621B81"/>
    <w:rsid w:val="006253C9"/>
    <w:rsid w:val="00655E75"/>
    <w:rsid w:val="00664B14"/>
    <w:rsid w:val="00665F22"/>
    <w:rsid w:val="00674A2F"/>
    <w:rsid w:val="00677EDA"/>
    <w:rsid w:val="006A0228"/>
    <w:rsid w:val="006A1479"/>
    <w:rsid w:val="006A6177"/>
    <w:rsid w:val="006C4426"/>
    <w:rsid w:val="006C51AE"/>
    <w:rsid w:val="006D6C7A"/>
    <w:rsid w:val="006E7617"/>
    <w:rsid w:val="00702711"/>
    <w:rsid w:val="00705757"/>
    <w:rsid w:val="007249B2"/>
    <w:rsid w:val="00731767"/>
    <w:rsid w:val="00733E28"/>
    <w:rsid w:val="00752B2C"/>
    <w:rsid w:val="00770EAD"/>
    <w:rsid w:val="00774453"/>
    <w:rsid w:val="007A1B28"/>
    <w:rsid w:val="007D1782"/>
    <w:rsid w:val="007D7551"/>
    <w:rsid w:val="008064BE"/>
    <w:rsid w:val="00810104"/>
    <w:rsid w:val="00810464"/>
    <w:rsid w:val="00827D66"/>
    <w:rsid w:val="00835AA5"/>
    <w:rsid w:val="0084368C"/>
    <w:rsid w:val="008515F9"/>
    <w:rsid w:val="00860194"/>
    <w:rsid w:val="00861817"/>
    <w:rsid w:val="0086718C"/>
    <w:rsid w:val="00877930"/>
    <w:rsid w:val="00884022"/>
    <w:rsid w:val="00897B93"/>
    <w:rsid w:val="008D2A9B"/>
    <w:rsid w:val="008E1115"/>
    <w:rsid w:val="008E3D37"/>
    <w:rsid w:val="008F4AC2"/>
    <w:rsid w:val="00922AB4"/>
    <w:rsid w:val="00933511"/>
    <w:rsid w:val="0093799F"/>
    <w:rsid w:val="00940A54"/>
    <w:rsid w:val="009661E2"/>
    <w:rsid w:val="00975E00"/>
    <w:rsid w:val="00976409"/>
    <w:rsid w:val="009926CC"/>
    <w:rsid w:val="009A30C5"/>
    <w:rsid w:val="009A4D31"/>
    <w:rsid w:val="009F5590"/>
    <w:rsid w:val="009F5BB4"/>
    <w:rsid w:val="00A21F34"/>
    <w:rsid w:val="00A30436"/>
    <w:rsid w:val="00A377B6"/>
    <w:rsid w:val="00A457D3"/>
    <w:rsid w:val="00A46722"/>
    <w:rsid w:val="00A667E1"/>
    <w:rsid w:val="00A8187F"/>
    <w:rsid w:val="00A81E06"/>
    <w:rsid w:val="00AB1EC6"/>
    <w:rsid w:val="00AB6129"/>
    <w:rsid w:val="00B10A46"/>
    <w:rsid w:val="00B225DA"/>
    <w:rsid w:val="00B24196"/>
    <w:rsid w:val="00B25D74"/>
    <w:rsid w:val="00B62A50"/>
    <w:rsid w:val="00BA2C7E"/>
    <w:rsid w:val="00BA7812"/>
    <w:rsid w:val="00C25AA6"/>
    <w:rsid w:val="00C354EF"/>
    <w:rsid w:val="00C477C4"/>
    <w:rsid w:val="00C65476"/>
    <w:rsid w:val="00C73F32"/>
    <w:rsid w:val="00C84AC6"/>
    <w:rsid w:val="00C93583"/>
    <w:rsid w:val="00CB4764"/>
    <w:rsid w:val="00CB6CF8"/>
    <w:rsid w:val="00CB7512"/>
    <w:rsid w:val="00D076DA"/>
    <w:rsid w:val="00D45D37"/>
    <w:rsid w:val="00D5574B"/>
    <w:rsid w:val="00D82848"/>
    <w:rsid w:val="00D87D95"/>
    <w:rsid w:val="00D90FBD"/>
    <w:rsid w:val="00D94ADC"/>
    <w:rsid w:val="00DC05CC"/>
    <w:rsid w:val="00DF2FC0"/>
    <w:rsid w:val="00E13883"/>
    <w:rsid w:val="00E1503F"/>
    <w:rsid w:val="00E4236B"/>
    <w:rsid w:val="00E45D64"/>
    <w:rsid w:val="00E83CC7"/>
    <w:rsid w:val="00EB24A7"/>
    <w:rsid w:val="00EB3FA6"/>
    <w:rsid w:val="00EC0BFD"/>
    <w:rsid w:val="00EC3917"/>
    <w:rsid w:val="00EC7396"/>
    <w:rsid w:val="00EE36C3"/>
    <w:rsid w:val="00EE64C1"/>
    <w:rsid w:val="00EF1E25"/>
    <w:rsid w:val="00F123AC"/>
    <w:rsid w:val="00F1740C"/>
    <w:rsid w:val="00F337D0"/>
    <w:rsid w:val="00F42F96"/>
    <w:rsid w:val="00F6557B"/>
    <w:rsid w:val="00F73EA7"/>
    <w:rsid w:val="00F75723"/>
    <w:rsid w:val="00F75A48"/>
    <w:rsid w:val="00F84240"/>
    <w:rsid w:val="00FA7C4D"/>
    <w:rsid w:val="00FB0C63"/>
    <w:rsid w:val="00FB3F1A"/>
    <w:rsid w:val="00FC5C81"/>
    <w:rsid w:val="00FD1C37"/>
    <w:rsid w:val="00FE0CA4"/>
    <w:rsid w:val="010C056F"/>
    <w:rsid w:val="024F6F6A"/>
    <w:rsid w:val="02561FEB"/>
    <w:rsid w:val="02CB7EEA"/>
    <w:rsid w:val="02CD30F1"/>
    <w:rsid w:val="032028A2"/>
    <w:rsid w:val="03764AA7"/>
    <w:rsid w:val="038D0186"/>
    <w:rsid w:val="04132001"/>
    <w:rsid w:val="04DD7E48"/>
    <w:rsid w:val="051369EF"/>
    <w:rsid w:val="05280E61"/>
    <w:rsid w:val="05720A46"/>
    <w:rsid w:val="05B573F0"/>
    <w:rsid w:val="05CF0B1C"/>
    <w:rsid w:val="06733462"/>
    <w:rsid w:val="06CB1D39"/>
    <w:rsid w:val="076D7942"/>
    <w:rsid w:val="07D0067F"/>
    <w:rsid w:val="07DC7EAF"/>
    <w:rsid w:val="080F6472"/>
    <w:rsid w:val="091B0D0F"/>
    <w:rsid w:val="093D5BB3"/>
    <w:rsid w:val="09597444"/>
    <w:rsid w:val="0A0231BF"/>
    <w:rsid w:val="0AF27A3F"/>
    <w:rsid w:val="0B1669B7"/>
    <w:rsid w:val="0BFC2C41"/>
    <w:rsid w:val="0C40000C"/>
    <w:rsid w:val="0D2169C6"/>
    <w:rsid w:val="0D740109"/>
    <w:rsid w:val="0DB234EF"/>
    <w:rsid w:val="0DD95CB2"/>
    <w:rsid w:val="0DEC11FF"/>
    <w:rsid w:val="0DF9708B"/>
    <w:rsid w:val="0E4956B3"/>
    <w:rsid w:val="0E4B22F2"/>
    <w:rsid w:val="0E786435"/>
    <w:rsid w:val="0EC47F8F"/>
    <w:rsid w:val="0FBC64DA"/>
    <w:rsid w:val="10427D50"/>
    <w:rsid w:val="110B6BB2"/>
    <w:rsid w:val="118271EB"/>
    <w:rsid w:val="11CC6FF6"/>
    <w:rsid w:val="11DE16F2"/>
    <w:rsid w:val="12253FF2"/>
    <w:rsid w:val="12507841"/>
    <w:rsid w:val="12857814"/>
    <w:rsid w:val="13626875"/>
    <w:rsid w:val="1367684F"/>
    <w:rsid w:val="14635574"/>
    <w:rsid w:val="146F65EE"/>
    <w:rsid w:val="14A81B21"/>
    <w:rsid w:val="14B00690"/>
    <w:rsid w:val="15314035"/>
    <w:rsid w:val="15433326"/>
    <w:rsid w:val="168E5243"/>
    <w:rsid w:val="16DD623D"/>
    <w:rsid w:val="170C56D9"/>
    <w:rsid w:val="17432CD9"/>
    <w:rsid w:val="17474995"/>
    <w:rsid w:val="174E0643"/>
    <w:rsid w:val="18F71AE5"/>
    <w:rsid w:val="19A97721"/>
    <w:rsid w:val="1A426DBE"/>
    <w:rsid w:val="1A4A3C62"/>
    <w:rsid w:val="1B017E70"/>
    <w:rsid w:val="1B023AD0"/>
    <w:rsid w:val="1BEA5C48"/>
    <w:rsid w:val="1BF63C7C"/>
    <w:rsid w:val="1D5E10C5"/>
    <w:rsid w:val="1E784DF4"/>
    <w:rsid w:val="1F153D6F"/>
    <w:rsid w:val="1F9E0F2D"/>
    <w:rsid w:val="1FE0287E"/>
    <w:rsid w:val="21D662AE"/>
    <w:rsid w:val="21F7204A"/>
    <w:rsid w:val="22FD74E9"/>
    <w:rsid w:val="237F7792"/>
    <w:rsid w:val="238C359F"/>
    <w:rsid w:val="24364201"/>
    <w:rsid w:val="25464576"/>
    <w:rsid w:val="25661E7F"/>
    <w:rsid w:val="25A17207"/>
    <w:rsid w:val="2621390F"/>
    <w:rsid w:val="264E0FDC"/>
    <w:rsid w:val="26834B70"/>
    <w:rsid w:val="26D514A0"/>
    <w:rsid w:val="279F019B"/>
    <w:rsid w:val="27A23A63"/>
    <w:rsid w:val="287000A2"/>
    <w:rsid w:val="296D755A"/>
    <w:rsid w:val="29C84C9B"/>
    <w:rsid w:val="2A035F21"/>
    <w:rsid w:val="2A07406C"/>
    <w:rsid w:val="2A46769D"/>
    <w:rsid w:val="2AD41C80"/>
    <w:rsid w:val="2AE830C7"/>
    <w:rsid w:val="2C7F69F3"/>
    <w:rsid w:val="2CD262DB"/>
    <w:rsid w:val="2D091646"/>
    <w:rsid w:val="2D333821"/>
    <w:rsid w:val="2D92097E"/>
    <w:rsid w:val="2E044148"/>
    <w:rsid w:val="2E05140C"/>
    <w:rsid w:val="2E1915BC"/>
    <w:rsid w:val="2E9A45CA"/>
    <w:rsid w:val="2F0F7B2B"/>
    <w:rsid w:val="2F585B2E"/>
    <w:rsid w:val="2F8E06B6"/>
    <w:rsid w:val="2FDD716C"/>
    <w:rsid w:val="30205F0A"/>
    <w:rsid w:val="30BA4D00"/>
    <w:rsid w:val="30FC1D32"/>
    <w:rsid w:val="31026E68"/>
    <w:rsid w:val="31357207"/>
    <w:rsid w:val="31A95A25"/>
    <w:rsid w:val="31B311E7"/>
    <w:rsid w:val="31B932DC"/>
    <w:rsid w:val="31F97296"/>
    <w:rsid w:val="32324B64"/>
    <w:rsid w:val="32D94020"/>
    <w:rsid w:val="330C65E8"/>
    <w:rsid w:val="332C1432"/>
    <w:rsid w:val="33D64462"/>
    <w:rsid w:val="368B3BBC"/>
    <w:rsid w:val="36B131B6"/>
    <w:rsid w:val="36BC5608"/>
    <w:rsid w:val="371C3798"/>
    <w:rsid w:val="37D14024"/>
    <w:rsid w:val="37D80C1B"/>
    <w:rsid w:val="37E502A7"/>
    <w:rsid w:val="3878364D"/>
    <w:rsid w:val="3933510D"/>
    <w:rsid w:val="3983274F"/>
    <w:rsid w:val="39E27E37"/>
    <w:rsid w:val="3A4439C3"/>
    <w:rsid w:val="3AC20384"/>
    <w:rsid w:val="3AD704DD"/>
    <w:rsid w:val="3AF903C9"/>
    <w:rsid w:val="3B1D7761"/>
    <w:rsid w:val="3C0B694B"/>
    <w:rsid w:val="3C84288F"/>
    <w:rsid w:val="3CF56859"/>
    <w:rsid w:val="3D152D7E"/>
    <w:rsid w:val="3D2E2771"/>
    <w:rsid w:val="3ED00B90"/>
    <w:rsid w:val="3F12198D"/>
    <w:rsid w:val="3F732940"/>
    <w:rsid w:val="3F9532A5"/>
    <w:rsid w:val="3FAF2A19"/>
    <w:rsid w:val="3FBF1E69"/>
    <w:rsid w:val="3FE70017"/>
    <w:rsid w:val="3FF14AEF"/>
    <w:rsid w:val="400A7D94"/>
    <w:rsid w:val="40E35AF4"/>
    <w:rsid w:val="41140C54"/>
    <w:rsid w:val="41364987"/>
    <w:rsid w:val="41763D73"/>
    <w:rsid w:val="41D33B8C"/>
    <w:rsid w:val="42A91D0A"/>
    <w:rsid w:val="42B92AFC"/>
    <w:rsid w:val="437C771F"/>
    <w:rsid w:val="44637BA9"/>
    <w:rsid w:val="45110F08"/>
    <w:rsid w:val="45450B9B"/>
    <w:rsid w:val="45F56B95"/>
    <w:rsid w:val="46397FFE"/>
    <w:rsid w:val="47300C17"/>
    <w:rsid w:val="4745642B"/>
    <w:rsid w:val="478746B1"/>
    <w:rsid w:val="47E01D2B"/>
    <w:rsid w:val="483C55CE"/>
    <w:rsid w:val="489371E4"/>
    <w:rsid w:val="491B6074"/>
    <w:rsid w:val="495B5943"/>
    <w:rsid w:val="496663B9"/>
    <w:rsid w:val="49A36BD7"/>
    <w:rsid w:val="49C92449"/>
    <w:rsid w:val="4A1C7517"/>
    <w:rsid w:val="4A6C7DB1"/>
    <w:rsid w:val="4AD94271"/>
    <w:rsid w:val="4AE455B2"/>
    <w:rsid w:val="4B361907"/>
    <w:rsid w:val="4B8030B6"/>
    <w:rsid w:val="4B872575"/>
    <w:rsid w:val="4C0036FC"/>
    <w:rsid w:val="4C176F4D"/>
    <w:rsid w:val="4C9D3327"/>
    <w:rsid w:val="4CCF5F6D"/>
    <w:rsid w:val="4D2B3284"/>
    <w:rsid w:val="4E11064D"/>
    <w:rsid w:val="4E47174F"/>
    <w:rsid w:val="4EFF77F5"/>
    <w:rsid w:val="4F723191"/>
    <w:rsid w:val="4FAC1C3A"/>
    <w:rsid w:val="508C50F7"/>
    <w:rsid w:val="50C7733C"/>
    <w:rsid w:val="51622848"/>
    <w:rsid w:val="51AB3002"/>
    <w:rsid w:val="51DF5EA7"/>
    <w:rsid w:val="54116EDE"/>
    <w:rsid w:val="542C1A66"/>
    <w:rsid w:val="543F3FFA"/>
    <w:rsid w:val="54C65CEE"/>
    <w:rsid w:val="54DB3390"/>
    <w:rsid w:val="55063B39"/>
    <w:rsid w:val="55684D17"/>
    <w:rsid w:val="556A5BFE"/>
    <w:rsid w:val="55994475"/>
    <w:rsid w:val="55B924A6"/>
    <w:rsid w:val="5626644F"/>
    <w:rsid w:val="565A3900"/>
    <w:rsid w:val="567035D5"/>
    <w:rsid w:val="569127E6"/>
    <w:rsid w:val="56A477DB"/>
    <w:rsid w:val="56CB2EBF"/>
    <w:rsid w:val="571557C0"/>
    <w:rsid w:val="574738A5"/>
    <w:rsid w:val="575565DF"/>
    <w:rsid w:val="57FE1B09"/>
    <w:rsid w:val="584D697A"/>
    <w:rsid w:val="586E6F81"/>
    <w:rsid w:val="587D0FA0"/>
    <w:rsid w:val="58A63906"/>
    <w:rsid w:val="58D66ACA"/>
    <w:rsid w:val="596235ED"/>
    <w:rsid w:val="59976770"/>
    <w:rsid w:val="5A644BC0"/>
    <w:rsid w:val="5AA75A67"/>
    <w:rsid w:val="5C5C68D7"/>
    <w:rsid w:val="5C904728"/>
    <w:rsid w:val="5DB03425"/>
    <w:rsid w:val="5EB465F2"/>
    <w:rsid w:val="5EC67BF3"/>
    <w:rsid w:val="5ED917DB"/>
    <w:rsid w:val="5F3B2570"/>
    <w:rsid w:val="5F866756"/>
    <w:rsid w:val="5FFC0D13"/>
    <w:rsid w:val="608B5422"/>
    <w:rsid w:val="60F5148D"/>
    <w:rsid w:val="61F3441D"/>
    <w:rsid w:val="621C0637"/>
    <w:rsid w:val="62B54667"/>
    <w:rsid w:val="62CC41E6"/>
    <w:rsid w:val="63357BCE"/>
    <w:rsid w:val="635759F4"/>
    <w:rsid w:val="636F78BE"/>
    <w:rsid w:val="64B950D0"/>
    <w:rsid w:val="65144DF3"/>
    <w:rsid w:val="65446E71"/>
    <w:rsid w:val="65A83980"/>
    <w:rsid w:val="668F1CF9"/>
    <w:rsid w:val="66FE0630"/>
    <w:rsid w:val="67221247"/>
    <w:rsid w:val="6744408D"/>
    <w:rsid w:val="67572F69"/>
    <w:rsid w:val="67C07BA9"/>
    <w:rsid w:val="68BC044D"/>
    <w:rsid w:val="68D14ED7"/>
    <w:rsid w:val="69046F17"/>
    <w:rsid w:val="69166A2C"/>
    <w:rsid w:val="696E2F2F"/>
    <w:rsid w:val="69F63B4C"/>
    <w:rsid w:val="6A04680F"/>
    <w:rsid w:val="6A063C5B"/>
    <w:rsid w:val="6A3469CC"/>
    <w:rsid w:val="6A932228"/>
    <w:rsid w:val="6ADE714A"/>
    <w:rsid w:val="6B486871"/>
    <w:rsid w:val="6BFB67F5"/>
    <w:rsid w:val="6C7F26D1"/>
    <w:rsid w:val="6CBE5A02"/>
    <w:rsid w:val="6CF63192"/>
    <w:rsid w:val="6D1C01C5"/>
    <w:rsid w:val="6D387C07"/>
    <w:rsid w:val="6E8A6FAE"/>
    <w:rsid w:val="6ECD4F63"/>
    <w:rsid w:val="6F294F56"/>
    <w:rsid w:val="6FC05E3B"/>
    <w:rsid w:val="70B50D9A"/>
    <w:rsid w:val="715A1636"/>
    <w:rsid w:val="718702E6"/>
    <w:rsid w:val="720A2853"/>
    <w:rsid w:val="726262FF"/>
    <w:rsid w:val="72DF3801"/>
    <w:rsid w:val="73286974"/>
    <w:rsid w:val="73D013D0"/>
    <w:rsid w:val="745E72FF"/>
    <w:rsid w:val="747F3CE8"/>
    <w:rsid w:val="74872604"/>
    <w:rsid w:val="748C6ED7"/>
    <w:rsid w:val="74A3115A"/>
    <w:rsid w:val="750764E0"/>
    <w:rsid w:val="75574DB7"/>
    <w:rsid w:val="75EE5B55"/>
    <w:rsid w:val="762866E7"/>
    <w:rsid w:val="76A97E37"/>
    <w:rsid w:val="775F6348"/>
    <w:rsid w:val="77E472E2"/>
    <w:rsid w:val="77FA2781"/>
    <w:rsid w:val="78A47DDF"/>
    <w:rsid w:val="79000CF2"/>
    <w:rsid w:val="790372BD"/>
    <w:rsid w:val="7A2F5F86"/>
    <w:rsid w:val="7A3F0B31"/>
    <w:rsid w:val="7A944B12"/>
    <w:rsid w:val="7AA11ADB"/>
    <w:rsid w:val="7AC60C1A"/>
    <w:rsid w:val="7AD420E6"/>
    <w:rsid w:val="7B157BCF"/>
    <w:rsid w:val="7B42148E"/>
    <w:rsid w:val="7BBC7E65"/>
    <w:rsid w:val="7BE93FEE"/>
    <w:rsid w:val="7C6178F1"/>
    <w:rsid w:val="7C686F9C"/>
    <w:rsid w:val="7C7F0353"/>
    <w:rsid w:val="7CB34770"/>
    <w:rsid w:val="7D1841EB"/>
    <w:rsid w:val="7D31363F"/>
    <w:rsid w:val="7D465864"/>
    <w:rsid w:val="7D8C6973"/>
    <w:rsid w:val="7E2A394A"/>
    <w:rsid w:val="7E3A09B4"/>
    <w:rsid w:val="7E950011"/>
    <w:rsid w:val="7F016303"/>
    <w:rsid w:val="7F835656"/>
    <w:rsid w:val="7F8669A1"/>
    <w:rsid w:val="7FB41AB6"/>
    <w:rsid w:val="7FB7005B"/>
    <w:rsid w:val="7FBA22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auto"/>
      <w:ind w:firstLine="200" w:firstLineChars="200"/>
      <w:jc w:val="both"/>
    </w:pPr>
    <w:rPr>
      <w:rFonts w:ascii="华文仿宋" w:hAnsi="华文仿宋" w:eastAsia="仿宋" w:cstheme="minorBidi"/>
      <w:kern w:val="2"/>
      <w:sz w:val="28"/>
      <w:szCs w:val="22"/>
      <w:lang w:val="en-US" w:eastAsia="zh-CN" w:bidi="ar-SA"/>
    </w:rPr>
  </w:style>
  <w:style w:type="paragraph" w:styleId="5">
    <w:name w:val="heading 1"/>
    <w:basedOn w:val="1"/>
    <w:next w:val="1"/>
    <w:qFormat/>
    <w:uiPriority w:val="0"/>
    <w:pPr>
      <w:keepNext/>
      <w:keepLines/>
      <w:spacing w:before="240" w:after="240" w:line="360" w:lineRule="auto"/>
      <w:outlineLvl w:val="0"/>
    </w:pPr>
    <w:rPr>
      <w:rFonts w:eastAsia="微软雅黑" w:asciiTheme="minorHAnsi" w:hAnsiTheme="minorHAnsi"/>
      <w:b/>
      <w:kern w:val="44"/>
      <w:sz w:val="36"/>
    </w:rPr>
  </w:style>
  <w:style w:type="paragraph" w:styleId="6">
    <w:name w:val="heading 2"/>
    <w:basedOn w:val="1"/>
    <w:next w:val="1"/>
    <w:unhideWhenUsed/>
    <w:qFormat/>
    <w:uiPriority w:val="0"/>
    <w:pPr>
      <w:keepNext/>
      <w:keepLines/>
      <w:spacing w:before="240" w:after="240" w:line="360" w:lineRule="auto"/>
      <w:outlineLvl w:val="1"/>
    </w:pPr>
    <w:rPr>
      <w:rFonts w:ascii="Arial" w:hAnsi="Arial" w:eastAsia="黑体"/>
      <w:b/>
      <w:sz w:val="32"/>
    </w:rPr>
  </w:style>
  <w:style w:type="paragraph" w:styleId="7">
    <w:name w:val="heading 3"/>
    <w:basedOn w:val="1"/>
    <w:next w:val="1"/>
    <w:link w:val="31"/>
    <w:unhideWhenUsed/>
    <w:qFormat/>
    <w:uiPriority w:val="0"/>
    <w:pPr>
      <w:keepNext/>
      <w:keepLines/>
      <w:spacing w:line="360" w:lineRule="auto"/>
      <w:outlineLvl w:val="2"/>
    </w:pPr>
    <w:rPr>
      <w:rFonts w:ascii="Calibri" w:hAnsi="Calibri" w:eastAsia="黑体"/>
      <w:b/>
      <w:color w:val="000000"/>
      <w:sz w:val="32"/>
      <w:szCs w:val="24"/>
    </w:rPr>
  </w:style>
  <w:style w:type="paragraph" w:styleId="8">
    <w:name w:val="heading 4"/>
    <w:basedOn w:val="1"/>
    <w:next w:val="1"/>
    <w:link w:val="30"/>
    <w:unhideWhenUsed/>
    <w:qFormat/>
    <w:uiPriority w:val="0"/>
    <w:pPr>
      <w:keepNext/>
      <w:keepLines/>
      <w:spacing w:line="560" w:lineRule="exact"/>
      <w:outlineLvl w:val="3"/>
    </w:pPr>
    <w:rPr>
      <w:rFonts w:ascii="仿宋" w:hAnsi="仿宋" w:eastAsia="楷体_GB2312" w:cs="仿宋"/>
      <w:b/>
      <w:bCs/>
      <w:sz w:val="32"/>
      <w:szCs w:val="28"/>
    </w:rPr>
  </w:style>
  <w:style w:type="paragraph" w:styleId="9">
    <w:name w:val="heading 5"/>
    <w:basedOn w:val="1"/>
    <w:next w:val="1"/>
    <w:unhideWhenUsed/>
    <w:qFormat/>
    <w:uiPriority w:val="0"/>
    <w:pPr>
      <w:keepNext/>
      <w:keepLines/>
      <w:spacing w:line="360" w:lineRule="auto"/>
      <w:outlineLvl w:val="4"/>
    </w:pPr>
    <w:rPr>
      <w:b/>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link w:val="48"/>
    <w:qFormat/>
    <w:uiPriority w:val="99"/>
    <w:pPr>
      <w:spacing w:after="120"/>
      <w:ind w:left="420" w:leftChars="200"/>
    </w:pPr>
  </w:style>
  <w:style w:type="paragraph" w:styleId="4">
    <w:name w:val="Body Text Indent 2"/>
    <w:basedOn w:val="1"/>
    <w:qFormat/>
    <w:uiPriority w:val="99"/>
    <w:pPr>
      <w:ind w:firstLine="630"/>
    </w:pPr>
    <w:rPr>
      <w:b/>
      <w:bCs/>
    </w:rPr>
  </w:style>
  <w:style w:type="paragraph" w:styleId="10">
    <w:name w:val="annotation text"/>
    <w:basedOn w:val="1"/>
    <w:link w:val="44"/>
    <w:qFormat/>
    <w:uiPriority w:val="0"/>
    <w:pPr>
      <w:jc w:val="left"/>
    </w:pPr>
  </w:style>
  <w:style w:type="paragraph" w:styleId="11">
    <w:name w:val="Body Text"/>
    <w:basedOn w:val="1"/>
    <w:next w:val="12"/>
    <w:link w:val="40"/>
    <w:qFormat/>
    <w:uiPriority w:val="0"/>
    <w:pPr>
      <w:spacing w:after="120"/>
    </w:pPr>
    <w:rPr>
      <w:rFonts w:ascii="Calibri" w:hAnsi="Calibri" w:eastAsia="宋体" w:cs="Times New Roman"/>
      <w:sz w:val="32"/>
      <w:szCs w:val="32"/>
    </w:rPr>
  </w:style>
  <w:style w:type="paragraph" w:styleId="12">
    <w:name w:val="Title"/>
    <w:basedOn w:val="1"/>
    <w:next w:val="1"/>
    <w:qFormat/>
    <w:uiPriority w:val="0"/>
    <w:pPr>
      <w:spacing w:before="60" w:after="120" w:line="560" w:lineRule="exact"/>
      <w:jc w:val="center"/>
      <w:outlineLvl w:val="0"/>
    </w:pPr>
    <w:rPr>
      <w:rFonts w:eastAsia="方正小标宋简体"/>
      <w:bCs/>
      <w:sz w:val="44"/>
      <w:szCs w:val="32"/>
    </w:rPr>
  </w:style>
  <w:style w:type="paragraph" w:styleId="13">
    <w:name w:val="toc 3"/>
    <w:basedOn w:val="1"/>
    <w:next w:val="1"/>
    <w:qFormat/>
    <w:uiPriority w:val="0"/>
    <w:pPr>
      <w:ind w:left="840" w:leftChars="400"/>
    </w:pPr>
  </w:style>
  <w:style w:type="paragraph" w:styleId="14">
    <w:name w:val="Plain Text"/>
    <w:basedOn w:val="1"/>
    <w:next w:val="1"/>
    <w:qFormat/>
    <w:uiPriority w:val="0"/>
    <w:rPr>
      <w:rFonts w:ascii="宋体" w:hAnsi="Courier New"/>
    </w:rPr>
  </w:style>
  <w:style w:type="paragraph" w:styleId="15">
    <w:name w:val="Balloon Text"/>
    <w:basedOn w:val="1"/>
    <w:link w:val="41"/>
    <w:qFormat/>
    <w:uiPriority w:val="0"/>
    <w:pPr>
      <w:spacing w:line="240" w:lineRule="auto"/>
    </w:pPr>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8">
    <w:name w:val="toc 1"/>
    <w:basedOn w:val="1"/>
    <w:next w:val="1"/>
    <w:qFormat/>
    <w:uiPriority w:val="0"/>
  </w:style>
  <w:style w:type="paragraph" w:styleId="19">
    <w:name w:val="footnote text"/>
    <w:basedOn w:val="1"/>
    <w:qFormat/>
    <w:uiPriority w:val="0"/>
    <w:pPr>
      <w:snapToGrid w:val="0"/>
      <w:jc w:val="left"/>
    </w:pPr>
    <w:rPr>
      <w:sz w:val="18"/>
    </w:rPr>
  </w:style>
  <w:style w:type="paragraph" w:styleId="20">
    <w:name w:val="toc 2"/>
    <w:basedOn w:val="1"/>
    <w:next w:val="1"/>
    <w:qFormat/>
    <w:uiPriority w:val="0"/>
    <w:pPr>
      <w:ind w:left="420" w:leftChars="200"/>
    </w:pPr>
    <w:rPr>
      <w:rFonts w:eastAsia="黑体"/>
    </w:rPr>
  </w:style>
  <w:style w:type="paragraph" w:styleId="21">
    <w:name w:val="Normal (Web)"/>
    <w:basedOn w:val="1"/>
    <w:qFormat/>
    <w:uiPriority w:val="0"/>
    <w:pPr>
      <w:jc w:val="left"/>
    </w:pPr>
    <w:rPr>
      <w:rFonts w:cs="Times New Roman"/>
      <w:kern w:val="0"/>
      <w:sz w:val="24"/>
    </w:rPr>
  </w:style>
  <w:style w:type="paragraph" w:styleId="22">
    <w:name w:val="annotation subject"/>
    <w:basedOn w:val="10"/>
    <w:next w:val="10"/>
    <w:link w:val="45"/>
    <w:qFormat/>
    <w:uiPriority w:val="0"/>
    <w:rPr>
      <w:b/>
      <w:bCs/>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Emphasis"/>
    <w:basedOn w:val="25"/>
    <w:qFormat/>
    <w:uiPriority w:val="0"/>
    <w:rPr>
      <w:i/>
    </w:rPr>
  </w:style>
  <w:style w:type="character" w:styleId="28">
    <w:name w:val="annotation reference"/>
    <w:basedOn w:val="25"/>
    <w:qFormat/>
    <w:uiPriority w:val="0"/>
    <w:rPr>
      <w:sz w:val="21"/>
      <w:szCs w:val="21"/>
    </w:rPr>
  </w:style>
  <w:style w:type="character" w:styleId="29">
    <w:name w:val="footnote reference"/>
    <w:basedOn w:val="25"/>
    <w:qFormat/>
    <w:uiPriority w:val="0"/>
    <w:rPr>
      <w:vertAlign w:val="superscript"/>
    </w:rPr>
  </w:style>
  <w:style w:type="character" w:customStyle="1" w:styleId="30">
    <w:name w:val="标题 4 Char"/>
    <w:link w:val="8"/>
    <w:qFormat/>
    <w:uiPriority w:val="0"/>
    <w:rPr>
      <w:rFonts w:ascii="仿宋" w:hAnsi="仿宋" w:eastAsia="楷体_GB2312" w:cs="仿宋"/>
      <w:b/>
      <w:bCs/>
      <w:sz w:val="32"/>
      <w:szCs w:val="28"/>
    </w:rPr>
  </w:style>
  <w:style w:type="character" w:customStyle="1" w:styleId="31">
    <w:name w:val="标题 3 Char"/>
    <w:link w:val="7"/>
    <w:qFormat/>
    <w:uiPriority w:val="0"/>
    <w:rPr>
      <w:rFonts w:ascii="Calibri" w:hAnsi="Calibri" w:eastAsia="黑体"/>
      <w:b/>
      <w:color w:val="000000"/>
      <w:sz w:val="32"/>
      <w:szCs w:val="24"/>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4">
    <w:name w:val="NormalCharacter"/>
    <w:link w:val="35"/>
    <w:qFormat/>
    <w:uiPriority w:val="0"/>
    <w:rPr>
      <w:rFonts w:ascii="Verdana" w:hAnsi="Verdana" w:eastAsia="仿宋_GB2312"/>
      <w:spacing w:val="4"/>
      <w:kern w:val="0"/>
      <w:sz w:val="24"/>
      <w:szCs w:val="20"/>
      <w:lang w:val="en-US" w:eastAsia="en-US" w:bidi="ar-SA"/>
    </w:rPr>
  </w:style>
  <w:style w:type="paragraph" w:customStyle="1" w:styleId="35">
    <w:name w:val="UserStyle_10"/>
    <w:basedOn w:val="1"/>
    <w:link w:val="34"/>
    <w:qFormat/>
    <w:uiPriority w:val="0"/>
    <w:pPr>
      <w:widowControl/>
      <w:spacing w:after="160" w:line="240" w:lineRule="exact"/>
      <w:jc w:val="left"/>
      <w:textAlignment w:val="baseline"/>
    </w:pPr>
    <w:rPr>
      <w:rFonts w:ascii="Verdana" w:hAnsi="Verdana" w:eastAsia="仿宋_GB2312"/>
      <w:spacing w:val="4"/>
      <w:kern w:val="0"/>
      <w:sz w:val="24"/>
      <w:szCs w:val="20"/>
      <w:lang w:eastAsia="en-US"/>
    </w:rPr>
  </w:style>
  <w:style w:type="paragraph" w:customStyle="1" w:styleId="36">
    <w:name w:val="Table Paragraph"/>
    <w:basedOn w:val="1"/>
    <w:qFormat/>
    <w:uiPriority w:val="1"/>
    <w:rPr>
      <w:rFonts w:ascii="等线 Light" w:hAnsi="等线 Light" w:eastAsia="等线 Light" w:cs="等线 Light"/>
      <w:lang w:val="zh-CN" w:bidi="zh-CN"/>
    </w:rPr>
  </w:style>
  <w:style w:type="paragraph" w:styleId="37">
    <w:name w:val="List Paragraph"/>
    <w:basedOn w:val="1"/>
    <w:qFormat/>
    <w:uiPriority w:val="34"/>
    <w:pPr>
      <w:ind w:firstLine="420"/>
    </w:pPr>
  </w:style>
  <w:style w:type="paragraph" w:customStyle="1" w:styleId="38">
    <w:name w:val="样式 正文11 + 首行缩进:  2 字符"/>
    <w:basedOn w:val="1"/>
    <w:qFormat/>
    <w:uiPriority w:val="0"/>
    <w:pPr>
      <w:spacing w:line="500" w:lineRule="exact"/>
      <w:ind w:firstLine="560"/>
    </w:pPr>
    <w:rPr>
      <w:rFonts w:ascii="宋体" w:hAnsi="宋体" w:eastAsia="宋体" w:cs="宋体"/>
      <w:color w:val="FF0000"/>
      <w:szCs w:val="20"/>
    </w:rPr>
  </w:style>
  <w:style w:type="paragraph" w:customStyle="1" w:styleId="39">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40">
    <w:name w:val="正文文本 Char"/>
    <w:link w:val="11"/>
    <w:qFormat/>
    <w:uiPriority w:val="0"/>
    <w:rPr>
      <w:rFonts w:ascii="Calibri" w:hAnsi="Calibri" w:eastAsia="宋体" w:cs="Times New Roman"/>
      <w:sz w:val="32"/>
      <w:szCs w:val="32"/>
    </w:rPr>
  </w:style>
  <w:style w:type="character" w:customStyle="1" w:styleId="41">
    <w:name w:val="批注框文本 Char"/>
    <w:basedOn w:val="25"/>
    <w:link w:val="15"/>
    <w:qFormat/>
    <w:uiPriority w:val="0"/>
    <w:rPr>
      <w:rFonts w:ascii="华文仿宋" w:hAnsi="华文仿宋" w:eastAsia="仿宋" w:cstheme="minorBidi"/>
      <w:kern w:val="2"/>
      <w:sz w:val="18"/>
      <w:szCs w:val="18"/>
    </w:rPr>
  </w:style>
  <w:style w:type="paragraph" w:customStyle="1" w:styleId="42">
    <w:name w:val="Body Text First Indent 21"/>
    <w:basedOn w:val="43"/>
    <w:qFormat/>
    <w:uiPriority w:val="0"/>
    <w:pPr>
      <w:ind w:firstLine="420"/>
    </w:pPr>
  </w:style>
  <w:style w:type="paragraph" w:customStyle="1" w:styleId="43">
    <w:name w:val="Body Text Indent1"/>
    <w:basedOn w:val="1"/>
    <w:qFormat/>
    <w:uiPriority w:val="0"/>
    <w:pPr>
      <w:spacing w:line="500" w:lineRule="exact"/>
      <w:ind w:firstLine="880"/>
    </w:pPr>
    <w:rPr>
      <w:rFonts w:ascii="Times New Roman" w:hAnsi="Times New Roman" w:cs="Times New Roman"/>
    </w:rPr>
  </w:style>
  <w:style w:type="character" w:customStyle="1" w:styleId="44">
    <w:name w:val="批注文字 Char"/>
    <w:basedOn w:val="25"/>
    <w:link w:val="10"/>
    <w:qFormat/>
    <w:uiPriority w:val="0"/>
    <w:rPr>
      <w:rFonts w:ascii="华文仿宋" w:hAnsi="华文仿宋" w:eastAsia="仿宋" w:cstheme="minorBidi"/>
      <w:kern w:val="2"/>
      <w:sz w:val="28"/>
      <w:szCs w:val="22"/>
    </w:rPr>
  </w:style>
  <w:style w:type="character" w:customStyle="1" w:styleId="45">
    <w:name w:val="批注主题 Char"/>
    <w:basedOn w:val="44"/>
    <w:link w:val="22"/>
    <w:qFormat/>
    <w:uiPriority w:val="0"/>
    <w:rPr>
      <w:rFonts w:ascii="华文仿宋" w:hAnsi="华文仿宋" w:eastAsia="仿宋" w:cstheme="minorBidi"/>
      <w:b/>
      <w:bCs/>
      <w:kern w:val="2"/>
      <w:sz w:val="28"/>
      <w:szCs w:val="22"/>
    </w:rPr>
  </w:style>
  <w:style w:type="paragraph" w:customStyle="1" w:styleId="46">
    <w:name w:val="修订1"/>
    <w:hidden/>
    <w:semiHidden/>
    <w:qFormat/>
    <w:uiPriority w:val="99"/>
    <w:rPr>
      <w:rFonts w:ascii="华文仿宋" w:hAnsi="华文仿宋" w:eastAsia="仿宋" w:cstheme="minorBidi"/>
      <w:kern w:val="2"/>
      <w:sz w:val="28"/>
      <w:szCs w:val="22"/>
      <w:lang w:val="en-US" w:eastAsia="zh-CN" w:bidi="ar-SA"/>
    </w:rPr>
  </w:style>
  <w:style w:type="character" w:customStyle="1" w:styleId="47">
    <w:name w:val="标题 3 字符2"/>
    <w:basedOn w:val="25"/>
    <w:qFormat/>
    <w:uiPriority w:val="0"/>
    <w:rPr>
      <w:rFonts w:ascii="Calibri" w:hAnsi="Calibri" w:eastAsia="仿宋_GB2312" w:cs="Times New Roman"/>
      <w:b/>
      <w:color w:val="000000"/>
      <w:sz w:val="32"/>
      <w:szCs w:val="24"/>
    </w:rPr>
  </w:style>
  <w:style w:type="character" w:customStyle="1" w:styleId="48">
    <w:name w:val="正文文本缩进 Char"/>
    <w:basedOn w:val="25"/>
    <w:link w:val="3"/>
    <w:qFormat/>
    <w:uiPriority w:val="99"/>
    <w:rPr>
      <w:rFonts w:ascii="华文仿宋" w:hAnsi="华文仿宋" w:eastAsia="仿宋" w:cstheme="minorBidi"/>
      <w:kern w:val="2"/>
      <w:sz w:val="2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1CA1CF-FE6F-4D57-8C9B-C49DCF41478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109</Pages>
  <Words>54425</Words>
  <Characters>55167</Characters>
  <Lines>419</Lines>
  <Paragraphs>118</Paragraphs>
  <TotalTime>10</TotalTime>
  <ScaleCrop>false</ScaleCrop>
  <LinksUpToDate>false</LinksUpToDate>
  <CharactersWithSpaces>55561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2020-11-20T06:52:00Z</dcterms:created>
  <dc:creator>花半开</dc:creator>
  <cp:lastModifiedBy>依溟楼张老师</cp:lastModifiedBy>
  <cp:lastPrinted>2021-09-13T02:51:00Z</cp:lastPrinted>
  <dcterms:modified xsi:type="dcterms:W3CDTF">2024-09-27T00:46:04Z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EBE98259A3114E3D80F636D286CC0B3A</vt:lpwstr>
  </property>
</Properties>
</file>