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辽宁省盘锦市兴隆台区妇女联合会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辽宁省盘锦市兴隆台区妇女联合会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辽宁省盘锦市兴隆台区妇女联合会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辽宁省盘锦市兴隆台区妇女联合会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辽宁省盘锦市兴隆台区妇女联合会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辽宁省盘锦市兴隆台区妇女联合会概况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（一）根据党的中心任务，依据《中华全国妇女联合会章程》和全国、省、市有关妇女代表大会精神，指导全区各级妇女组织开展妇女儿童工作。</w:t>
        <w:br/>
        <w:t xml:space="preserve">    （二）健全妇女信息渠道，调查研究全区妇女儿童问题，及时向党政组织反映情况，提出意见建议。</w:t>
        <w:br/>
        <w:t xml:space="preserve">    （三）组织和动员全区城乡妇女投身“双学双比”、“巾帼建功”竞赛活动；开展“五好文明家庭”创建活动。</w:t>
        <w:br/>
        <w:t xml:space="preserve">    （四）开展宣传教育工作，教育、引导广大妇女增强自尊、自信、自立、自强的“四自”精神，开展妇女职业技术培训和多层次的妇女干部培训。</w:t>
        <w:br/>
        <w:t xml:space="preserve">    （五）代表妇女参与国家和社会事务的民主管理、民主监督，促进妇女参政；贯彻实施有关妇女儿童的法律法规，维护妇女儿童的合法权益。</w:t>
        <w:br/>
        <w:t xml:space="preserve">    （六）制定本区妇女儿童事业发展规划，并组织实施；为妇女儿童服务，加强与社会各界的联系，组织和协调社会各界为妇女儿童办实事、办好事。</w:t>
        <w:br/>
        <w:t xml:space="preserve">    （七）完成区委、区政府交办的其他有关事项。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辽宁省盘锦市兴隆台区妇女联合会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辽宁省盘锦市兴隆台区妇女联合会本级。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55.14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55.14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55.14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减少5.57万元，降低9.18%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55.14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50.47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91.54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工资福利支出45.38万元；商品和服务支出5.09万元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4.66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8.46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主要包括三八妇女节、六一儿童节、家庭文明建设、婚姻家庭矛盾化解、农村家庭卫生评比等业务支出。等业务支出。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减少5.57万元，降低9.18%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结余为0.00万元</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55.14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50.47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4.66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减少5.57万元，降低9.18%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81.03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97.93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28.27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2023年度一般公共预算财政拨款支出55.14万元。按支出功能分类科目分，包括：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1.一般公共服务支出43.47万元，具体包括：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（1）一般公共服务支出（类）群众团体事务（款）行政运行（项）38.81万元,主要是为保障机构正常运转、完成日常工作任务等支出，完成年初预算的99.3%，决算数与年初预算数存在差异的主要原因是人员变动。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群众团体事务（款）一般行政管理事务（项）4.66万元,主要是三八妇女节、六一儿童节、妇女儿童发展规划、农村家庭卫生评比等支出，完成年初预算的28.24%，决算数与年初预算数存在差异的主要原因是兴隆台区第六次妇女代表大会未召开，大会会议费未使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4.87万元,主要是机关事业单位基本养老保险缴费等支出，完成年初预算的91.19%，决算数与年初预算数存在差异的主要原因是单位人员变动，缴费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1.89万元,主要是行政单位医疗保险缴纳等支出，完成年初预算的90%，决算数与年初预算数存在差异的主要原因是单位人员变动，缴费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（2）卫生健康支出（类）行政事业单位医疗（款）公务员医疗补助（项）0.53万元,主要是公务员医疗补助等支出，完成年初预算的88.33%，决算数与年初预算数存在差异的主要原因是单位人员变动，缴费基数变化。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0.12万元,主要是其他用于行政事业单位医疗方面等支出，完成年初预算的200%，决算数与年初预算数存在差异的主要原因是行政人员缴纳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（1）住房保障支出（类）住房改革支出（款）住房公积金（项）4.25万元,主要是住房公积金等支出，完成年初预算的97.47%，决算数与年初预算数存在差异的主要原因是单位人员变动，缴费基数变化。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未发生“三公”经费支出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发生因公出国（境）费支出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未发生出国（境）费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未发生公务接待费支出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未发生公务接待费支出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50.47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45.38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5.09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5.09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比上年增加0.16万元，增长3.25%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差旅费和工会经费增加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根据预算绩效管理要求，辽宁省盘锦市兴隆台区妇女联合会组织开展部门整体绩效自评工作，涉及资金55.14万元，其中财政拨款资金55.14万元，自评得分100分。 </w:t>
        <w:br/>
        <w:t xml:space="preserve">    详见附件《部门（单位）整体绩效自评表</w:t>
        <w:br/>
        <w:t xml:space="preserve">    2.项目绩效自评情况</w:t>
        <w:br/>
        <w:t xml:space="preserve">    2023年度，兴隆台区妇女联合会对单位3个项目开展项目绩效自评工作，涉及资金8.5万元，其中财政拨款资金8.5万元，自评覆盖率达到100%，自评平均分86.31分。</w:t>
        <w:br/>
        <w:t xml:space="preserve">    详见附件《预算项目（政策）绩效自评表》。</w:t>
        <w:br/>
        <w:t xml:space="preserve">    3.部门重点评价情况</w:t>
        <w:br/>
        <w:t xml:space="preserve">    2023年度，兴隆台区妇女联合会未开展部门重点评价工作。</w:t>
        <w:br/>
        <w:t xml:space="preserve">    4.财政重点评价情况</w:t>
        <w:br/>
        <w:t xml:space="preserve">    2023年度，兴隆台区财政局未对兴隆台区妇女联合会的项目开展财政重点评价工作。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55.14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43.47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55.14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55.14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55.14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55.14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55.14</w:t>
            </w:r>
          </w:p>
        </w:tc>
        <w:tc>
          <w:tcPr>
            <w:tcW w:w="1160" w:type="dxa"/>
            <w:tcBorders/>
            <w:vAlign w:val="center"/>
          </w:tcPr>
          <w:p>
            <w:pPr>
              <w:jc w:val="right"/>
            </w:pPr>
            <w:r>
              <w:rPr>
                <w:rFonts w:ascii="宋体" w:eastAsia="宋体" w:hAnsi="宋体" w:cs="宋体"/>
                <w:b/>
                <w:i w:val="0"/>
                <w:color w:val="000000"/>
                <w:sz w:val="14"/>
              </w:rPr>
              <w:t xml:space="preserve">55.14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43.47</w:t>
            </w:r>
          </w:p>
        </w:tc>
        <w:tc>
          <w:tcPr>
            <w:tcW w:w="1160" w:type="dxa"/>
            <w:tcBorders/>
            <w:vAlign w:val="center"/>
          </w:tcPr>
          <w:p>
            <w:pPr>
              <w:jc w:val="right"/>
            </w:pPr>
            <w:r>
              <w:rPr>
                <w:rFonts w:ascii="宋体" w:eastAsia="宋体" w:hAnsi="宋体" w:cs="宋体"/>
                <w:b w:val="0"/>
                <w:i w:val="0"/>
                <w:color w:val="000000"/>
                <w:sz w:val="14"/>
              </w:rPr>
              <w:t xml:space="preserve">43.47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43.47</w:t>
            </w:r>
          </w:p>
        </w:tc>
        <w:tc>
          <w:tcPr>
            <w:tcW w:w="1160" w:type="dxa"/>
            <w:tcBorders/>
            <w:vAlign w:val="center"/>
          </w:tcPr>
          <w:p>
            <w:pPr>
              <w:jc w:val="right"/>
            </w:pPr>
            <w:r>
              <w:rPr>
                <w:rFonts w:ascii="宋体" w:eastAsia="宋体" w:hAnsi="宋体" w:cs="宋体"/>
                <w:b w:val="0"/>
                <w:i w:val="0"/>
                <w:color w:val="000000"/>
                <w:sz w:val="14"/>
              </w:rPr>
              <w:t xml:space="preserve">43.47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38.81</w:t>
            </w:r>
          </w:p>
        </w:tc>
        <w:tc>
          <w:tcPr>
            <w:tcW w:w="1160" w:type="dxa"/>
            <w:tcBorders/>
            <w:vAlign w:val="center"/>
          </w:tcPr>
          <w:p>
            <w:pPr>
              <w:jc w:val="right"/>
            </w:pPr>
            <w:r>
              <w:rPr>
                <w:rFonts w:ascii="宋体" w:eastAsia="宋体" w:hAnsi="宋体" w:cs="宋体"/>
                <w:b w:val="0"/>
                <w:i w:val="0"/>
                <w:color w:val="000000"/>
                <w:sz w:val="14"/>
              </w:rPr>
              <w:t xml:space="preserve">38.81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4.66</w:t>
            </w:r>
          </w:p>
        </w:tc>
        <w:tc>
          <w:tcPr>
            <w:tcW w:w="1160" w:type="dxa"/>
            <w:tcBorders/>
            <w:vAlign w:val="center"/>
          </w:tcPr>
          <w:p>
            <w:pPr>
              <w:jc w:val="right"/>
            </w:pPr>
            <w:r>
              <w:rPr>
                <w:rFonts w:ascii="宋体" w:eastAsia="宋体" w:hAnsi="宋体" w:cs="宋体"/>
                <w:b w:val="0"/>
                <w:i w:val="0"/>
                <w:color w:val="000000"/>
                <w:sz w:val="14"/>
              </w:rPr>
              <w:t xml:space="preserve">4.66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2.54</w:t>
            </w:r>
          </w:p>
        </w:tc>
        <w:tc>
          <w:tcPr>
            <w:tcW w:w="1160" w:type="dxa"/>
            <w:tcBorders/>
            <w:vAlign w:val="center"/>
          </w:tcPr>
          <w:p>
            <w:pPr>
              <w:jc w:val="right"/>
            </w:pPr>
            <w:r>
              <w:rPr>
                <w:rFonts w:ascii="宋体" w:eastAsia="宋体" w:hAnsi="宋体" w:cs="宋体"/>
                <w:b w:val="0"/>
                <w:i w:val="0"/>
                <w:color w:val="000000"/>
                <w:sz w:val="14"/>
              </w:rPr>
              <w:t xml:space="preserve">2.54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2.54</w:t>
            </w:r>
          </w:p>
        </w:tc>
        <w:tc>
          <w:tcPr>
            <w:tcW w:w="1160" w:type="dxa"/>
            <w:tcBorders/>
            <w:vAlign w:val="center"/>
          </w:tcPr>
          <w:p>
            <w:pPr>
              <w:jc w:val="right"/>
            </w:pPr>
            <w:r>
              <w:rPr>
                <w:rFonts w:ascii="宋体" w:eastAsia="宋体" w:hAnsi="宋体" w:cs="宋体"/>
                <w:b w:val="0"/>
                <w:i w:val="0"/>
                <w:color w:val="000000"/>
                <w:sz w:val="14"/>
              </w:rPr>
              <w:t xml:space="preserve">2.54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1.89</w:t>
            </w:r>
          </w:p>
        </w:tc>
        <w:tc>
          <w:tcPr>
            <w:tcW w:w="1160" w:type="dxa"/>
            <w:tcBorders/>
            <w:vAlign w:val="center"/>
          </w:tcPr>
          <w:p>
            <w:pPr>
              <w:jc w:val="right"/>
            </w:pPr>
            <w:r>
              <w:rPr>
                <w:rFonts w:ascii="宋体" w:eastAsia="宋体" w:hAnsi="宋体" w:cs="宋体"/>
                <w:b w:val="0"/>
                <w:i w:val="0"/>
                <w:color w:val="000000"/>
                <w:sz w:val="14"/>
              </w:rPr>
              <w:t xml:space="preserve">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4.25</w:t>
            </w:r>
          </w:p>
        </w:tc>
        <w:tc>
          <w:tcPr>
            <w:tcW w:w="1160" w:type="dxa"/>
            <w:tcBorders/>
            <w:vAlign w:val="center"/>
          </w:tcPr>
          <w:p>
            <w:pPr>
              <w:jc w:val="right"/>
            </w:pPr>
            <w:r>
              <w:rPr>
                <w:rFonts w:ascii="宋体" w:eastAsia="宋体" w:hAnsi="宋体" w:cs="宋体"/>
                <w:b w:val="0"/>
                <w:i w:val="0"/>
                <w:color w:val="000000"/>
                <w:sz w:val="14"/>
              </w:rPr>
              <w:t xml:space="preserve">4.25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4.25</w:t>
            </w:r>
          </w:p>
        </w:tc>
        <w:tc>
          <w:tcPr>
            <w:tcW w:w="1160" w:type="dxa"/>
            <w:tcBorders/>
            <w:vAlign w:val="center"/>
          </w:tcPr>
          <w:p>
            <w:pPr>
              <w:jc w:val="right"/>
            </w:pPr>
            <w:r>
              <w:rPr>
                <w:rFonts w:ascii="宋体" w:eastAsia="宋体" w:hAnsi="宋体" w:cs="宋体"/>
                <w:b w:val="0"/>
                <w:i w:val="0"/>
                <w:color w:val="000000"/>
                <w:sz w:val="14"/>
              </w:rPr>
              <w:t xml:space="preserve">4.25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4.25</w:t>
            </w:r>
          </w:p>
        </w:tc>
        <w:tc>
          <w:tcPr>
            <w:tcW w:w="1160" w:type="dxa"/>
            <w:tcBorders/>
            <w:vAlign w:val="center"/>
          </w:tcPr>
          <w:p>
            <w:pPr>
              <w:jc w:val="right"/>
            </w:pPr>
            <w:r>
              <w:rPr>
                <w:rFonts w:ascii="宋体" w:eastAsia="宋体" w:hAnsi="宋体" w:cs="宋体"/>
                <w:b w:val="0"/>
                <w:i w:val="0"/>
                <w:color w:val="000000"/>
                <w:sz w:val="14"/>
              </w:rPr>
              <w:t xml:space="preserve">4.25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55.14</w:t>
            </w:r>
          </w:p>
        </w:tc>
        <w:tc>
          <w:tcPr>
            <w:tcW w:w="1120" w:type="dxa"/>
            <w:tcBorders/>
            <w:vAlign w:val="center"/>
          </w:tcPr>
          <w:p>
            <w:pPr>
              <w:jc w:val="right"/>
            </w:pPr>
            <w:r>
              <w:rPr>
                <w:rFonts w:ascii="宋体" w:eastAsia="宋体" w:hAnsi="宋体" w:cs="宋体"/>
                <w:b/>
                <w:i w:val="0"/>
                <w:color w:val="000000"/>
                <w:sz w:val="16"/>
              </w:rPr>
              <w:t xml:space="preserve">50.47</w:t>
            </w:r>
          </w:p>
        </w:tc>
        <w:tc>
          <w:tcPr>
            <w:tcW w:w="1120" w:type="dxa"/>
            <w:tcBorders/>
            <w:vAlign w:val="center"/>
          </w:tcPr>
          <w:p>
            <w:pPr>
              <w:jc w:val="right"/>
            </w:pPr>
            <w:r>
              <w:rPr>
                <w:rFonts w:ascii="宋体" w:eastAsia="宋体" w:hAnsi="宋体" w:cs="宋体"/>
                <w:b/>
                <w:i w:val="0"/>
                <w:color w:val="000000"/>
                <w:sz w:val="16"/>
              </w:rPr>
              <w:t xml:space="preserve">4.66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43.47</w:t>
            </w:r>
          </w:p>
        </w:tc>
        <w:tc>
          <w:tcPr>
            <w:tcW w:w="1120" w:type="dxa"/>
            <w:tcBorders/>
            <w:vAlign w:val="center"/>
          </w:tcPr>
          <w:p>
            <w:pPr>
              <w:jc w:val="right"/>
            </w:pPr>
            <w:r>
              <w:rPr>
                <w:rFonts w:ascii="宋体" w:eastAsia="宋体" w:hAnsi="宋体" w:cs="宋体"/>
                <w:b w:val="0"/>
                <w:i w:val="0"/>
                <w:color w:val="000000"/>
                <w:sz w:val="16"/>
              </w:rPr>
              <w:t xml:space="preserve">38.81</w:t>
            </w:r>
          </w:p>
        </w:tc>
        <w:tc>
          <w:tcPr>
            <w:tcW w:w="1120" w:type="dxa"/>
            <w:tcBorders/>
            <w:vAlign w:val="center"/>
          </w:tcPr>
          <w:p>
            <w:pPr>
              <w:jc w:val="right"/>
            </w:pPr>
            <w:r>
              <w:rPr>
                <w:rFonts w:ascii="宋体" w:eastAsia="宋体" w:hAnsi="宋体" w:cs="宋体"/>
                <w:b w:val="0"/>
                <w:i w:val="0"/>
                <w:color w:val="000000"/>
                <w:sz w:val="16"/>
              </w:rPr>
              <w:t xml:space="preserve">4.66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43.47</w:t>
            </w:r>
          </w:p>
        </w:tc>
        <w:tc>
          <w:tcPr>
            <w:tcW w:w="1120" w:type="dxa"/>
            <w:tcBorders/>
            <w:vAlign w:val="center"/>
          </w:tcPr>
          <w:p>
            <w:pPr>
              <w:jc w:val="right"/>
            </w:pPr>
            <w:r>
              <w:rPr>
                <w:rFonts w:ascii="宋体" w:eastAsia="宋体" w:hAnsi="宋体" w:cs="宋体"/>
                <w:b w:val="0"/>
                <w:i w:val="0"/>
                <w:color w:val="000000"/>
                <w:sz w:val="16"/>
              </w:rPr>
              <w:t xml:space="preserve">38.81</w:t>
            </w:r>
          </w:p>
        </w:tc>
        <w:tc>
          <w:tcPr>
            <w:tcW w:w="1120" w:type="dxa"/>
            <w:tcBorders/>
            <w:vAlign w:val="center"/>
          </w:tcPr>
          <w:p>
            <w:pPr>
              <w:jc w:val="right"/>
            </w:pPr>
            <w:r>
              <w:rPr>
                <w:rFonts w:ascii="宋体" w:eastAsia="宋体" w:hAnsi="宋体" w:cs="宋体"/>
                <w:b w:val="0"/>
                <w:i w:val="0"/>
                <w:color w:val="000000"/>
                <w:sz w:val="16"/>
              </w:rPr>
              <w:t xml:space="preserve">4.66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38.81</w:t>
            </w:r>
          </w:p>
        </w:tc>
        <w:tc>
          <w:tcPr>
            <w:tcW w:w="1120" w:type="dxa"/>
            <w:tcBorders/>
            <w:vAlign w:val="center"/>
          </w:tcPr>
          <w:p>
            <w:pPr>
              <w:jc w:val="right"/>
            </w:pPr>
            <w:r>
              <w:rPr>
                <w:rFonts w:ascii="宋体" w:eastAsia="宋体" w:hAnsi="宋体" w:cs="宋体"/>
                <w:b w:val="0"/>
                <w:i w:val="0"/>
                <w:color w:val="000000"/>
                <w:sz w:val="16"/>
              </w:rPr>
              <w:t xml:space="preserve">38.81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2.54</w:t>
            </w:r>
          </w:p>
        </w:tc>
        <w:tc>
          <w:tcPr>
            <w:tcW w:w="1120" w:type="dxa"/>
            <w:tcBorders/>
            <w:vAlign w:val="center"/>
          </w:tcPr>
          <w:p>
            <w:pPr>
              <w:jc w:val="right"/>
            </w:pPr>
            <w:r>
              <w:rPr>
                <w:rFonts w:ascii="宋体" w:eastAsia="宋体" w:hAnsi="宋体" w:cs="宋体"/>
                <w:b w:val="0"/>
                <w:i w:val="0"/>
                <w:color w:val="000000"/>
                <w:sz w:val="16"/>
              </w:rPr>
              <w:t xml:space="preserve">2.54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2.54</w:t>
            </w:r>
          </w:p>
        </w:tc>
        <w:tc>
          <w:tcPr>
            <w:tcW w:w="1120" w:type="dxa"/>
            <w:tcBorders/>
            <w:vAlign w:val="center"/>
          </w:tcPr>
          <w:p>
            <w:pPr>
              <w:jc w:val="right"/>
            </w:pPr>
            <w:r>
              <w:rPr>
                <w:rFonts w:ascii="宋体" w:eastAsia="宋体" w:hAnsi="宋体" w:cs="宋体"/>
                <w:b w:val="0"/>
                <w:i w:val="0"/>
                <w:color w:val="000000"/>
                <w:sz w:val="16"/>
              </w:rPr>
              <w:t xml:space="preserve">2.54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1.89</w:t>
            </w:r>
          </w:p>
        </w:tc>
        <w:tc>
          <w:tcPr>
            <w:tcW w:w="1120" w:type="dxa"/>
            <w:tcBorders/>
            <w:vAlign w:val="center"/>
          </w:tcPr>
          <w:p>
            <w:pPr>
              <w:jc w:val="right"/>
            </w:pPr>
            <w:r>
              <w:rPr>
                <w:rFonts w:ascii="宋体" w:eastAsia="宋体" w:hAnsi="宋体" w:cs="宋体"/>
                <w:b w:val="0"/>
                <w:i w:val="0"/>
                <w:color w:val="000000"/>
                <w:sz w:val="16"/>
              </w:rPr>
              <w:t xml:space="preserve">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4.25</w:t>
            </w:r>
          </w:p>
        </w:tc>
        <w:tc>
          <w:tcPr>
            <w:tcW w:w="1120" w:type="dxa"/>
            <w:tcBorders/>
            <w:vAlign w:val="center"/>
          </w:tcPr>
          <w:p>
            <w:pPr>
              <w:jc w:val="right"/>
            </w:pPr>
            <w:r>
              <w:rPr>
                <w:rFonts w:ascii="宋体" w:eastAsia="宋体" w:hAnsi="宋体" w:cs="宋体"/>
                <w:b w:val="0"/>
                <w:i w:val="0"/>
                <w:color w:val="000000"/>
                <w:sz w:val="16"/>
              </w:rPr>
              <w:t xml:space="preserve">4.25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4.25</w:t>
            </w:r>
          </w:p>
        </w:tc>
        <w:tc>
          <w:tcPr>
            <w:tcW w:w="1120" w:type="dxa"/>
            <w:tcBorders/>
            <w:vAlign w:val="center"/>
          </w:tcPr>
          <w:p>
            <w:pPr>
              <w:jc w:val="right"/>
            </w:pPr>
            <w:r>
              <w:rPr>
                <w:rFonts w:ascii="宋体" w:eastAsia="宋体" w:hAnsi="宋体" w:cs="宋体"/>
                <w:b w:val="0"/>
                <w:i w:val="0"/>
                <w:color w:val="000000"/>
                <w:sz w:val="16"/>
              </w:rPr>
              <w:t xml:space="preserve">4.25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4.25</w:t>
            </w:r>
          </w:p>
        </w:tc>
        <w:tc>
          <w:tcPr>
            <w:tcW w:w="1120" w:type="dxa"/>
            <w:tcBorders/>
            <w:vAlign w:val="center"/>
          </w:tcPr>
          <w:p>
            <w:pPr>
              <w:jc w:val="right"/>
            </w:pPr>
            <w:r>
              <w:rPr>
                <w:rFonts w:ascii="宋体" w:eastAsia="宋体" w:hAnsi="宋体" w:cs="宋体"/>
                <w:b w:val="0"/>
                <w:i w:val="0"/>
                <w:color w:val="000000"/>
                <w:sz w:val="16"/>
              </w:rPr>
              <w:t xml:space="preserve">4.25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55.14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43.47</w:t>
            </w:r>
          </w:p>
        </w:tc>
        <w:tc>
          <w:tcPr>
            <w:tcW w:w="1100" w:type="dxa"/>
            <w:tcBorders/>
            <w:vAlign w:val="center"/>
          </w:tcPr>
          <w:p>
            <w:pPr>
              <w:jc w:val="right"/>
            </w:pPr>
            <w:r>
              <w:rPr>
                <w:rFonts w:ascii="宋体" w:eastAsia="宋体" w:hAnsi="宋体" w:cs="宋体"/>
                <w:b w:val="0"/>
                <w:i w:val="0"/>
                <w:color w:val="000000"/>
                <w:sz w:val="14"/>
              </w:rPr>
              <w:t xml:space="preserve">43.47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4.87</w:t>
            </w:r>
          </w:p>
        </w:tc>
        <w:tc>
          <w:tcPr>
            <w:tcW w:w="1100" w:type="dxa"/>
            <w:tcBorders/>
            <w:vAlign w:val="center"/>
          </w:tcPr>
          <w:p>
            <w:pPr>
              <w:jc w:val="right"/>
            </w:pPr>
            <w:r>
              <w:rPr>
                <w:rFonts w:ascii="宋体" w:eastAsia="宋体" w:hAnsi="宋体" w:cs="宋体"/>
                <w:b w:val="0"/>
                <w:i w:val="0"/>
                <w:color w:val="000000"/>
                <w:sz w:val="14"/>
              </w:rPr>
              <w:t xml:space="preserve">4.87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2.54</w:t>
            </w:r>
          </w:p>
        </w:tc>
        <w:tc>
          <w:tcPr>
            <w:tcW w:w="1100" w:type="dxa"/>
            <w:tcBorders/>
            <w:vAlign w:val="center"/>
          </w:tcPr>
          <w:p>
            <w:pPr>
              <w:jc w:val="right"/>
            </w:pPr>
            <w:r>
              <w:rPr>
                <w:rFonts w:ascii="宋体" w:eastAsia="宋体" w:hAnsi="宋体" w:cs="宋体"/>
                <w:b w:val="0"/>
                <w:i w:val="0"/>
                <w:color w:val="000000"/>
                <w:sz w:val="14"/>
              </w:rPr>
              <w:t xml:space="preserve">2.54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4.25</w:t>
            </w:r>
          </w:p>
        </w:tc>
        <w:tc>
          <w:tcPr>
            <w:tcW w:w="1100" w:type="dxa"/>
            <w:tcBorders/>
            <w:vAlign w:val="center"/>
          </w:tcPr>
          <w:p>
            <w:pPr>
              <w:jc w:val="right"/>
            </w:pPr>
            <w:r>
              <w:rPr>
                <w:rFonts w:ascii="宋体" w:eastAsia="宋体" w:hAnsi="宋体" w:cs="宋体"/>
                <w:b w:val="0"/>
                <w:i w:val="0"/>
                <w:color w:val="000000"/>
                <w:sz w:val="14"/>
              </w:rPr>
              <w:t xml:space="preserve">4.25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55.14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55.14</w:t>
            </w:r>
          </w:p>
        </w:tc>
        <w:tc>
          <w:tcPr>
            <w:tcW w:w="1100" w:type="dxa"/>
            <w:tcBorders/>
            <w:vAlign w:val="center"/>
          </w:tcPr>
          <w:p>
            <w:pPr>
              <w:jc w:val="right"/>
            </w:pPr>
            <w:r>
              <w:rPr>
                <w:rFonts w:ascii="宋体" w:eastAsia="宋体" w:hAnsi="宋体" w:cs="宋体"/>
                <w:b w:val="0"/>
                <w:i w:val="0"/>
                <w:color w:val="000000"/>
                <w:sz w:val="14"/>
              </w:rPr>
              <w:t xml:space="preserve">55.14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55.14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55.14</w:t>
            </w:r>
          </w:p>
        </w:tc>
        <w:tc>
          <w:tcPr>
            <w:tcW w:w="1100" w:type="dxa"/>
            <w:tcBorders/>
            <w:vAlign w:val="center"/>
          </w:tcPr>
          <w:p>
            <w:pPr>
              <w:jc w:val="right"/>
            </w:pPr>
            <w:r>
              <w:rPr>
                <w:rFonts w:ascii="宋体" w:eastAsia="宋体" w:hAnsi="宋体" w:cs="宋体"/>
                <w:b w:val="0"/>
                <w:i w:val="0"/>
                <w:color w:val="000000"/>
                <w:sz w:val="14"/>
              </w:rPr>
              <w:t xml:space="preserve">55.14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55.14</w:t>
            </w:r>
          </w:p>
        </w:tc>
        <w:tc>
          <w:tcPr>
            <w:tcW w:w="1980" w:type="dxa"/>
            <w:tcBorders/>
            <w:vAlign w:val="center"/>
          </w:tcPr>
          <w:p>
            <w:pPr>
              <w:jc w:val="right"/>
            </w:pPr>
            <w:r>
              <w:rPr>
                <w:rFonts w:ascii="宋体" w:eastAsia="宋体" w:hAnsi="宋体" w:cs="宋体"/>
                <w:b/>
                <w:i w:val="0"/>
                <w:color w:val="000000"/>
                <w:sz w:val="20"/>
              </w:rPr>
              <w:t xml:space="preserve">50.47</w:t>
            </w:r>
          </w:p>
        </w:tc>
        <w:tc>
          <w:tcPr>
            <w:tcW w:w="1952" w:type="dxa"/>
            <w:tcBorders/>
            <w:vAlign w:val="center"/>
          </w:tcPr>
          <w:p>
            <w:pPr>
              <w:jc w:val="right"/>
            </w:pPr>
            <w:r>
              <w:rPr>
                <w:rFonts w:ascii="宋体" w:eastAsia="宋体" w:hAnsi="宋体" w:cs="宋体"/>
                <w:b/>
                <w:i w:val="0"/>
                <w:color w:val="000000"/>
                <w:sz w:val="20"/>
              </w:rPr>
              <w:t xml:space="preserve">4.66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43.47</w:t>
            </w:r>
          </w:p>
        </w:tc>
        <w:tc>
          <w:tcPr>
            <w:tcW w:w="1980" w:type="dxa"/>
            <w:tcBorders/>
            <w:vAlign w:val="center"/>
          </w:tcPr>
          <w:p>
            <w:pPr>
              <w:jc w:val="right"/>
            </w:pPr>
            <w:r>
              <w:rPr>
                <w:rFonts w:ascii="宋体" w:eastAsia="宋体" w:hAnsi="宋体" w:cs="宋体"/>
                <w:b w:val="0"/>
                <w:i w:val="0"/>
                <w:color w:val="000000"/>
                <w:sz w:val="20"/>
              </w:rPr>
              <w:t xml:space="preserve">38.81</w:t>
            </w:r>
          </w:p>
        </w:tc>
        <w:tc>
          <w:tcPr>
            <w:tcW w:w="1952" w:type="dxa"/>
            <w:tcBorders/>
            <w:vAlign w:val="center"/>
          </w:tcPr>
          <w:p>
            <w:pPr>
              <w:jc w:val="right"/>
            </w:pPr>
            <w:r>
              <w:rPr>
                <w:rFonts w:ascii="宋体" w:eastAsia="宋体" w:hAnsi="宋体" w:cs="宋体"/>
                <w:b w:val="0"/>
                <w:i w:val="0"/>
                <w:color w:val="000000"/>
                <w:sz w:val="20"/>
              </w:rPr>
              <w:t xml:space="preserve">4.66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43.47</w:t>
            </w:r>
          </w:p>
        </w:tc>
        <w:tc>
          <w:tcPr>
            <w:tcW w:w="1980" w:type="dxa"/>
            <w:tcBorders/>
            <w:vAlign w:val="center"/>
          </w:tcPr>
          <w:p>
            <w:pPr>
              <w:jc w:val="right"/>
            </w:pPr>
            <w:r>
              <w:rPr>
                <w:rFonts w:ascii="宋体" w:eastAsia="宋体" w:hAnsi="宋体" w:cs="宋体"/>
                <w:b w:val="0"/>
                <w:i w:val="0"/>
                <w:color w:val="000000"/>
                <w:sz w:val="20"/>
              </w:rPr>
              <w:t xml:space="preserve">38.81</w:t>
            </w:r>
          </w:p>
        </w:tc>
        <w:tc>
          <w:tcPr>
            <w:tcW w:w="1952" w:type="dxa"/>
            <w:tcBorders/>
            <w:vAlign w:val="center"/>
          </w:tcPr>
          <w:p>
            <w:pPr>
              <w:jc w:val="right"/>
            </w:pPr>
            <w:r>
              <w:rPr>
                <w:rFonts w:ascii="宋体" w:eastAsia="宋体" w:hAnsi="宋体" w:cs="宋体"/>
                <w:b w:val="0"/>
                <w:i w:val="0"/>
                <w:color w:val="000000"/>
                <w:sz w:val="20"/>
              </w:rPr>
              <w:t xml:space="preserve">4.66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38.81</w:t>
            </w:r>
          </w:p>
        </w:tc>
        <w:tc>
          <w:tcPr>
            <w:tcW w:w="1980" w:type="dxa"/>
            <w:tcBorders/>
            <w:vAlign w:val="center"/>
          </w:tcPr>
          <w:p>
            <w:pPr>
              <w:jc w:val="right"/>
            </w:pPr>
            <w:r>
              <w:rPr>
                <w:rFonts w:ascii="宋体" w:eastAsia="宋体" w:hAnsi="宋体" w:cs="宋体"/>
                <w:b w:val="0"/>
                <w:i w:val="0"/>
                <w:color w:val="000000"/>
                <w:sz w:val="20"/>
              </w:rPr>
              <w:t xml:space="preserve">38.81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2.54</w:t>
            </w:r>
          </w:p>
        </w:tc>
        <w:tc>
          <w:tcPr>
            <w:tcW w:w="1980" w:type="dxa"/>
            <w:tcBorders/>
            <w:vAlign w:val="center"/>
          </w:tcPr>
          <w:p>
            <w:pPr>
              <w:jc w:val="right"/>
            </w:pPr>
            <w:r>
              <w:rPr>
                <w:rFonts w:ascii="宋体" w:eastAsia="宋体" w:hAnsi="宋体" w:cs="宋体"/>
                <w:b w:val="0"/>
                <w:i w:val="0"/>
                <w:color w:val="000000"/>
                <w:sz w:val="20"/>
              </w:rPr>
              <w:t xml:space="preserve">2.54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2.54</w:t>
            </w:r>
          </w:p>
        </w:tc>
        <w:tc>
          <w:tcPr>
            <w:tcW w:w="1980" w:type="dxa"/>
            <w:tcBorders/>
            <w:vAlign w:val="center"/>
          </w:tcPr>
          <w:p>
            <w:pPr>
              <w:jc w:val="right"/>
            </w:pPr>
            <w:r>
              <w:rPr>
                <w:rFonts w:ascii="宋体" w:eastAsia="宋体" w:hAnsi="宋体" w:cs="宋体"/>
                <w:b w:val="0"/>
                <w:i w:val="0"/>
                <w:color w:val="000000"/>
                <w:sz w:val="20"/>
              </w:rPr>
              <w:t xml:space="preserve">2.54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1.89</w:t>
            </w:r>
          </w:p>
        </w:tc>
        <w:tc>
          <w:tcPr>
            <w:tcW w:w="1980" w:type="dxa"/>
            <w:tcBorders/>
            <w:vAlign w:val="center"/>
          </w:tcPr>
          <w:p>
            <w:pPr>
              <w:jc w:val="right"/>
            </w:pPr>
            <w:r>
              <w:rPr>
                <w:rFonts w:ascii="宋体" w:eastAsia="宋体" w:hAnsi="宋体" w:cs="宋体"/>
                <w:b w:val="0"/>
                <w:i w:val="0"/>
                <w:color w:val="000000"/>
                <w:sz w:val="20"/>
              </w:rPr>
              <w:t xml:space="preserve">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4.25</w:t>
            </w:r>
          </w:p>
        </w:tc>
        <w:tc>
          <w:tcPr>
            <w:tcW w:w="1980" w:type="dxa"/>
            <w:tcBorders/>
            <w:vAlign w:val="center"/>
          </w:tcPr>
          <w:p>
            <w:pPr>
              <w:jc w:val="right"/>
            </w:pPr>
            <w:r>
              <w:rPr>
                <w:rFonts w:ascii="宋体" w:eastAsia="宋体" w:hAnsi="宋体" w:cs="宋体"/>
                <w:b w:val="0"/>
                <w:i w:val="0"/>
                <w:color w:val="000000"/>
                <w:sz w:val="20"/>
              </w:rPr>
              <w:t xml:space="preserve">4.25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4.25</w:t>
            </w:r>
          </w:p>
        </w:tc>
        <w:tc>
          <w:tcPr>
            <w:tcW w:w="1980" w:type="dxa"/>
            <w:tcBorders/>
            <w:vAlign w:val="center"/>
          </w:tcPr>
          <w:p>
            <w:pPr>
              <w:jc w:val="right"/>
            </w:pPr>
            <w:r>
              <w:rPr>
                <w:rFonts w:ascii="宋体" w:eastAsia="宋体" w:hAnsi="宋体" w:cs="宋体"/>
                <w:b w:val="0"/>
                <w:i w:val="0"/>
                <w:color w:val="000000"/>
                <w:sz w:val="20"/>
              </w:rPr>
              <w:t xml:space="preserve">4.25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4.25</w:t>
            </w:r>
          </w:p>
        </w:tc>
        <w:tc>
          <w:tcPr>
            <w:tcW w:w="1980" w:type="dxa"/>
            <w:tcBorders/>
            <w:vAlign w:val="center"/>
          </w:tcPr>
          <w:p>
            <w:pPr>
              <w:jc w:val="right"/>
            </w:pPr>
            <w:r>
              <w:rPr>
                <w:rFonts w:ascii="宋体" w:eastAsia="宋体" w:hAnsi="宋体" w:cs="宋体"/>
                <w:b w:val="0"/>
                <w:i w:val="0"/>
                <w:color w:val="000000"/>
                <w:sz w:val="20"/>
              </w:rPr>
              <w:t xml:space="preserve">4.25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45.38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5.09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15.93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0.36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10.44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7.35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4.87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0.51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1.89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4.25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0.51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3.01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45.38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5.09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309011辽宁省盘锦市兴隆台区妇女联合会-211103000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51.54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51.54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1.8937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41.484262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41.48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6.8368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开展“巾帼心向党”“巾帼建新功”等活动，为经济社会发展贡献巾帼力量，开展最美庭院评选活动。寻找最美家庭评选、表彰及宣传；开展普法维权宣传、选树各类妇女典型；举办家政服务、家庭家风家教等培训，提高妇女素质及创业就业本领；做好妇女儿童两个规划终期评估相关工作。婚姻家庭矛盾纠纷预防化解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开展“巾帼心向党”“巾帼建新功”等活动，为经济社会发展贡献巾帼力量，开展最美庭院评选活动，召开最美庭院现场会。寻找最美家庭评选、表彰及宣传；开展普法维权宣传、“巾帼心向党 奋斗绽芳华”纪念“三八”国际妇女节113周年暨典型发布会，选树各类妇女典型；举办公益育婴师培训班1期，母婴护理培训班1期提高妇女素质及创业就业本领；做好妇女儿童两个规划落实相关工作。婚姻家庭矛盾纠纷预防化解工作，开展反家庭暴力法宣传、宪法日宣传活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建立可持续发展方案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做好预算编制工作准备工作，掌握了解单位情况，按照《预算法》要求，将全部收入纳入预算，确保预算编制的完整性。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专项工作培训费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举办2023年公益性母婴护理及月子餐培训班1期，育婴师培训班1期，提高广大妇女就业本领，进一步提升从业就业人员的综合素质及家庭人员生活水平。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合理运用资金，帮助更多有需求的妇女学到实用技能，增强本领，实现就业创业，增加经济收入。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妇女儿童活动经费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36.12%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开展“建设法治盘锦·巾帼在行动”三八维权周活动，“举办巾帼心向党 奋斗绽芳华”纪念“三八”国际妇女节113周年暨典型发布会；六一儿童节期间开展关爱困境儿童活动；召开乡村振兴兴最美庭院现场会表彰最美庭院。</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34.612065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本单位负责具体业务同志，按照年初工作计划合理谋划各项活动，花最少钱把活动搞好，取得良好社会效益。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婚姻家庭矛盾化解工作经费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“反对家庭暴力 共建和谐家庭”主题普法宣传活动、国家宪法日普法进社区活动，发放《反家庭暴力法》、《妇女权益保障法》《国家宪法》等宣传资料，大力宣传与妇女群众工作生活息息相关的法律法规。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99.94</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负责相关业务工作人员结合工作实际提前做好活动计划，财政资金发挥作用最大化。做好合理合规合法。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8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65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