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辽宁省盘锦市兴隆台区市场监督管理局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辽宁省盘锦市兴隆台区市场监督管理局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辽宁省盘锦市兴隆台区市场监督管理局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辽宁省盘锦市兴隆台区市场监督管理局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辽宁省盘锦市兴隆台区市场监督管理局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辽宁省盘锦市兴隆台区市场监督管理局概况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（一）贯彻执行国家、省、市有关工商行政管理、质量技术监督、食品药品监督管理等方面的法律法规、规章政策和标准规范；依法开展市场监督管理和行政执法的有关工作。  </w:t>
        <w:br/>
        <w:t xml:space="preserve">    （二）制定并组织实施市场监督管理事业发展规划和技术机构建设规划；参与制定商品交易市场发展规划；负责辖区内市场监督管理信息化建设工作。</w:t>
        <w:br/>
        <w:t xml:space="preserve">    （三）组织拟订并协调推进食品安全规划；依法承担食品安全综合协调工作；推动食品安全应急体系和隐患排查治理机制建设，按规定负责食品安全事故和突发事件的应对处置；依法统一发布重大食品安全信息；依法承担生产加工、流通及消费环节的食品安全监督管理职责；负责保健食品的监督管理；依法查处食品违法行为，监督实施问题食品召回和处置制度。</w:t>
        <w:br/>
        <w:t xml:space="preserve">    （四）依法承担对市场经济秩序的监管责任；负责市场交易和网络商品交易及有关服务行为监管职责，承担垄断协议、滥用市场支配地位、滥用行政权力排除限制竞争等反垄断执法（价格垄断行为除外）有关工作，依法查处不正当竞争、商业贿赂、走私贩私等经济违法行为；负责组织建设电子商务信用体系、监管体系；依法负责个体工商户、私营企业经营行为的监督管理；组织开展企业信用体系建设，推进政府企业信用、行业信用建设，实施信用分类管理；依法监督管理经纪人、经纪机构及经纪活动，依法监督管理直销企业和直销员及其直销活动（行政处罚除外），负责打击传销工作。</w:t>
        <w:br/>
        <w:t xml:space="preserve">    （五）负责商标管理工作，查处商标侵权行为和其他商标违法行为，负责市著名商标推荐管理工作。指导广告业发展，负责广告活动的监督管理工作。</w:t>
        <w:br/>
        <w:t xml:space="preserve">    （六）负责辖区内资企业、个体工商户、农民专业合作社和从事经营活动的单位、个人独资企业等市场主体的登记注册和监督管理，承担依法查处取缔无证无照经营行为的责任。</w:t>
        <w:br/>
        <w:t xml:space="preserve">    （七）承担服务领域消费维权工作；查办侵害消费者合法权益案件；查处打击假冒伪劣等违法行为；指导、处理消费者咨询、申诉、举报。</w:t>
        <w:br/>
        <w:t xml:space="preserve">    （八）依法实施合同行政监督管理，负责动产抵押物登记，组织实施消费类格式合同备案，监督管理拍卖行为，负责依法查处合同欺诈等违法行为。</w:t>
        <w:br/>
        <w:t xml:space="preserve">    （九）负责辖区质量综合管理和产品质量诚信体系建设工作；组织实施质量振兴纲要和有关政策、规划和措施；监督管理产品防伪工作。</w:t>
        <w:br/>
        <w:t xml:space="preserve">    （十）负责管理辖区计量工作，推行法定计量单位和国家计量制度；组织建立辖区计量标准；依法管理计量器具和强制检定工作；组织辖区量值传递和比对工作；负责规范和监督商品量和市场计量行为。</w:t>
        <w:br/>
        <w:t xml:space="preserve">    （十一）负责产品质量安全监督和认证认可工作。管理产品质量安全强制检验、风险监控和监督抽查等工作；负责工业产品生产许可证管理工作；监督管理产品质量安全仲裁检验；实施对辖区相关实验室、检查机构资质认定的监管工作；实施对机动车安全技术检验机构的监管工作；依法对质量检验机构及相关社会中介组织进行监督管理，对质量认证产品进行监督检查；依法查处产品质量违法行为。</w:t>
        <w:br/>
        <w:t xml:space="preserve">    （十二）负责管理标准化工作；组织实施标准并监督检查；推行采用国际标准和国外先进标准；管理企业产品标准备案工作；监督管理组织机构代码和商品条码工作。</w:t>
        <w:br/>
        <w:t xml:space="preserve">    （十三）承担特种设备安全监察责任；依法监督管理特种设备注册登记，监督检查高耗能特种设备节能标准的执行情况；负责特种设备作业人员资格考核工作；按规定报告特种设备事故，配合特种设备事故的调查处理。</w:t>
        <w:br/>
        <w:t xml:space="preserve">    （十四）负责药品、医疗器械、化妆品行政监督和技术监督，监督实施药品和医疗器械研制、生产、流通、使用方面的质量管理规范；监督实施国家药品、医疗器械标志，负责药品、医疗器械及药用包装材料、医疗机构制剂的监督管理；组织开展药品不良反应和医疗器械不良事件检测；依法查处药品、医疗器械、化妆品的违法行为，监督实施问题产品召回和处置制度；组织实施处方药和非处方药分类管理制度；建立健全药品安全应急体系；配合有关部门实施国家基本药物制度；负责相关从业人员业务培训工作；组织开展农村药品监督网和供应网建设。</w:t>
        <w:br/>
        <w:t xml:space="preserve">    （十五）组织实施中药、民族药监督管理规范和质量标准，监督实施中药材生产质量管理规范、中药饮片炮制规范，组织实施中药品种保护制度；负责麻醉药品、精神药品以及药品类易制毒化学品的监督管理。</w:t>
        <w:br/>
        <w:t xml:space="preserve">    （十六）负责本行政区域内食品安全的综合监督、组织协调工作；组织协调有关部门健全全区食品安全事故报告体系；根据区政府授权，在市食品安全委员会的领导下，组织开展食品安全专项执法监督检查活动；依法查处重大食品安全事故、案件；负责全区食品安全的综合监督；组织协调有关部门开展重大食品安全事故的应急救援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辽宁省盘锦市兴隆台区市场监督管理局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盘锦市兴隆台区市场监督管理局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2140.00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2140.00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2140.00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减少466.55万元，降低17.90%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单位人员减少，人员经费减少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2140.00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2040.03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95.33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工资福利支出1614.85万元；商品和服务支出290.75万元；对个人和家庭的补助134.43万元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99.96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4.67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主要包括12315活动经费、打击传销经费、产品质量检验费、食品安全抽检经费等支出等业务支出。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减少466.55万元，降低17.90%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单位人员减少，人员经费减少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2140.00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2040.03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99.96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减少463.22万元，降低17.79%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单位人员减少，人员经费减少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96.76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103.66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41.05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2023年度一般公共预算财政拨款支出2140.00万元。按支出功能分类科目分，包括：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1.一般公共服务支出1567.12万元，具体包括：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（1）一般公共服务支出（类）市场监督管理事务（款）行政运行（项）818.61万元,主要是行政人员工资等支出，完成年初预算的108.92%，决算数与年初预算数存在差异的主要原因是人员增加，人员经费增加。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（2）一般公共服务支出（类）市场监督管理事务（款）一般行政管理事务（项）87.57万元,主要是办公费用等支出，完成年初预算的52.66%，决算数与年初预算数存在差异的主要原因是办公用品购入减少。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（3）一般公共服务支出（类）市场监督管理事务（款）药品事务（项）9.39万元,主要是药品监管能力建设等支出，完成年初预算的100%，决算数与年初预算数存在差异的主要原因是政府补助，年初未列入预算。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市场监督管理事务（款）食品安全监管（项）3.00万元,主要是食品监管能力建设等支出，完成年初预算的100%，决算数与年初预算数存在差异的主要原因是政府补助，年初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（5）一般公共服务支出（类）市场监督管理事务（款）事业运行（项）648.55万元,主要是事业人员工资等支出，完成年初预算的83.39%，决算数与年初预算数存在差异的主要原因是人员减少，人员经费减少。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2.社会保障和就业支出349.35万元，具体包括：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（1）社会保障和就业支出（类）行政事业单位养老支出（款）行政单位离退休（项）36.86万元,主要是退休采暖补助等支出，完成年初预算的94.88%，决算数与年初预算数存在差异的主要原因是退休人员减少。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（2）社会保障和就业支出（类）行政事业单位养老支出（款）事业单位离退休（项）5.17万元,主要是退休采暖补助等支出，完成年初预算的116.7%，决算数与年初预算数存在差异的主要原因是退休人员增加。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167.66万元,主要是养老保险等支出，完成年初预算的88.61%，决算数与年初预算数存在差异的主要原因是单位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47.66万元,主要是退休人员职业年金等支出，完成年初预算的158.87%，决算数与年初预算数存在差异的主要原因是预算数偏低。</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（6）社会保障和就业支出（类）抚恤（款）死亡抚恤（项）92.00万元,主要是死亡抚恤等支出，完成年初预算的100%，决算数与年初预算数存在差异的主要原因是未列入预算。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3.卫生健康支出85.48万元，具体包括：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29.09万元,主要是行政单位医疗保险等支出，完成年初预算的93.03%，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（2）卫生健康支出（类）行政事业单位医疗（款）事业单位医疗（项）35.81万元,主要是事业单位医疗保险等支出，完成年初预算的86.9%，决算数与年初预算数存在差异的主要原因是单位人员减少，人员经费减少。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（3）卫生健康支出（类）行政事业单位医疗（款）公务员医疗补助（项）18.10万元,主要是公务员医疗补助等支出，完成年初预算的202.46%，决算数与年初预算数存在差异的主要原因是新进人员补缴。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（4）卫生健康支出（类）行政事业单位医疗（款）其他行政事业单位医疗支出（项）2.48万元,主要是大额医疗保险等支出，完成年初预算的804.29%，决算数与年初预算数存在差异的主要原因是新进人员补缴。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4.住房保障支出138.04万元，具体包括：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（1）住房保障支出（类）住房改革支出（款）住房公积金（项）138.04万元,主要是住房公积金等支出，完成年初预算的93.6%，决算数与年初预算数存在差异的主要原因是单位人员减少，人员经费减少。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36.16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60.27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单位用车业务减少，单位开展节能减排增效活动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36.16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36.16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60.27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单位开展节能减排增效活动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比上年增加9.33万元，增长34.77%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用车业务增加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36.16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主要用于购买汽油，车辆维修维护等，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2040.03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1749.28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290.75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249.76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比上年增加21.64万元，增长9.49%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退休人员职业年金和死亡人员丧葬费增加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18</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，其他用车主要是应急保障用车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根据预算绩效管理要求，盘锦市兴隆台区市场监督管理局组织开展部门（单位）整体绩效自评工作，涉及资金2042.25</w:t>
        <w:br/>
        <w:t xml:space="preserve">    详见附件《部门（单位）整体绩效自评表》。</w:t>
        <w:br/>
        <w:t xml:space="preserve">    2.项目绩效自评情况</w:t>
        <w:br/>
        <w:t xml:space="preserve">    2023年度，盘锦市兴隆台区市场监督管理局对本部门（单位）7个项目开展项目绩效自评工作，涉及资金42.44万元，其中财政拨款资金42.44万元，自评覆盖率（开展绩效自评的项目数/年初批复绩效目标的项目数*100%）达到100%，自评平均分（开展绩效自评的项目分数总和/开展绩效自评的项目数）100分。</w:t>
        <w:br/>
        <w:t xml:space="preserve">    详见附件《预算项目（政策）绩效自评表》。</w:t>
        <w:br/>
        <w:t xml:space="preserve">    3.部门重点评价情况</w:t>
        <w:br/>
        <w:t xml:space="preserve">    2023年度，盘锦市兴隆台区市场监督管理局未开展部门重点评价工作。</w:t>
        <w:br/>
        <w:t xml:space="preserve">    4.财政重点评价情况</w:t>
        <w:br/>
        <w:t xml:space="preserve">    2023年度，兴隆台区财政局未对盘锦市兴隆台区市场监督管理局的项目开展财政重点评价工作。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1.财政拨款收入：指省级财政当年拨付的资金。</w:t>
        <w:br/>
        <w:t xml:space="preserve">    2.上级补助收入：指单位从主管部门和上级单位取得的非财政性补助收入。</w:t>
        <w:br/>
        <w:t xml:space="preserve">    3.事业收入：指事业单位开展专业业务活动及辅助活动所取得的收入。</w:t>
        <w:br/>
        <w:t xml:space="preserve">    4.经营收入：指事业单位在专业业务活动及辅助活动之外开展非独立核算经营活动取得的收入。</w:t>
        <w:br/>
        <w:t xml:space="preserve">    5.附属单位上缴收入：指单位附属的独立核算单位按照规定上缴的收入。</w:t>
        <w:br/>
        <w:t xml:space="preserve">    6.其他收入：指除上述“财政拨款收入”、 “上级补助收入”、“事业收入”、“经营收入”、“附属单位上缴收入”等以外的收入。</w:t>
        <w:br/>
        <w:t xml:space="preserve">    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br/>
        <w:t xml:space="preserve">    8.上年结转和结余：指以前年度尚未完成、结转到本年按有关规定继续使用的资金。</w:t>
        <w:br/>
        <w:t xml:space="preserve">    9.基本支出：指保障机构正常运转、完成日常工作任务而发生的人员支出和公用支出。</w:t>
        <w:br/>
        <w:t xml:space="preserve">    10.项目支出：指在基本支出之外为完成特定行政任务和事业发展目标所发生的支出。</w:t>
        <w:br/>
        <w:t xml:space="preserve">    11.上缴上级支出：指事业单位按照财政部门和主管部门的规定上缴上级单位的支出。</w:t>
        <w:br/>
        <w:t xml:space="preserve">    12.经营支出：指事业单位在专业活动及辅助活动之外开展非独立核算经营活动发生的支出。</w:t>
        <w:br/>
        <w:t xml:space="preserve">    13.对附属单位补助支出：指事业单位用财政补助收入之外的收入对附属单位补助发生的支出。</w:t>
        <w:br/>
        <w:t xml:space="preserve">    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br/>
        <w:t xml:space="preserve">    15.一般公共服务（类）财政事务（款）行政运行（项）：反映行政单位（包括实行公务员管理的事业单位）的基本支出。</w:t>
        <w:br/>
        <w:t xml:space="preserve">    16.一般公共服务（类）财政事务（款）一般行政管理事务（项）：反映行政单位（包括实行公务员管理的事业单位）未单独设置项级科目的其他项目支出。</w:t>
        <w:br/>
        <w:t xml:space="preserve">    17.一般公共服务（类）财政事务（款）预算改革业务（项）：反映财政部门用于预算改革方面的支出。</w:t>
        <w:br/>
        <w:t xml:space="preserve">    18.一般公共服务（类）财政事务（款）财政国库业务（项）：反映财政部门用于财政国库集中收付业务方面的支出。</w:t>
        <w:br/>
        <w:t xml:space="preserve">    19.一般公共服务（类）财政事务（款）信息化建设支出（项）：反映财政部门用于“金财工程”等信息化建设方面的支出。</w:t>
        <w:br/>
        <w:t xml:space="preserve">    20.一般公共服务（类）财政事务（款）财政委托业务支出（项）：反映财政委托评审机构进行财政投资评审和委托建设银行等机构代理业务发生的支出。</w:t>
        <w:br/>
        <w:t xml:space="preserve">    21.一般公共服务（类）财政事务（款）事业运行（项）：反映事业单位的基本支出，不包括行政单位（包括实行公务员管理的事业单位）后勤服务中心、医务室等附属事业单位。</w:t>
        <w:br/>
        <w:t xml:space="preserve">    22.一般公共服务（类）财政事务（款）其他财政事务支出（项）：反映除上述项目以外其他财政事务方面的支出。</w:t>
        <w:br/>
        <w:t xml:space="preserve">    23.科学技术（类）其他科学技术支出（款）其他科学技术支出（项）：反映其他用于科技方面的支出。</w:t>
        <w:br/>
        <w:t xml:space="preserve">    24.社会保障和就业（类）行政事业单位离退休（款）归口管理的行政单位离退休（项）：反映实行归口管理的行政单位（包括实行公务员管理的事业单位）开支的离退休经费。</w:t>
        <w:br/>
        <w:t xml:space="preserve">    25.社会保障和就业（类）行政事业单位离退休（款）事业单位离退休（项）：反映实行归口管理的事业单位开支的离退休经费。</w:t>
        <w:br/>
        <w:t xml:space="preserve">    26.医疗卫生（类）医疗保障（款）行政单位医疗（项）：反映财政部门集中安排的行政单位基本医疗保险缴费经费，未参加医疗保险的行政单位的公费医疗经费，按国家规定享受离休人员、红军老战士待遇人员的医疗经费。</w:t>
        <w:br/>
        <w:t xml:space="preserve">    27.医疗卫生（类）其他医疗卫生支出（款）其他医疗卫生支出（项）：反映除上述项目以外其他用于医疗卫生方面的支出。</w:t>
        <w:br/>
        <w:t xml:space="preserve">    28.农林水事务（类）农业（款）其他农业支出（项）：反映其他用于农业方面的支出。</w:t>
        <w:br/>
        <w:t xml:space="preserve">    29.交通运输（类）石油价格改革对交通运输的补贴（款）石油价格改革补贴其他支出（项）：反映石油价格改革财政补贴对其他方面的支出。</w:t>
        <w:br/>
        <w:t xml:space="preserve">    30.资源勘探信息等支出（类）工业和信息产业监管支出（款）其他工业和信息产业监管支出（项）：反映其他用于工业和信息产业监管方面的支出。</w:t>
        <w:br/>
        <w:t xml:space="preserve">    31.资源勘探信息等支出（类）其他资源勘探电力信息等支出（款）建设项目贷款贴息（项）：反映根据国家规定用于特定建设项目及国家级高新技术开发区、中西部经济技术开发区建设项目设施贷款的财政贴息支出。</w:t>
        <w:br/>
        <w:t xml:space="preserve">    32. 国土资源气象等支出（类）国土资源事务（款）其他国土资源事务支出（项）：反映其他用于国土资源事务方面的支出。</w:t>
        <w:br/>
        <w:t xml:space="preserve">    33.住房保障（类）住房改革（款）住房公积金（项）：反映行政事业单位按人力资源和社会保障部、财政部规定的基本工资和津贴补贴以及规定比例为职工缴纳的住房公积金。</w:t>
        <w:br/>
        <w:t xml:space="preserve">    34.其他支出（类）其他支出（款）其他支出（项）：反映其他不能划分到具体功能科目中的支出项目。</w:t>
        <w:br/>
        <w:t xml:space="preserve">    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2,140.00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1,567.12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349.36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85.48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138.04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2,140.00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2,140.00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2,140.00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2,140.00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2,140.00</w:t>
            </w:r>
          </w:p>
        </w:tc>
        <w:tc>
          <w:tcPr>
            <w:tcW w:w="1160" w:type="dxa"/>
            <w:tcBorders/>
            <w:vAlign w:val="center"/>
          </w:tcPr>
          <w:p>
            <w:pPr>
              <w:jc w:val="right"/>
            </w:pPr>
            <w:r>
              <w:rPr>
                <w:rFonts w:ascii="宋体" w:eastAsia="宋体" w:hAnsi="宋体" w:cs="宋体"/>
                <w:b/>
                <w:i w:val="0"/>
                <w:color w:val="000000"/>
                <w:sz w:val="14"/>
              </w:rPr>
              <w:t xml:space="preserve">2,140.00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1,567.12</w:t>
            </w:r>
          </w:p>
        </w:tc>
        <w:tc>
          <w:tcPr>
            <w:tcW w:w="1160" w:type="dxa"/>
            <w:tcBorders/>
            <w:vAlign w:val="center"/>
          </w:tcPr>
          <w:p>
            <w:pPr>
              <w:jc w:val="right"/>
            </w:pPr>
            <w:r>
              <w:rPr>
                <w:rFonts w:ascii="宋体" w:eastAsia="宋体" w:hAnsi="宋体" w:cs="宋体"/>
                <w:b w:val="0"/>
                <w:i w:val="0"/>
                <w:color w:val="000000"/>
                <w:sz w:val="14"/>
              </w:rPr>
              <w:t xml:space="preserve">1,567.12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市场监督管理事务</w:t>
            </w:r>
          </w:p>
        </w:tc>
        <w:tc>
          <w:tcPr>
            <w:tcW w:w="1160" w:type="dxa"/>
            <w:tcBorders/>
            <w:vAlign w:val="center"/>
          </w:tcPr>
          <w:p>
            <w:pPr>
              <w:jc w:val="right"/>
            </w:pPr>
            <w:r>
              <w:rPr>
                <w:rFonts w:ascii="宋体" w:eastAsia="宋体" w:hAnsi="宋体" w:cs="宋体"/>
                <w:b w:val="0"/>
                <w:i w:val="0"/>
                <w:color w:val="000000"/>
                <w:sz w:val="14"/>
              </w:rPr>
              <w:t xml:space="preserve">1,567.12</w:t>
            </w:r>
          </w:p>
        </w:tc>
        <w:tc>
          <w:tcPr>
            <w:tcW w:w="1160" w:type="dxa"/>
            <w:tcBorders/>
            <w:vAlign w:val="center"/>
          </w:tcPr>
          <w:p>
            <w:pPr>
              <w:jc w:val="right"/>
            </w:pPr>
            <w:r>
              <w:rPr>
                <w:rFonts w:ascii="宋体" w:eastAsia="宋体" w:hAnsi="宋体" w:cs="宋体"/>
                <w:b w:val="0"/>
                <w:i w:val="0"/>
                <w:color w:val="000000"/>
                <w:sz w:val="14"/>
              </w:rPr>
              <w:t xml:space="preserve">1,567.12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818.61</w:t>
            </w:r>
          </w:p>
        </w:tc>
        <w:tc>
          <w:tcPr>
            <w:tcW w:w="1160" w:type="dxa"/>
            <w:tcBorders/>
            <w:vAlign w:val="center"/>
          </w:tcPr>
          <w:p>
            <w:pPr>
              <w:jc w:val="right"/>
            </w:pPr>
            <w:r>
              <w:rPr>
                <w:rFonts w:ascii="宋体" w:eastAsia="宋体" w:hAnsi="宋体" w:cs="宋体"/>
                <w:b w:val="0"/>
                <w:i w:val="0"/>
                <w:color w:val="000000"/>
                <w:sz w:val="14"/>
              </w:rPr>
              <w:t xml:space="preserve">818.61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87.57</w:t>
            </w:r>
          </w:p>
        </w:tc>
        <w:tc>
          <w:tcPr>
            <w:tcW w:w="1160" w:type="dxa"/>
            <w:tcBorders/>
            <w:vAlign w:val="center"/>
          </w:tcPr>
          <w:p>
            <w:pPr>
              <w:jc w:val="right"/>
            </w:pPr>
            <w:r>
              <w:rPr>
                <w:rFonts w:ascii="宋体" w:eastAsia="宋体" w:hAnsi="宋体" w:cs="宋体"/>
                <w:b w:val="0"/>
                <w:i w:val="0"/>
                <w:color w:val="000000"/>
                <w:sz w:val="14"/>
              </w:rPr>
              <w:t xml:space="preserve">87.57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药品事务</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食品安全监管</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648.55</w:t>
            </w:r>
          </w:p>
        </w:tc>
        <w:tc>
          <w:tcPr>
            <w:tcW w:w="1160" w:type="dxa"/>
            <w:tcBorders/>
            <w:vAlign w:val="center"/>
          </w:tcPr>
          <w:p>
            <w:pPr>
              <w:jc w:val="right"/>
            </w:pPr>
            <w:r>
              <w:rPr>
                <w:rFonts w:ascii="宋体" w:eastAsia="宋体" w:hAnsi="宋体" w:cs="宋体"/>
                <w:b w:val="0"/>
                <w:i w:val="0"/>
                <w:color w:val="000000"/>
                <w:sz w:val="14"/>
              </w:rPr>
              <w:t xml:space="preserve">648.55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349.35</w:t>
            </w:r>
          </w:p>
        </w:tc>
        <w:tc>
          <w:tcPr>
            <w:tcW w:w="1160" w:type="dxa"/>
            <w:tcBorders/>
            <w:vAlign w:val="center"/>
          </w:tcPr>
          <w:p>
            <w:pPr>
              <w:jc w:val="right"/>
            </w:pPr>
            <w:r>
              <w:rPr>
                <w:rFonts w:ascii="宋体" w:eastAsia="宋体" w:hAnsi="宋体" w:cs="宋体"/>
                <w:b w:val="0"/>
                <w:i w:val="0"/>
                <w:color w:val="000000"/>
                <w:sz w:val="14"/>
              </w:rPr>
              <w:t xml:space="preserve">349.35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257.35</w:t>
            </w:r>
          </w:p>
        </w:tc>
        <w:tc>
          <w:tcPr>
            <w:tcW w:w="1160" w:type="dxa"/>
            <w:tcBorders/>
            <w:vAlign w:val="center"/>
          </w:tcPr>
          <w:p>
            <w:pPr>
              <w:jc w:val="right"/>
            </w:pPr>
            <w:r>
              <w:rPr>
                <w:rFonts w:ascii="宋体" w:eastAsia="宋体" w:hAnsi="宋体" w:cs="宋体"/>
                <w:b w:val="0"/>
                <w:i w:val="0"/>
                <w:color w:val="000000"/>
                <w:sz w:val="14"/>
              </w:rPr>
              <w:t xml:space="preserve">257.35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36.86</w:t>
            </w:r>
          </w:p>
        </w:tc>
        <w:tc>
          <w:tcPr>
            <w:tcW w:w="1160" w:type="dxa"/>
            <w:tcBorders/>
            <w:vAlign w:val="center"/>
          </w:tcPr>
          <w:p>
            <w:pPr>
              <w:jc w:val="right"/>
            </w:pPr>
            <w:r>
              <w:rPr>
                <w:rFonts w:ascii="宋体" w:eastAsia="宋体" w:hAnsi="宋体" w:cs="宋体"/>
                <w:b w:val="0"/>
                <w:i w:val="0"/>
                <w:color w:val="000000"/>
                <w:sz w:val="14"/>
              </w:rPr>
              <w:t xml:space="preserve">36.86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5.17</w:t>
            </w:r>
          </w:p>
        </w:tc>
        <w:tc>
          <w:tcPr>
            <w:tcW w:w="1160" w:type="dxa"/>
            <w:tcBorders/>
            <w:vAlign w:val="center"/>
          </w:tcPr>
          <w:p>
            <w:pPr>
              <w:jc w:val="right"/>
            </w:pPr>
            <w:r>
              <w:rPr>
                <w:rFonts w:ascii="宋体" w:eastAsia="宋体" w:hAnsi="宋体" w:cs="宋体"/>
                <w:b w:val="0"/>
                <w:i w:val="0"/>
                <w:color w:val="000000"/>
                <w:sz w:val="14"/>
              </w:rPr>
              <w:t xml:space="preserve">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167.66</w:t>
            </w:r>
          </w:p>
        </w:tc>
        <w:tc>
          <w:tcPr>
            <w:tcW w:w="1160" w:type="dxa"/>
            <w:tcBorders/>
            <w:vAlign w:val="center"/>
          </w:tcPr>
          <w:p>
            <w:pPr>
              <w:jc w:val="right"/>
            </w:pPr>
            <w:r>
              <w:rPr>
                <w:rFonts w:ascii="宋体" w:eastAsia="宋体" w:hAnsi="宋体" w:cs="宋体"/>
                <w:b w:val="0"/>
                <w:i w:val="0"/>
                <w:color w:val="000000"/>
                <w:sz w:val="14"/>
              </w:rPr>
              <w:t xml:space="preserve">167.66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92.00</w:t>
            </w:r>
          </w:p>
        </w:tc>
        <w:tc>
          <w:tcPr>
            <w:tcW w:w="1160" w:type="dxa"/>
            <w:tcBorders/>
            <w:vAlign w:val="center"/>
          </w:tcPr>
          <w:p>
            <w:pPr>
              <w:jc w:val="right"/>
            </w:pPr>
            <w:r>
              <w:rPr>
                <w:rFonts w:ascii="宋体" w:eastAsia="宋体" w:hAnsi="宋体" w:cs="宋体"/>
                <w:b w:val="0"/>
                <w:i w:val="0"/>
                <w:color w:val="000000"/>
                <w:sz w:val="14"/>
              </w:rPr>
              <w:t xml:space="preserve">92.00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92.00</w:t>
            </w:r>
          </w:p>
        </w:tc>
        <w:tc>
          <w:tcPr>
            <w:tcW w:w="1160" w:type="dxa"/>
            <w:tcBorders/>
            <w:vAlign w:val="center"/>
          </w:tcPr>
          <w:p>
            <w:pPr>
              <w:jc w:val="right"/>
            </w:pPr>
            <w:r>
              <w:rPr>
                <w:rFonts w:ascii="宋体" w:eastAsia="宋体" w:hAnsi="宋体" w:cs="宋体"/>
                <w:b w:val="0"/>
                <w:i w:val="0"/>
                <w:color w:val="000000"/>
                <w:sz w:val="14"/>
              </w:rPr>
              <w:t xml:space="preserve">92.00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85.48</w:t>
            </w:r>
          </w:p>
        </w:tc>
        <w:tc>
          <w:tcPr>
            <w:tcW w:w="1160" w:type="dxa"/>
            <w:tcBorders/>
            <w:vAlign w:val="center"/>
          </w:tcPr>
          <w:p>
            <w:pPr>
              <w:jc w:val="right"/>
            </w:pPr>
            <w:r>
              <w:rPr>
                <w:rFonts w:ascii="宋体" w:eastAsia="宋体" w:hAnsi="宋体" w:cs="宋体"/>
                <w:b w:val="0"/>
                <w:i w:val="0"/>
                <w:color w:val="000000"/>
                <w:sz w:val="14"/>
              </w:rPr>
              <w:t xml:space="preserve">85.48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85.48</w:t>
            </w:r>
          </w:p>
        </w:tc>
        <w:tc>
          <w:tcPr>
            <w:tcW w:w="1160" w:type="dxa"/>
            <w:tcBorders/>
            <w:vAlign w:val="center"/>
          </w:tcPr>
          <w:p>
            <w:pPr>
              <w:jc w:val="right"/>
            </w:pPr>
            <w:r>
              <w:rPr>
                <w:rFonts w:ascii="宋体" w:eastAsia="宋体" w:hAnsi="宋体" w:cs="宋体"/>
                <w:b w:val="0"/>
                <w:i w:val="0"/>
                <w:color w:val="000000"/>
                <w:sz w:val="14"/>
              </w:rPr>
              <w:t xml:space="preserve">85.48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29.09</w:t>
            </w:r>
          </w:p>
        </w:tc>
        <w:tc>
          <w:tcPr>
            <w:tcW w:w="1160" w:type="dxa"/>
            <w:tcBorders/>
            <w:vAlign w:val="center"/>
          </w:tcPr>
          <w:p>
            <w:pPr>
              <w:jc w:val="right"/>
            </w:pPr>
            <w:r>
              <w:rPr>
                <w:rFonts w:ascii="宋体" w:eastAsia="宋体" w:hAnsi="宋体" w:cs="宋体"/>
                <w:b w:val="0"/>
                <w:i w:val="0"/>
                <w:color w:val="000000"/>
                <w:sz w:val="14"/>
              </w:rPr>
              <w:t xml:space="preserve">29.09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35.81</w:t>
            </w:r>
          </w:p>
        </w:tc>
        <w:tc>
          <w:tcPr>
            <w:tcW w:w="1160" w:type="dxa"/>
            <w:tcBorders/>
            <w:vAlign w:val="center"/>
          </w:tcPr>
          <w:p>
            <w:pPr>
              <w:jc w:val="right"/>
            </w:pPr>
            <w:r>
              <w:rPr>
                <w:rFonts w:ascii="宋体" w:eastAsia="宋体" w:hAnsi="宋体" w:cs="宋体"/>
                <w:b w:val="0"/>
                <w:i w:val="0"/>
                <w:color w:val="000000"/>
                <w:sz w:val="14"/>
              </w:rPr>
              <w:t xml:space="preserve">35.81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18.10</w:t>
            </w:r>
          </w:p>
        </w:tc>
        <w:tc>
          <w:tcPr>
            <w:tcW w:w="1160" w:type="dxa"/>
            <w:tcBorders/>
            <w:vAlign w:val="center"/>
          </w:tcPr>
          <w:p>
            <w:pPr>
              <w:jc w:val="right"/>
            </w:pPr>
            <w:r>
              <w:rPr>
                <w:rFonts w:ascii="宋体" w:eastAsia="宋体" w:hAnsi="宋体" w:cs="宋体"/>
                <w:b w:val="0"/>
                <w:i w:val="0"/>
                <w:color w:val="000000"/>
                <w:sz w:val="14"/>
              </w:rPr>
              <w:t xml:space="preserve">18.10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2.48</w:t>
            </w:r>
          </w:p>
        </w:tc>
        <w:tc>
          <w:tcPr>
            <w:tcW w:w="1160" w:type="dxa"/>
            <w:tcBorders/>
            <w:vAlign w:val="center"/>
          </w:tcPr>
          <w:p>
            <w:pPr>
              <w:jc w:val="right"/>
            </w:pPr>
            <w:r>
              <w:rPr>
                <w:rFonts w:ascii="宋体" w:eastAsia="宋体" w:hAnsi="宋体" w:cs="宋体"/>
                <w:b w:val="0"/>
                <w:i w:val="0"/>
                <w:color w:val="000000"/>
                <w:sz w:val="14"/>
              </w:rPr>
              <w:t xml:space="preserve">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138.04</w:t>
            </w:r>
          </w:p>
        </w:tc>
        <w:tc>
          <w:tcPr>
            <w:tcW w:w="1160" w:type="dxa"/>
            <w:tcBorders/>
            <w:vAlign w:val="center"/>
          </w:tcPr>
          <w:p>
            <w:pPr>
              <w:jc w:val="right"/>
            </w:pPr>
            <w:r>
              <w:rPr>
                <w:rFonts w:ascii="宋体" w:eastAsia="宋体" w:hAnsi="宋体" w:cs="宋体"/>
                <w:b w:val="0"/>
                <w:i w:val="0"/>
                <w:color w:val="000000"/>
                <w:sz w:val="14"/>
              </w:rPr>
              <w:t xml:space="preserve">138.04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138.04</w:t>
            </w:r>
          </w:p>
        </w:tc>
        <w:tc>
          <w:tcPr>
            <w:tcW w:w="1160" w:type="dxa"/>
            <w:tcBorders/>
            <w:vAlign w:val="center"/>
          </w:tcPr>
          <w:p>
            <w:pPr>
              <w:jc w:val="right"/>
            </w:pPr>
            <w:r>
              <w:rPr>
                <w:rFonts w:ascii="宋体" w:eastAsia="宋体" w:hAnsi="宋体" w:cs="宋体"/>
                <w:b w:val="0"/>
                <w:i w:val="0"/>
                <w:color w:val="000000"/>
                <w:sz w:val="14"/>
              </w:rPr>
              <w:t xml:space="preserve">138.04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138.04</w:t>
            </w:r>
          </w:p>
        </w:tc>
        <w:tc>
          <w:tcPr>
            <w:tcW w:w="1160" w:type="dxa"/>
            <w:tcBorders/>
            <w:vAlign w:val="center"/>
          </w:tcPr>
          <w:p>
            <w:pPr>
              <w:jc w:val="right"/>
            </w:pPr>
            <w:r>
              <w:rPr>
                <w:rFonts w:ascii="宋体" w:eastAsia="宋体" w:hAnsi="宋体" w:cs="宋体"/>
                <w:b w:val="0"/>
                <w:i w:val="0"/>
                <w:color w:val="000000"/>
                <w:sz w:val="14"/>
              </w:rPr>
              <w:t xml:space="preserve">138.04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2,140.00</w:t>
            </w:r>
          </w:p>
        </w:tc>
        <w:tc>
          <w:tcPr>
            <w:tcW w:w="1120" w:type="dxa"/>
            <w:tcBorders/>
            <w:vAlign w:val="center"/>
          </w:tcPr>
          <w:p>
            <w:pPr>
              <w:jc w:val="right"/>
            </w:pPr>
            <w:r>
              <w:rPr>
                <w:rFonts w:ascii="宋体" w:eastAsia="宋体" w:hAnsi="宋体" w:cs="宋体"/>
                <w:b/>
                <w:i w:val="0"/>
                <w:color w:val="000000"/>
                <w:sz w:val="16"/>
              </w:rPr>
              <w:t xml:space="preserve">2,040.03</w:t>
            </w:r>
          </w:p>
        </w:tc>
        <w:tc>
          <w:tcPr>
            <w:tcW w:w="1120" w:type="dxa"/>
            <w:tcBorders/>
            <w:vAlign w:val="center"/>
          </w:tcPr>
          <w:p>
            <w:pPr>
              <w:jc w:val="right"/>
            </w:pPr>
            <w:r>
              <w:rPr>
                <w:rFonts w:ascii="宋体" w:eastAsia="宋体" w:hAnsi="宋体" w:cs="宋体"/>
                <w:b/>
                <w:i w:val="0"/>
                <w:color w:val="000000"/>
                <w:sz w:val="16"/>
              </w:rPr>
              <w:t xml:space="preserve">99.96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1,567.12</w:t>
            </w:r>
          </w:p>
        </w:tc>
        <w:tc>
          <w:tcPr>
            <w:tcW w:w="1120" w:type="dxa"/>
            <w:tcBorders/>
            <w:vAlign w:val="center"/>
          </w:tcPr>
          <w:p>
            <w:pPr>
              <w:jc w:val="right"/>
            </w:pPr>
            <w:r>
              <w:rPr>
                <w:rFonts w:ascii="宋体" w:eastAsia="宋体" w:hAnsi="宋体" w:cs="宋体"/>
                <w:b w:val="0"/>
                <w:i w:val="0"/>
                <w:color w:val="000000"/>
                <w:sz w:val="16"/>
              </w:rPr>
              <w:t xml:space="preserve">1,467.16</w:t>
            </w:r>
          </w:p>
        </w:tc>
        <w:tc>
          <w:tcPr>
            <w:tcW w:w="1120" w:type="dxa"/>
            <w:tcBorders/>
            <w:vAlign w:val="center"/>
          </w:tcPr>
          <w:p>
            <w:pPr>
              <w:jc w:val="right"/>
            </w:pPr>
            <w:r>
              <w:rPr>
                <w:rFonts w:ascii="宋体" w:eastAsia="宋体" w:hAnsi="宋体" w:cs="宋体"/>
                <w:b w:val="0"/>
                <w:i w:val="0"/>
                <w:color w:val="000000"/>
                <w:sz w:val="16"/>
              </w:rPr>
              <w:t xml:space="preserve">99.96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市场监督管理事务</w:t>
            </w:r>
          </w:p>
        </w:tc>
        <w:tc>
          <w:tcPr>
            <w:tcW w:w="1120" w:type="dxa"/>
            <w:tcBorders/>
            <w:vAlign w:val="center"/>
          </w:tcPr>
          <w:p>
            <w:pPr>
              <w:jc w:val="right"/>
            </w:pPr>
            <w:r>
              <w:rPr>
                <w:rFonts w:ascii="宋体" w:eastAsia="宋体" w:hAnsi="宋体" w:cs="宋体"/>
                <w:b w:val="0"/>
                <w:i w:val="0"/>
                <w:color w:val="000000"/>
                <w:sz w:val="16"/>
              </w:rPr>
              <w:t xml:space="preserve">1,567.12</w:t>
            </w:r>
          </w:p>
        </w:tc>
        <w:tc>
          <w:tcPr>
            <w:tcW w:w="1120" w:type="dxa"/>
            <w:tcBorders/>
            <w:vAlign w:val="center"/>
          </w:tcPr>
          <w:p>
            <w:pPr>
              <w:jc w:val="right"/>
            </w:pPr>
            <w:r>
              <w:rPr>
                <w:rFonts w:ascii="宋体" w:eastAsia="宋体" w:hAnsi="宋体" w:cs="宋体"/>
                <w:b w:val="0"/>
                <w:i w:val="0"/>
                <w:color w:val="000000"/>
                <w:sz w:val="16"/>
              </w:rPr>
              <w:t xml:space="preserve">1,467.16</w:t>
            </w:r>
          </w:p>
        </w:tc>
        <w:tc>
          <w:tcPr>
            <w:tcW w:w="1120" w:type="dxa"/>
            <w:tcBorders/>
            <w:vAlign w:val="center"/>
          </w:tcPr>
          <w:p>
            <w:pPr>
              <w:jc w:val="right"/>
            </w:pPr>
            <w:r>
              <w:rPr>
                <w:rFonts w:ascii="宋体" w:eastAsia="宋体" w:hAnsi="宋体" w:cs="宋体"/>
                <w:b w:val="0"/>
                <w:i w:val="0"/>
                <w:color w:val="000000"/>
                <w:sz w:val="16"/>
              </w:rPr>
              <w:t xml:space="preserve">99.96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818.61</w:t>
            </w:r>
          </w:p>
        </w:tc>
        <w:tc>
          <w:tcPr>
            <w:tcW w:w="1120" w:type="dxa"/>
            <w:tcBorders/>
            <w:vAlign w:val="center"/>
          </w:tcPr>
          <w:p>
            <w:pPr>
              <w:jc w:val="right"/>
            </w:pPr>
            <w:r>
              <w:rPr>
                <w:rFonts w:ascii="宋体" w:eastAsia="宋体" w:hAnsi="宋体" w:cs="宋体"/>
                <w:b w:val="0"/>
                <w:i w:val="0"/>
                <w:color w:val="000000"/>
                <w:sz w:val="16"/>
              </w:rPr>
              <w:t xml:space="preserve">818.61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87.57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87.57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药品事务</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食品安全监管</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648.55</w:t>
            </w:r>
          </w:p>
        </w:tc>
        <w:tc>
          <w:tcPr>
            <w:tcW w:w="1120" w:type="dxa"/>
            <w:tcBorders/>
            <w:vAlign w:val="center"/>
          </w:tcPr>
          <w:p>
            <w:pPr>
              <w:jc w:val="right"/>
            </w:pPr>
            <w:r>
              <w:rPr>
                <w:rFonts w:ascii="宋体" w:eastAsia="宋体" w:hAnsi="宋体" w:cs="宋体"/>
                <w:b w:val="0"/>
                <w:i w:val="0"/>
                <w:color w:val="000000"/>
                <w:sz w:val="16"/>
              </w:rPr>
              <w:t xml:space="preserve">648.55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349.35</w:t>
            </w:r>
          </w:p>
        </w:tc>
        <w:tc>
          <w:tcPr>
            <w:tcW w:w="1120" w:type="dxa"/>
            <w:tcBorders/>
            <w:vAlign w:val="center"/>
          </w:tcPr>
          <w:p>
            <w:pPr>
              <w:jc w:val="right"/>
            </w:pPr>
            <w:r>
              <w:rPr>
                <w:rFonts w:ascii="宋体" w:eastAsia="宋体" w:hAnsi="宋体" w:cs="宋体"/>
                <w:b w:val="0"/>
                <w:i w:val="0"/>
                <w:color w:val="000000"/>
                <w:sz w:val="16"/>
              </w:rPr>
              <w:t xml:space="preserve">349.35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257.35</w:t>
            </w:r>
          </w:p>
        </w:tc>
        <w:tc>
          <w:tcPr>
            <w:tcW w:w="1120" w:type="dxa"/>
            <w:tcBorders/>
            <w:vAlign w:val="center"/>
          </w:tcPr>
          <w:p>
            <w:pPr>
              <w:jc w:val="right"/>
            </w:pPr>
            <w:r>
              <w:rPr>
                <w:rFonts w:ascii="宋体" w:eastAsia="宋体" w:hAnsi="宋体" w:cs="宋体"/>
                <w:b w:val="0"/>
                <w:i w:val="0"/>
                <w:color w:val="000000"/>
                <w:sz w:val="16"/>
              </w:rPr>
              <w:t xml:space="preserve">257.35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36.86</w:t>
            </w:r>
          </w:p>
        </w:tc>
        <w:tc>
          <w:tcPr>
            <w:tcW w:w="1120" w:type="dxa"/>
            <w:tcBorders/>
            <w:vAlign w:val="center"/>
          </w:tcPr>
          <w:p>
            <w:pPr>
              <w:jc w:val="right"/>
            </w:pPr>
            <w:r>
              <w:rPr>
                <w:rFonts w:ascii="宋体" w:eastAsia="宋体" w:hAnsi="宋体" w:cs="宋体"/>
                <w:b w:val="0"/>
                <w:i w:val="0"/>
                <w:color w:val="000000"/>
                <w:sz w:val="16"/>
              </w:rPr>
              <w:t xml:space="preserve">36.86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5.17</w:t>
            </w:r>
          </w:p>
        </w:tc>
        <w:tc>
          <w:tcPr>
            <w:tcW w:w="1120" w:type="dxa"/>
            <w:tcBorders/>
            <w:vAlign w:val="center"/>
          </w:tcPr>
          <w:p>
            <w:pPr>
              <w:jc w:val="right"/>
            </w:pPr>
            <w:r>
              <w:rPr>
                <w:rFonts w:ascii="宋体" w:eastAsia="宋体" w:hAnsi="宋体" w:cs="宋体"/>
                <w:b w:val="0"/>
                <w:i w:val="0"/>
                <w:color w:val="000000"/>
                <w:sz w:val="16"/>
              </w:rPr>
              <w:t xml:space="preserve">5.17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167.66</w:t>
            </w:r>
          </w:p>
        </w:tc>
        <w:tc>
          <w:tcPr>
            <w:tcW w:w="1120" w:type="dxa"/>
            <w:tcBorders/>
            <w:vAlign w:val="center"/>
          </w:tcPr>
          <w:p>
            <w:pPr>
              <w:jc w:val="right"/>
            </w:pPr>
            <w:r>
              <w:rPr>
                <w:rFonts w:ascii="宋体" w:eastAsia="宋体" w:hAnsi="宋体" w:cs="宋体"/>
                <w:b w:val="0"/>
                <w:i w:val="0"/>
                <w:color w:val="000000"/>
                <w:sz w:val="16"/>
              </w:rPr>
              <w:t xml:space="preserve">167.66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92.00</w:t>
            </w:r>
          </w:p>
        </w:tc>
        <w:tc>
          <w:tcPr>
            <w:tcW w:w="1120" w:type="dxa"/>
            <w:tcBorders/>
            <w:vAlign w:val="center"/>
          </w:tcPr>
          <w:p>
            <w:pPr>
              <w:jc w:val="right"/>
            </w:pPr>
            <w:r>
              <w:rPr>
                <w:rFonts w:ascii="宋体" w:eastAsia="宋体" w:hAnsi="宋体" w:cs="宋体"/>
                <w:b w:val="0"/>
                <w:i w:val="0"/>
                <w:color w:val="000000"/>
                <w:sz w:val="16"/>
              </w:rPr>
              <w:t xml:space="preserve">92.00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92.00</w:t>
            </w:r>
          </w:p>
        </w:tc>
        <w:tc>
          <w:tcPr>
            <w:tcW w:w="1120" w:type="dxa"/>
            <w:tcBorders/>
            <w:vAlign w:val="center"/>
          </w:tcPr>
          <w:p>
            <w:pPr>
              <w:jc w:val="right"/>
            </w:pPr>
            <w:r>
              <w:rPr>
                <w:rFonts w:ascii="宋体" w:eastAsia="宋体" w:hAnsi="宋体" w:cs="宋体"/>
                <w:b w:val="0"/>
                <w:i w:val="0"/>
                <w:color w:val="000000"/>
                <w:sz w:val="16"/>
              </w:rPr>
              <w:t xml:space="preserve">92.00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85.48</w:t>
            </w:r>
          </w:p>
        </w:tc>
        <w:tc>
          <w:tcPr>
            <w:tcW w:w="1120" w:type="dxa"/>
            <w:tcBorders/>
            <w:vAlign w:val="center"/>
          </w:tcPr>
          <w:p>
            <w:pPr>
              <w:jc w:val="right"/>
            </w:pPr>
            <w:r>
              <w:rPr>
                <w:rFonts w:ascii="宋体" w:eastAsia="宋体" w:hAnsi="宋体" w:cs="宋体"/>
                <w:b w:val="0"/>
                <w:i w:val="0"/>
                <w:color w:val="000000"/>
                <w:sz w:val="16"/>
              </w:rPr>
              <w:t xml:space="preserve">85.48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85.48</w:t>
            </w:r>
          </w:p>
        </w:tc>
        <w:tc>
          <w:tcPr>
            <w:tcW w:w="1120" w:type="dxa"/>
            <w:tcBorders/>
            <w:vAlign w:val="center"/>
          </w:tcPr>
          <w:p>
            <w:pPr>
              <w:jc w:val="right"/>
            </w:pPr>
            <w:r>
              <w:rPr>
                <w:rFonts w:ascii="宋体" w:eastAsia="宋体" w:hAnsi="宋体" w:cs="宋体"/>
                <w:b w:val="0"/>
                <w:i w:val="0"/>
                <w:color w:val="000000"/>
                <w:sz w:val="16"/>
              </w:rPr>
              <w:t xml:space="preserve">85.48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29.09</w:t>
            </w:r>
          </w:p>
        </w:tc>
        <w:tc>
          <w:tcPr>
            <w:tcW w:w="1120" w:type="dxa"/>
            <w:tcBorders/>
            <w:vAlign w:val="center"/>
          </w:tcPr>
          <w:p>
            <w:pPr>
              <w:jc w:val="right"/>
            </w:pPr>
            <w:r>
              <w:rPr>
                <w:rFonts w:ascii="宋体" w:eastAsia="宋体" w:hAnsi="宋体" w:cs="宋体"/>
                <w:b w:val="0"/>
                <w:i w:val="0"/>
                <w:color w:val="000000"/>
                <w:sz w:val="16"/>
              </w:rPr>
              <w:t xml:space="preserve">29.09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35.81</w:t>
            </w:r>
          </w:p>
        </w:tc>
        <w:tc>
          <w:tcPr>
            <w:tcW w:w="1120" w:type="dxa"/>
            <w:tcBorders/>
            <w:vAlign w:val="center"/>
          </w:tcPr>
          <w:p>
            <w:pPr>
              <w:jc w:val="right"/>
            </w:pPr>
            <w:r>
              <w:rPr>
                <w:rFonts w:ascii="宋体" w:eastAsia="宋体" w:hAnsi="宋体" w:cs="宋体"/>
                <w:b w:val="0"/>
                <w:i w:val="0"/>
                <w:color w:val="000000"/>
                <w:sz w:val="16"/>
              </w:rPr>
              <w:t xml:space="preserve">35.81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18.10</w:t>
            </w:r>
          </w:p>
        </w:tc>
        <w:tc>
          <w:tcPr>
            <w:tcW w:w="1120" w:type="dxa"/>
            <w:tcBorders/>
            <w:vAlign w:val="center"/>
          </w:tcPr>
          <w:p>
            <w:pPr>
              <w:jc w:val="right"/>
            </w:pPr>
            <w:r>
              <w:rPr>
                <w:rFonts w:ascii="宋体" w:eastAsia="宋体" w:hAnsi="宋体" w:cs="宋体"/>
                <w:b w:val="0"/>
                <w:i w:val="0"/>
                <w:color w:val="000000"/>
                <w:sz w:val="16"/>
              </w:rPr>
              <w:t xml:space="preserve">18.10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2.48</w:t>
            </w:r>
          </w:p>
        </w:tc>
        <w:tc>
          <w:tcPr>
            <w:tcW w:w="1120" w:type="dxa"/>
            <w:tcBorders/>
            <w:vAlign w:val="center"/>
          </w:tcPr>
          <w:p>
            <w:pPr>
              <w:jc w:val="right"/>
            </w:pPr>
            <w:r>
              <w:rPr>
                <w:rFonts w:ascii="宋体" w:eastAsia="宋体" w:hAnsi="宋体" w:cs="宋体"/>
                <w:b w:val="0"/>
                <w:i w:val="0"/>
                <w:color w:val="000000"/>
                <w:sz w:val="16"/>
              </w:rPr>
              <w:t xml:space="preserve">2.48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138.04</w:t>
            </w:r>
          </w:p>
        </w:tc>
        <w:tc>
          <w:tcPr>
            <w:tcW w:w="1120" w:type="dxa"/>
            <w:tcBorders/>
            <w:vAlign w:val="center"/>
          </w:tcPr>
          <w:p>
            <w:pPr>
              <w:jc w:val="right"/>
            </w:pPr>
            <w:r>
              <w:rPr>
                <w:rFonts w:ascii="宋体" w:eastAsia="宋体" w:hAnsi="宋体" w:cs="宋体"/>
                <w:b w:val="0"/>
                <w:i w:val="0"/>
                <w:color w:val="000000"/>
                <w:sz w:val="16"/>
              </w:rPr>
              <w:t xml:space="preserve">138.04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138.04</w:t>
            </w:r>
          </w:p>
        </w:tc>
        <w:tc>
          <w:tcPr>
            <w:tcW w:w="1120" w:type="dxa"/>
            <w:tcBorders/>
            <w:vAlign w:val="center"/>
          </w:tcPr>
          <w:p>
            <w:pPr>
              <w:jc w:val="right"/>
            </w:pPr>
            <w:r>
              <w:rPr>
                <w:rFonts w:ascii="宋体" w:eastAsia="宋体" w:hAnsi="宋体" w:cs="宋体"/>
                <w:b w:val="0"/>
                <w:i w:val="0"/>
                <w:color w:val="000000"/>
                <w:sz w:val="16"/>
              </w:rPr>
              <w:t xml:space="preserve">138.04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138.04</w:t>
            </w:r>
          </w:p>
        </w:tc>
        <w:tc>
          <w:tcPr>
            <w:tcW w:w="1120" w:type="dxa"/>
            <w:tcBorders/>
            <w:vAlign w:val="center"/>
          </w:tcPr>
          <w:p>
            <w:pPr>
              <w:jc w:val="right"/>
            </w:pPr>
            <w:r>
              <w:rPr>
                <w:rFonts w:ascii="宋体" w:eastAsia="宋体" w:hAnsi="宋体" w:cs="宋体"/>
                <w:b w:val="0"/>
                <w:i w:val="0"/>
                <w:color w:val="000000"/>
                <w:sz w:val="16"/>
              </w:rPr>
              <w:t xml:space="preserve">138.04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2,140.00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1,567.12</w:t>
            </w:r>
          </w:p>
        </w:tc>
        <w:tc>
          <w:tcPr>
            <w:tcW w:w="1100" w:type="dxa"/>
            <w:tcBorders/>
            <w:vAlign w:val="center"/>
          </w:tcPr>
          <w:p>
            <w:pPr>
              <w:jc w:val="right"/>
            </w:pPr>
            <w:r>
              <w:rPr>
                <w:rFonts w:ascii="宋体" w:eastAsia="宋体" w:hAnsi="宋体" w:cs="宋体"/>
                <w:b w:val="0"/>
                <w:i w:val="0"/>
                <w:color w:val="000000"/>
                <w:sz w:val="14"/>
              </w:rPr>
              <w:t xml:space="preserve">1,567.12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349.36</w:t>
            </w:r>
          </w:p>
        </w:tc>
        <w:tc>
          <w:tcPr>
            <w:tcW w:w="1100" w:type="dxa"/>
            <w:tcBorders/>
            <w:vAlign w:val="center"/>
          </w:tcPr>
          <w:p>
            <w:pPr>
              <w:jc w:val="right"/>
            </w:pPr>
            <w:r>
              <w:rPr>
                <w:rFonts w:ascii="宋体" w:eastAsia="宋体" w:hAnsi="宋体" w:cs="宋体"/>
                <w:b w:val="0"/>
                <w:i w:val="0"/>
                <w:color w:val="000000"/>
                <w:sz w:val="14"/>
              </w:rPr>
              <w:t xml:space="preserve">349.36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85.48</w:t>
            </w:r>
          </w:p>
        </w:tc>
        <w:tc>
          <w:tcPr>
            <w:tcW w:w="1100" w:type="dxa"/>
            <w:tcBorders/>
            <w:vAlign w:val="center"/>
          </w:tcPr>
          <w:p>
            <w:pPr>
              <w:jc w:val="right"/>
            </w:pPr>
            <w:r>
              <w:rPr>
                <w:rFonts w:ascii="宋体" w:eastAsia="宋体" w:hAnsi="宋体" w:cs="宋体"/>
                <w:b w:val="0"/>
                <w:i w:val="0"/>
                <w:color w:val="000000"/>
                <w:sz w:val="14"/>
              </w:rPr>
              <w:t xml:space="preserve">85.48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138.04</w:t>
            </w:r>
          </w:p>
        </w:tc>
        <w:tc>
          <w:tcPr>
            <w:tcW w:w="1100" w:type="dxa"/>
            <w:tcBorders/>
            <w:vAlign w:val="center"/>
          </w:tcPr>
          <w:p>
            <w:pPr>
              <w:jc w:val="right"/>
            </w:pPr>
            <w:r>
              <w:rPr>
                <w:rFonts w:ascii="宋体" w:eastAsia="宋体" w:hAnsi="宋体" w:cs="宋体"/>
                <w:b w:val="0"/>
                <w:i w:val="0"/>
                <w:color w:val="000000"/>
                <w:sz w:val="14"/>
              </w:rPr>
              <w:t xml:space="preserve">138.04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2,140.00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2,140.00</w:t>
            </w:r>
          </w:p>
        </w:tc>
        <w:tc>
          <w:tcPr>
            <w:tcW w:w="1100" w:type="dxa"/>
            <w:tcBorders/>
            <w:vAlign w:val="center"/>
          </w:tcPr>
          <w:p>
            <w:pPr>
              <w:jc w:val="right"/>
            </w:pPr>
            <w:r>
              <w:rPr>
                <w:rFonts w:ascii="宋体" w:eastAsia="宋体" w:hAnsi="宋体" w:cs="宋体"/>
                <w:b w:val="0"/>
                <w:i w:val="0"/>
                <w:color w:val="000000"/>
                <w:sz w:val="14"/>
              </w:rPr>
              <w:t xml:space="preserve">2,140.00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2,140.00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2,140.00</w:t>
            </w:r>
          </w:p>
        </w:tc>
        <w:tc>
          <w:tcPr>
            <w:tcW w:w="1100" w:type="dxa"/>
            <w:tcBorders/>
            <w:vAlign w:val="center"/>
          </w:tcPr>
          <w:p>
            <w:pPr>
              <w:jc w:val="right"/>
            </w:pPr>
            <w:r>
              <w:rPr>
                <w:rFonts w:ascii="宋体" w:eastAsia="宋体" w:hAnsi="宋体" w:cs="宋体"/>
                <w:b w:val="0"/>
                <w:i w:val="0"/>
                <w:color w:val="000000"/>
                <w:sz w:val="14"/>
              </w:rPr>
              <w:t xml:space="preserve">2,140.00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2,140.00</w:t>
            </w:r>
          </w:p>
        </w:tc>
        <w:tc>
          <w:tcPr>
            <w:tcW w:w="1980" w:type="dxa"/>
            <w:tcBorders/>
            <w:vAlign w:val="center"/>
          </w:tcPr>
          <w:p>
            <w:pPr>
              <w:jc w:val="right"/>
            </w:pPr>
            <w:r>
              <w:rPr>
                <w:rFonts w:ascii="宋体" w:eastAsia="宋体" w:hAnsi="宋体" w:cs="宋体"/>
                <w:b/>
                <w:i w:val="0"/>
                <w:color w:val="000000"/>
                <w:sz w:val="20"/>
              </w:rPr>
              <w:t xml:space="preserve">2,040.03</w:t>
            </w:r>
          </w:p>
        </w:tc>
        <w:tc>
          <w:tcPr>
            <w:tcW w:w="1952" w:type="dxa"/>
            <w:tcBorders/>
            <w:vAlign w:val="center"/>
          </w:tcPr>
          <w:p>
            <w:pPr>
              <w:jc w:val="right"/>
            </w:pPr>
            <w:r>
              <w:rPr>
                <w:rFonts w:ascii="宋体" w:eastAsia="宋体" w:hAnsi="宋体" w:cs="宋体"/>
                <w:b/>
                <w:i w:val="0"/>
                <w:color w:val="000000"/>
                <w:sz w:val="20"/>
              </w:rPr>
              <w:t xml:space="preserve">99.96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1,567.12</w:t>
            </w:r>
          </w:p>
        </w:tc>
        <w:tc>
          <w:tcPr>
            <w:tcW w:w="1980" w:type="dxa"/>
            <w:tcBorders/>
            <w:vAlign w:val="center"/>
          </w:tcPr>
          <w:p>
            <w:pPr>
              <w:jc w:val="right"/>
            </w:pPr>
            <w:r>
              <w:rPr>
                <w:rFonts w:ascii="宋体" w:eastAsia="宋体" w:hAnsi="宋体" w:cs="宋体"/>
                <w:b w:val="0"/>
                <w:i w:val="0"/>
                <w:color w:val="000000"/>
                <w:sz w:val="20"/>
              </w:rPr>
              <w:t xml:space="preserve">1,467.16</w:t>
            </w:r>
          </w:p>
        </w:tc>
        <w:tc>
          <w:tcPr>
            <w:tcW w:w="1952" w:type="dxa"/>
            <w:tcBorders/>
            <w:vAlign w:val="center"/>
          </w:tcPr>
          <w:p>
            <w:pPr>
              <w:jc w:val="right"/>
            </w:pPr>
            <w:r>
              <w:rPr>
                <w:rFonts w:ascii="宋体" w:eastAsia="宋体" w:hAnsi="宋体" w:cs="宋体"/>
                <w:b w:val="0"/>
                <w:i w:val="0"/>
                <w:color w:val="000000"/>
                <w:sz w:val="20"/>
              </w:rPr>
              <w:t xml:space="preserve">99.96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市场监督管理事务</w:t>
            </w:r>
          </w:p>
        </w:tc>
        <w:tc>
          <w:tcPr>
            <w:tcW w:w="1980" w:type="dxa"/>
            <w:tcBorders/>
            <w:vAlign w:val="center"/>
          </w:tcPr>
          <w:p>
            <w:pPr>
              <w:jc w:val="right"/>
            </w:pPr>
            <w:r>
              <w:rPr>
                <w:rFonts w:ascii="宋体" w:eastAsia="宋体" w:hAnsi="宋体" w:cs="宋体"/>
                <w:b w:val="0"/>
                <w:i w:val="0"/>
                <w:color w:val="000000"/>
                <w:sz w:val="20"/>
              </w:rPr>
              <w:t xml:space="preserve">1,567.12</w:t>
            </w:r>
          </w:p>
        </w:tc>
        <w:tc>
          <w:tcPr>
            <w:tcW w:w="1980" w:type="dxa"/>
            <w:tcBorders/>
            <w:vAlign w:val="center"/>
          </w:tcPr>
          <w:p>
            <w:pPr>
              <w:jc w:val="right"/>
            </w:pPr>
            <w:r>
              <w:rPr>
                <w:rFonts w:ascii="宋体" w:eastAsia="宋体" w:hAnsi="宋体" w:cs="宋体"/>
                <w:b w:val="0"/>
                <w:i w:val="0"/>
                <w:color w:val="000000"/>
                <w:sz w:val="20"/>
              </w:rPr>
              <w:t xml:space="preserve">1,467.16</w:t>
            </w:r>
          </w:p>
        </w:tc>
        <w:tc>
          <w:tcPr>
            <w:tcW w:w="1952" w:type="dxa"/>
            <w:tcBorders/>
            <w:vAlign w:val="center"/>
          </w:tcPr>
          <w:p>
            <w:pPr>
              <w:jc w:val="right"/>
            </w:pPr>
            <w:r>
              <w:rPr>
                <w:rFonts w:ascii="宋体" w:eastAsia="宋体" w:hAnsi="宋体" w:cs="宋体"/>
                <w:b w:val="0"/>
                <w:i w:val="0"/>
                <w:color w:val="000000"/>
                <w:sz w:val="20"/>
              </w:rPr>
              <w:t xml:space="preserve">99.96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818.61</w:t>
            </w:r>
          </w:p>
        </w:tc>
        <w:tc>
          <w:tcPr>
            <w:tcW w:w="1980" w:type="dxa"/>
            <w:tcBorders/>
            <w:vAlign w:val="center"/>
          </w:tcPr>
          <w:p>
            <w:pPr>
              <w:jc w:val="right"/>
            </w:pPr>
            <w:r>
              <w:rPr>
                <w:rFonts w:ascii="宋体" w:eastAsia="宋体" w:hAnsi="宋体" w:cs="宋体"/>
                <w:b w:val="0"/>
                <w:i w:val="0"/>
                <w:color w:val="000000"/>
                <w:sz w:val="20"/>
              </w:rPr>
              <w:t xml:space="preserve">818.61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87.57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87.57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药品事务</w:t>
            </w:r>
          </w:p>
        </w:tc>
        <w:tc>
          <w:tcPr>
            <w:tcW w:w="1980" w:type="dxa"/>
            <w:tcBorders/>
            <w:vAlign w:val="center"/>
          </w:tcPr>
          <w:p>
            <w:pPr>
              <w:jc w:val="right"/>
            </w:pPr>
            <w:r>
              <w:rPr>
                <w:rFonts w:ascii="宋体" w:eastAsia="宋体" w:hAnsi="宋体" w:cs="宋体"/>
                <w:b w:val="0"/>
                <w:i w:val="0"/>
                <w:color w:val="000000"/>
                <w:sz w:val="20"/>
              </w:rPr>
              <w:t xml:space="preserve">9.39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食品安全监管</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648.55</w:t>
            </w:r>
          </w:p>
        </w:tc>
        <w:tc>
          <w:tcPr>
            <w:tcW w:w="1980" w:type="dxa"/>
            <w:tcBorders/>
            <w:vAlign w:val="center"/>
          </w:tcPr>
          <w:p>
            <w:pPr>
              <w:jc w:val="right"/>
            </w:pPr>
            <w:r>
              <w:rPr>
                <w:rFonts w:ascii="宋体" w:eastAsia="宋体" w:hAnsi="宋体" w:cs="宋体"/>
                <w:b w:val="0"/>
                <w:i w:val="0"/>
                <w:color w:val="000000"/>
                <w:sz w:val="20"/>
              </w:rPr>
              <w:t xml:space="preserve">648.55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349.35</w:t>
            </w:r>
          </w:p>
        </w:tc>
        <w:tc>
          <w:tcPr>
            <w:tcW w:w="1980" w:type="dxa"/>
            <w:tcBorders/>
            <w:vAlign w:val="center"/>
          </w:tcPr>
          <w:p>
            <w:pPr>
              <w:jc w:val="right"/>
            </w:pPr>
            <w:r>
              <w:rPr>
                <w:rFonts w:ascii="宋体" w:eastAsia="宋体" w:hAnsi="宋体" w:cs="宋体"/>
                <w:b w:val="0"/>
                <w:i w:val="0"/>
                <w:color w:val="000000"/>
                <w:sz w:val="20"/>
              </w:rPr>
              <w:t xml:space="preserve">349.35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257.35</w:t>
            </w:r>
          </w:p>
        </w:tc>
        <w:tc>
          <w:tcPr>
            <w:tcW w:w="1980" w:type="dxa"/>
            <w:tcBorders/>
            <w:vAlign w:val="center"/>
          </w:tcPr>
          <w:p>
            <w:pPr>
              <w:jc w:val="right"/>
            </w:pPr>
            <w:r>
              <w:rPr>
                <w:rFonts w:ascii="宋体" w:eastAsia="宋体" w:hAnsi="宋体" w:cs="宋体"/>
                <w:b w:val="0"/>
                <w:i w:val="0"/>
                <w:color w:val="000000"/>
                <w:sz w:val="20"/>
              </w:rPr>
              <w:t xml:space="preserve">257.35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36.86</w:t>
            </w:r>
          </w:p>
        </w:tc>
        <w:tc>
          <w:tcPr>
            <w:tcW w:w="1980" w:type="dxa"/>
            <w:tcBorders/>
            <w:vAlign w:val="center"/>
          </w:tcPr>
          <w:p>
            <w:pPr>
              <w:jc w:val="right"/>
            </w:pPr>
            <w:r>
              <w:rPr>
                <w:rFonts w:ascii="宋体" w:eastAsia="宋体" w:hAnsi="宋体" w:cs="宋体"/>
                <w:b w:val="0"/>
                <w:i w:val="0"/>
                <w:color w:val="000000"/>
                <w:sz w:val="20"/>
              </w:rPr>
              <w:t xml:space="preserve">36.86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5.17</w:t>
            </w:r>
          </w:p>
        </w:tc>
        <w:tc>
          <w:tcPr>
            <w:tcW w:w="1980" w:type="dxa"/>
            <w:tcBorders/>
            <w:vAlign w:val="center"/>
          </w:tcPr>
          <w:p>
            <w:pPr>
              <w:jc w:val="right"/>
            </w:pPr>
            <w:r>
              <w:rPr>
                <w:rFonts w:ascii="宋体" w:eastAsia="宋体" w:hAnsi="宋体" w:cs="宋体"/>
                <w:b w:val="0"/>
                <w:i w:val="0"/>
                <w:color w:val="000000"/>
                <w:sz w:val="20"/>
              </w:rPr>
              <w:t xml:space="preserve">5.17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167.66</w:t>
            </w:r>
          </w:p>
        </w:tc>
        <w:tc>
          <w:tcPr>
            <w:tcW w:w="1980" w:type="dxa"/>
            <w:tcBorders/>
            <w:vAlign w:val="center"/>
          </w:tcPr>
          <w:p>
            <w:pPr>
              <w:jc w:val="right"/>
            </w:pPr>
            <w:r>
              <w:rPr>
                <w:rFonts w:ascii="宋体" w:eastAsia="宋体" w:hAnsi="宋体" w:cs="宋体"/>
                <w:b w:val="0"/>
                <w:i w:val="0"/>
                <w:color w:val="000000"/>
                <w:sz w:val="20"/>
              </w:rPr>
              <w:t xml:space="preserve">167.66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47.66</w:t>
            </w:r>
          </w:p>
        </w:tc>
        <w:tc>
          <w:tcPr>
            <w:tcW w:w="1980" w:type="dxa"/>
            <w:tcBorders/>
            <w:vAlign w:val="center"/>
          </w:tcPr>
          <w:p>
            <w:pPr>
              <w:jc w:val="right"/>
            </w:pPr>
            <w:r>
              <w:rPr>
                <w:rFonts w:ascii="宋体" w:eastAsia="宋体" w:hAnsi="宋体" w:cs="宋体"/>
                <w:b w:val="0"/>
                <w:i w:val="0"/>
                <w:color w:val="000000"/>
                <w:sz w:val="20"/>
              </w:rPr>
              <w:t xml:space="preserve">47.66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92.00</w:t>
            </w:r>
          </w:p>
        </w:tc>
        <w:tc>
          <w:tcPr>
            <w:tcW w:w="1980" w:type="dxa"/>
            <w:tcBorders/>
            <w:vAlign w:val="center"/>
          </w:tcPr>
          <w:p>
            <w:pPr>
              <w:jc w:val="right"/>
            </w:pPr>
            <w:r>
              <w:rPr>
                <w:rFonts w:ascii="宋体" w:eastAsia="宋体" w:hAnsi="宋体" w:cs="宋体"/>
                <w:b w:val="0"/>
                <w:i w:val="0"/>
                <w:color w:val="000000"/>
                <w:sz w:val="20"/>
              </w:rPr>
              <w:t xml:space="preserve">92.00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92.00</w:t>
            </w:r>
          </w:p>
        </w:tc>
        <w:tc>
          <w:tcPr>
            <w:tcW w:w="1980" w:type="dxa"/>
            <w:tcBorders/>
            <w:vAlign w:val="center"/>
          </w:tcPr>
          <w:p>
            <w:pPr>
              <w:jc w:val="right"/>
            </w:pPr>
            <w:r>
              <w:rPr>
                <w:rFonts w:ascii="宋体" w:eastAsia="宋体" w:hAnsi="宋体" w:cs="宋体"/>
                <w:b w:val="0"/>
                <w:i w:val="0"/>
                <w:color w:val="000000"/>
                <w:sz w:val="20"/>
              </w:rPr>
              <w:t xml:space="preserve">92.00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85.48</w:t>
            </w:r>
          </w:p>
        </w:tc>
        <w:tc>
          <w:tcPr>
            <w:tcW w:w="1980" w:type="dxa"/>
            <w:tcBorders/>
            <w:vAlign w:val="center"/>
          </w:tcPr>
          <w:p>
            <w:pPr>
              <w:jc w:val="right"/>
            </w:pPr>
            <w:r>
              <w:rPr>
                <w:rFonts w:ascii="宋体" w:eastAsia="宋体" w:hAnsi="宋体" w:cs="宋体"/>
                <w:b w:val="0"/>
                <w:i w:val="0"/>
                <w:color w:val="000000"/>
                <w:sz w:val="20"/>
              </w:rPr>
              <w:t xml:space="preserve">85.48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85.48</w:t>
            </w:r>
          </w:p>
        </w:tc>
        <w:tc>
          <w:tcPr>
            <w:tcW w:w="1980" w:type="dxa"/>
            <w:tcBorders/>
            <w:vAlign w:val="center"/>
          </w:tcPr>
          <w:p>
            <w:pPr>
              <w:jc w:val="right"/>
            </w:pPr>
            <w:r>
              <w:rPr>
                <w:rFonts w:ascii="宋体" w:eastAsia="宋体" w:hAnsi="宋体" w:cs="宋体"/>
                <w:b w:val="0"/>
                <w:i w:val="0"/>
                <w:color w:val="000000"/>
                <w:sz w:val="20"/>
              </w:rPr>
              <w:t xml:space="preserve">85.48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29.09</w:t>
            </w:r>
          </w:p>
        </w:tc>
        <w:tc>
          <w:tcPr>
            <w:tcW w:w="1980" w:type="dxa"/>
            <w:tcBorders/>
            <w:vAlign w:val="center"/>
          </w:tcPr>
          <w:p>
            <w:pPr>
              <w:jc w:val="right"/>
            </w:pPr>
            <w:r>
              <w:rPr>
                <w:rFonts w:ascii="宋体" w:eastAsia="宋体" w:hAnsi="宋体" w:cs="宋体"/>
                <w:b w:val="0"/>
                <w:i w:val="0"/>
                <w:color w:val="000000"/>
                <w:sz w:val="20"/>
              </w:rPr>
              <w:t xml:space="preserve">29.09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35.81</w:t>
            </w:r>
          </w:p>
        </w:tc>
        <w:tc>
          <w:tcPr>
            <w:tcW w:w="1980" w:type="dxa"/>
            <w:tcBorders/>
            <w:vAlign w:val="center"/>
          </w:tcPr>
          <w:p>
            <w:pPr>
              <w:jc w:val="right"/>
            </w:pPr>
            <w:r>
              <w:rPr>
                <w:rFonts w:ascii="宋体" w:eastAsia="宋体" w:hAnsi="宋体" w:cs="宋体"/>
                <w:b w:val="0"/>
                <w:i w:val="0"/>
                <w:color w:val="000000"/>
                <w:sz w:val="20"/>
              </w:rPr>
              <w:t xml:space="preserve">35.81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18.10</w:t>
            </w:r>
          </w:p>
        </w:tc>
        <w:tc>
          <w:tcPr>
            <w:tcW w:w="1980" w:type="dxa"/>
            <w:tcBorders/>
            <w:vAlign w:val="center"/>
          </w:tcPr>
          <w:p>
            <w:pPr>
              <w:jc w:val="right"/>
            </w:pPr>
            <w:r>
              <w:rPr>
                <w:rFonts w:ascii="宋体" w:eastAsia="宋体" w:hAnsi="宋体" w:cs="宋体"/>
                <w:b w:val="0"/>
                <w:i w:val="0"/>
                <w:color w:val="000000"/>
                <w:sz w:val="20"/>
              </w:rPr>
              <w:t xml:space="preserve">18.10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2.48</w:t>
            </w:r>
          </w:p>
        </w:tc>
        <w:tc>
          <w:tcPr>
            <w:tcW w:w="1980" w:type="dxa"/>
            <w:tcBorders/>
            <w:vAlign w:val="center"/>
          </w:tcPr>
          <w:p>
            <w:pPr>
              <w:jc w:val="right"/>
            </w:pPr>
            <w:r>
              <w:rPr>
                <w:rFonts w:ascii="宋体" w:eastAsia="宋体" w:hAnsi="宋体" w:cs="宋体"/>
                <w:b w:val="0"/>
                <w:i w:val="0"/>
                <w:color w:val="000000"/>
                <w:sz w:val="20"/>
              </w:rPr>
              <w:t xml:space="preserve">2.48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138.04</w:t>
            </w:r>
          </w:p>
        </w:tc>
        <w:tc>
          <w:tcPr>
            <w:tcW w:w="1980" w:type="dxa"/>
            <w:tcBorders/>
            <w:vAlign w:val="center"/>
          </w:tcPr>
          <w:p>
            <w:pPr>
              <w:jc w:val="right"/>
            </w:pPr>
            <w:r>
              <w:rPr>
                <w:rFonts w:ascii="宋体" w:eastAsia="宋体" w:hAnsi="宋体" w:cs="宋体"/>
                <w:b w:val="0"/>
                <w:i w:val="0"/>
                <w:color w:val="000000"/>
                <w:sz w:val="20"/>
              </w:rPr>
              <w:t xml:space="preserve">138.04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138.04</w:t>
            </w:r>
          </w:p>
        </w:tc>
        <w:tc>
          <w:tcPr>
            <w:tcW w:w="1980" w:type="dxa"/>
            <w:tcBorders/>
            <w:vAlign w:val="center"/>
          </w:tcPr>
          <w:p>
            <w:pPr>
              <w:jc w:val="right"/>
            </w:pPr>
            <w:r>
              <w:rPr>
                <w:rFonts w:ascii="宋体" w:eastAsia="宋体" w:hAnsi="宋体" w:cs="宋体"/>
                <w:b w:val="0"/>
                <w:i w:val="0"/>
                <w:color w:val="000000"/>
                <w:sz w:val="20"/>
              </w:rPr>
              <w:t xml:space="preserve">138.04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138.04</w:t>
            </w:r>
          </w:p>
        </w:tc>
        <w:tc>
          <w:tcPr>
            <w:tcW w:w="1980" w:type="dxa"/>
            <w:tcBorders/>
            <w:vAlign w:val="center"/>
          </w:tcPr>
          <w:p>
            <w:pPr>
              <w:jc w:val="right"/>
            </w:pPr>
            <w:r>
              <w:rPr>
                <w:rFonts w:ascii="宋体" w:eastAsia="宋体" w:hAnsi="宋体" w:cs="宋体"/>
                <w:b w:val="0"/>
                <w:i w:val="0"/>
                <w:color w:val="000000"/>
                <w:sz w:val="20"/>
              </w:rPr>
              <w:t xml:space="preserve">138.04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1,614.85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290.75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541.05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48.81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175.70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200.52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255.83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167.66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9.98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47.66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2.59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64.51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16.52</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18.10</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5.78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138.04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1.79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134.43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42.03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89.75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2.25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28.45</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2.56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36.16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41.35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98.48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1,749.28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290.75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60.00</w:t>
            </w:r>
          </w:p>
        </w:tc>
        <w:tc>
          <w:tcPr>
            <w:tcW w:w="3092" w:type="dxa"/>
            <w:tcBorders/>
            <w:vAlign w:val="center"/>
          </w:tcPr>
          <w:p>
            <w:pPr>
              <w:jc w:val="right"/>
            </w:pPr>
            <w:r>
              <w:rPr>
                <w:rFonts w:ascii="宋体" w:eastAsia="宋体" w:hAnsi="宋体" w:cs="宋体"/>
                <w:b w:val="0"/>
                <w:i w:val="0"/>
                <w:color w:val="000000"/>
                <w:sz w:val="23"/>
              </w:rPr>
              <w:t xml:space="preserve">36.16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60.00</w:t>
            </w:r>
          </w:p>
        </w:tc>
        <w:tc>
          <w:tcPr>
            <w:tcW w:w="3092" w:type="dxa"/>
            <w:tcBorders/>
            <w:vAlign w:val="center"/>
          </w:tcPr>
          <w:p>
            <w:pPr>
              <w:jc w:val="right"/>
            </w:pPr>
            <w:r>
              <w:rPr>
                <w:rFonts w:ascii="宋体" w:eastAsia="宋体" w:hAnsi="宋体" w:cs="宋体"/>
                <w:b w:val="0"/>
                <w:i w:val="0"/>
                <w:color w:val="000000"/>
                <w:sz w:val="23"/>
              </w:rPr>
              <w:t xml:space="preserve">36.16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60.00</w:t>
            </w:r>
          </w:p>
        </w:tc>
        <w:tc>
          <w:tcPr>
            <w:tcW w:w="3092" w:type="dxa"/>
            <w:tcBorders/>
            <w:vAlign w:val="center"/>
          </w:tcPr>
          <w:p>
            <w:pPr>
              <w:jc w:val="right"/>
            </w:pPr>
            <w:r>
              <w:rPr>
                <w:rFonts w:ascii="宋体" w:eastAsia="宋体" w:hAnsi="宋体" w:cs="宋体"/>
                <w:b w:val="0"/>
                <w:i w:val="0"/>
                <w:color w:val="000000"/>
                <w:sz w:val="23"/>
              </w:rPr>
              <w:t xml:space="preserve">36.16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325011辽宁省盘锦市兴隆台区市场监督管理局（本级）-211103000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997.48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997.48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192.360307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192.36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273.30135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645.075159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645.07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1、提高市场管理业务水平，维持辖区正常的市场经营秩序；</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2、依法严格处理市场经营活动中的违法违纪行为；</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3、严格监管辖区内食品药品经营活动，保障居民食药安全；</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4、及时处理各种工商行政管理业务，保证市场经济平稳运行；</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5、强化特种设备安全监督管理工作，保障辖区内特种设备安全；</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6、严格监管产品质量。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中心员工满意度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社会民众满意度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体制改革成效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显著</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建议进一步提升预算执行效率，提高财政拨款效率，提高一体化系统支出超控的审核效率。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营业执照工本费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食品抽检覆盖率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食品卫生合格率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食品公众服务满意度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10个基层所互联网每年每条1000元*10条=10000元，该线路用于打印食品经营许可证；机关该费用由机关事务管理局承担，基层所由我局承担；2、工商局数据专线每月每条370元*2条*12个月=8880，该线路用于与省市场监督管理局连接，我局共有14条线路，其中两条费用为我局自付，另12条由省局付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执法办案案件数量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案件办理时限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信息网络正常运行率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系统正常运行率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99.94</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特种设备安全培训费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特种设备安全培训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特种设备安全监察人员培训人次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特种设备安全知识宣传活动次数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安全事故发生率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安全事故有效处理率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94.94</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气体充装站专项检查费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特种设备检验机构检验质量监督抽查家数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安全事故发生率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安全事故有效处理率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宣传事务管理专项业务经费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举办宣传策划类活动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特种设备安全知识宣传活动次数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宣传策划类活动完成率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进一步规范部门预算管理，提升部门预算执行率和效益。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进一步规范部门预算管理，提升部门预算执行率和效益。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产品质量检查费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95.71%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产品质量检验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产品质量监督抽查数量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工业产品质量监督抽查批次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批次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产品质量监督抽查完成率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产品质量风险监测完成率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99.57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12315活动经费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12315活动消费宣传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食品安全宣传次数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不合格食品处置率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食品卫生合格率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食品抽检完成率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99.85</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04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