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辽宁省盘锦市兴隆台区市场监管事务服务中心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辽宁省盘锦市兴隆台区市场监管事务服务中心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辽宁省盘锦市兴隆台区市场监管事务服务中心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辽宁省盘锦市兴隆台区市场监管事务服务中心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辽宁省盘锦市兴隆台区市场监管事务服务中心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辽宁省盘锦市兴隆台区市场监管事务服务中心概况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负责市场监督管理局监管事务的保障、服务工作，结合实际，研究制定相关工作的具体制度并组织实施。 负责后勤管理和服务工作。 承担消费者权益保护工作，整合投诉举报机制，构建统一的投诉举报体系，完善投诉举报网络，保护消费者和生产经营者的合法权益。 宣传扶持企业发展政策，做好个体私营企业创业人员的培训工作，积极为个体私营企业提供信息咨询服务。负责市场监督管理系统信息化建设工作。为市场监督管理局完成食品药品、特种设备、质量安全等监管工作提供服务。承办市场监督管理局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辽宁省盘锦市兴隆台区市场监管事务服务中心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盘锦市兴隆台区市场监管事务服务中心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891.06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891.06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891.06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减少73.35万元，降低7.61%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单位人员减少，人员经费减少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891.06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891.06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工资福利支出844.71万元；商品和服务支出40.99万元；对个人和家庭的补助5.36万元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减少73.35万元，降低7.61%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单位人员减少，人员经费减少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891.06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891.06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减少73.35万元，降低7.61%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单位人员减少，人员经费减少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85.29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85.29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2023年度一般公共预算财政拨款支出891.06万元。按支出功能分类科目分，包括：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1.一般公共服务支出648.55万元，具体包括：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市场监督管理事务（款）事业运行（项）648.55万元,主要是单位办公经费经费等支出，完成年初预算的83.39%，决算数与年初预算数存在差异的主要原因是单位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2.社会保障和就业支出122.41万元，具体包括：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（1）社会保障和就业支出（类）行政事业单位养老支出（款）事业单位离退休（项）5.17万元,主要是退休采暖补助等支出，完成年初预算的116.7%，决算数与年初预算数存在差异的主要原因是退休人员增加。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93.33万元,主要是职工养老保险等支出，完成年初预算的86.87%，决算数与年初预算数存在差异的主要原因是单位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23.91万元,主要是退休人员职业年金等支出，完成年初预算的119.55%，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3.卫生健康支出46.66万元，具体包括：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（1）卫生健康支出（类）行政事业单位医疗（款）事业单位医疗（项）35.81万元,主要是职工医疗保险等支出，完成年初预算的86.9%，决算数与年初预算数存在差异的主要原因是单位人员减少，人员经费减少。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10.09万元,主要是公务员医疗补助等支出，完成年初预算的85.65%，决算数与年初预算数存在差异的主要原因是单位人员减少，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（3）卫生健康支出（类）行政事业单位医疗（款）其他行政事业单位医疗支出（项）0.76万元,主要是职工大额医疗保险等支出，完成年初预算的190%，决算数与年初预算数存在差异的主要原因是新进职工补缴。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4.住房保障支出73.45万元，具体包括：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（1）住房保障支出（类）住房改革支出（款）住房公积金（项）73.45万元,主要是住房公积金等支出，完成年初预算的91.15%，决算数与年初预算数存在差异的主要原因是单位人员减少，人员经费减少。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2.96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49.33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单位用车业务减少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2.96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2.96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49.33</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单位用车业务减少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比上年减少0.29万元，降低8.92%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单位用车业务减少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2.96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主要用于汽油与维修等，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891.06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850.07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40.99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，其他用车主要是应急保障用车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根据预算绩效管理要求，盘锦市兴隆台区市场监管事务服务中心组织开展部门（单位）整体绩效自评工作，涉及资金1044.77万元，其中财政拨款资金1044.77万元，自评得分100分。</w:t>
        <w:br/>
        <w:t xml:space="preserve">    详见附件《部门（单位）整体绩效自评表》。</w:t>
        <w:br/>
        <w:t xml:space="preserve">    2.财政重点评价情况</w:t>
        <w:br/>
        <w:t xml:space="preserve">    2023年度，盘锦市兴隆台区市场监管事务服务中心未开展部门重点评价工作。 </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1.财政拨款收入：指省级财政当年拨付的资金。</w:t>
        <w:br/>
        <w:t xml:space="preserve">    2.上级补助收入：指单位从主管部门和上级单位取得的非财政性补助收入。</w:t>
        <w:br/>
        <w:t xml:space="preserve">    3.事业收入：指事业单位开展专业业务活动及辅助活动所取得的收入。</w:t>
        <w:br/>
        <w:t xml:space="preserve">    4.经营收入：指事业单位在专业业务活动及辅助活动之外开展非独立核算经营活动取得的收入。</w:t>
        <w:br/>
        <w:t xml:space="preserve">    5.附属单位上缴收入：指单位附属的独立核算单位按照规定上缴的收入。</w:t>
        <w:br/>
        <w:t xml:space="preserve">    6.其他收入：指除上述“财政拨款收入”、 “上级补助收入”、“事业收入”、“经营收入”、“附属单位上缴收入”等以外的收入。</w:t>
        <w:br/>
        <w:t xml:space="preserve">    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br/>
        <w:t xml:space="preserve">    8.上年结转和结余：指以前年度尚未完成、结转到本年按有关规定继续使用的资金。</w:t>
        <w:br/>
        <w:t xml:space="preserve">    9.基本支出：指保障机构正常运转、完成日常工作任务而发生的人员支出和公用支出。</w:t>
        <w:br/>
        <w:t xml:space="preserve">    10.项目支出：指在基本支出之外为完成特定行政任务和事业发展目标所发生的支出。</w:t>
        <w:br/>
        <w:t xml:space="preserve">    11.上缴上级支出：指事业单位按照财政部门和主管部门的规定上缴上级单位的支出。</w:t>
        <w:br/>
        <w:t xml:space="preserve">    12.经营支出：指事业单位在专业活动及辅助活动之外开展非独立核算经营活动发生的支出。</w:t>
        <w:br/>
        <w:t xml:space="preserve">    13.对附属单位补助支出：指事业单位用财政补助收入之外的收入对附属单位补助发生的支出。</w:t>
        <w:br/>
        <w:t xml:space="preserve">    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br/>
        <w:t xml:space="preserve">    15.一般公共服务（类）财政事务（款）行政运行（项）：反映行政单位（包括实行公务员管理的事业单位）的基本支出。</w:t>
        <w:br/>
        <w:t xml:space="preserve">    16.一般公共服务（类）财政事务（款）一般行政管理事务（项）：反映行政单位（包括实行公务员管理的事业单位）未单独设置项级科目的其他项目支出。</w:t>
        <w:br/>
        <w:t xml:space="preserve">    17.一般公共服务（类）财政事务（款）预算改革业务（项）：反映财政部门用于预算改革方面的支出。</w:t>
        <w:br/>
        <w:t xml:space="preserve">    18.一般公共服务（类）财政事务（款）财政国库业务（项）：反映财政部门用于财政国库集中收付业务方面的支出。</w:t>
        <w:br/>
        <w:t xml:space="preserve">    19.一般公共服务（类）财政事务（款）信息化建设支出（项）：反映财政部门用于“金财工程”等信息化建设方面的支出。</w:t>
        <w:br/>
        <w:t xml:space="preserve">    20.一般公共服务（类）财政事务（款）财政委托业务支出（项）：反映财政委托评审机构进行财政投资评审和委托建设银行等机构代理业务发生的支出。</w:t>
        <w:br/>
        <w:t xml:space="preserve">    21.一般公共服务（类）财政事务（款）事业运行（项）：反映事业单位的基本支出，不包括行政单位（包括实行公务员管理的事业单位）后勤服务中心、医务室等附属事业单位。</w:t>
        <w:br/>
        <w:t xml:space="preserve">    22.一般公共服务（类）财政事务（款）其他财政事务支出（项）：反映除上述项目以外其他财政事务方面的支出。</w:t>
        <w:br/>
        <w:t xml:space="preserve">    23.科学技术（类）其他科学技术支出（款）其他科学技术支出（项）：反映其他用于科技方面的支出。</w:t>
        <w:br/>
        <w:t xml:space="preserve">    24.社会保障和就业（类）行政事业单位离退休（款）归口管理的行政单位离退休（项）：反映实行归口管理的行政单位（包括实行公务员管理的事业单位）开支的离退休经费。</w:t>
        <w:br/>
        <w:t xml:space="preserve">    25.社会保障和就业（类）行政事业单位离退休（款）事业单位离退休（项）：反映实行归口管理的事业单位开支的离退休经费。</w:t>
        <w:br/>
        <w:t xml:space="preserve">    26.医疗卫生（类）医疗保障（款）行政单位医疗（项）：反映财政部门集中安排的行政单位基本医疗保险缴费经费，未参加医疗保险的行政单位的公费医疗经费，按国家规定享受离休人员、红军老战士待遇人员的医疗经费。</w:t>
        <w:br/>
        <w:t xml:space="preserve">    27.医疗卫生（类）其他医疗卫生支出（款）其他医疗卫生支出（项）：反映除上述项目以外其他用于医疗卫生方面的支出。</w:t>
        <w:br/>
        <w:t xml:space="preserve">    28.农林水事务（类）农业（款）其他农业支出（项）：反映其他用于农业方面的支出。</w:t>
        <w:br/>
        <w:t xml:space="preserve">    29.交通运输（类）石油价格改革对交通运输的补贴（款）石油价格改革补贴其他支出（项）：反映石油价格改革财政补贴对其他方面的支出。</w:t>
        <w:br/>
        <w:t xml:space="preserve">    30.资源勘探信息等支出（类）工业和信息产业监管支出（款）其他工业和信息产业监管支出（项）：反映其他用于工业和信息产业监管方面的支出。</w:t>
        <w:br/>
        <w:t xml:space="preserve">    31.资源勘探信息等支出（类）其他资源勘探电力信息等支出（款）建设项目贷款贴息（项）：反映根据国家规定用于特定建设项目及国家级高新技术开发区、中西部经济技术开发区建设项目设施贷款的财政贴息支出。</w:t>
        <w:br/>
        <w:t xml:space="preserve">    32. 国土资源气象等支出（类）国土资源事务（款）其他国土资源事务支出（项）：反映其他用于国土资源事务方面的支出。</w:t>
        <w:br/>
        <w:t xml:space="preserve">    33.住房保障（类）住房改革（款）住房公积金（项）：反映行政事业单位按人力资源和社会保障部、财政部规定的基本工资和津贴补贴以及规定比例为职工缴纳的住房公积金。</w:t>
        <w:br/>
        <w:t xml:space="preserve">    34.其他支出（类）其他支出（款）其他支出（项）：反映其他不能划分到具体功能科目中的支出项目。</w:t>
        <w:br/>
        <w:t xml:space="preserve">    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891.06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648.55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122.40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46.66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73.45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891.06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891.06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891.06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891.06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891.06</w:t>
            </w:r>
          </w:p>
        </w:tc>
        <w:tc>
          <w:tcPr>
            <w:tcW w:w="1160" w:type="dxa"/>
            <w:tcBorders/>
            <w:vAlign w:val="center"/>
          </w:tcPr>
          <w:p>
            <w:pPr>
              <w:jc w:val="right"/>
            </w:pPr>
            <w:r>
              <w:rPr>
                <w:rFonts w:ascii="宋体" w:eastAsia="宋体" w:hAnsi="宋体" w:cs="宋体"/>
                <w:b/>
                <w:i w:val="0"/>
                <w:color w:val="000000"/>
                <w:sz w:val="14"/>
              </w:rPr>
              <w:t xml:space="preserve">891.06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648.55</w:t>
            </w:r>
          </w:p>
        </w:tc>
        <w:tc>
          <w:tcPr>
            <w:tcW w:w="1160" w:type="dxa"/>
            <w:tcBorders/>
            <w:vAlign w:val="center"/>
          </w:tcPr>
          <w:p>
            <w:pPr>
              <w:jc w:val="right"/>
            </w:pPr>
            <w:r>
              <w:rPr>
                <w:rFonts w:ascii="宋体" w:eastAsia="宋体" w:hAnsi="宋体" w:cs="宋体"/>
                <w:b w:val="0"/>
                <w:i w:val="0"/>
                <w:color w:val="000000"/>
                <w:sz w:val="14"/>
              </w:rPr>
              <w:t xml:space="preserve">648.55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市场监督管理事务</w:t>
            </w:r>
          </w:p>
        </w:tc>
        <w:tc>
          <w:tcPr>
            <w:tcW w:w="1160" w:type="dxa"/>
            <w:tcBorders/>
            <w:vAlign w:val="center"/>
          </w:tcPr>
          <w:p>
            <w:pPr>
              <w:jc w:val="right"/>
            </w:pPr>
            <w:r>
              <w:rPr>
                <w:rFonts w:ascii="宋体" w:eastAsia="宋体" w:hAnsi="宋体" w:cs="宋体"/>
                <w:b w:val="0"/>
                <w:i w:val="0"/>
                <w:color w:val="000000"/>
                <w:sz w:val="14"/>
              </w:rPr>
              <w:t xml:space="preserve">648.55</w:t>
            </w:r>
          </w:p>
        </w:tc>
        <w:tc>
          <w:tcPr>
            <w:tcW w:w="1160" w:type="dxa"/>
            <w:tcBorders/>
            <w:vAlign w:val="center"/>
          </w:tcPr>
          <w:p>
            <w:pPr>
              <w:jc w:val="right"/>
            </w:pPr>
            <w:r>
              <w:rPr>
                <w:rFonts w:ascii="宋体" w:eastAsia="宋体" w:hAnsi="宋体" w:cs="宋体"/>
                <w:b w:val="0"/>
                <w:i w:val="0"/>
                <w:color w:val="000000"/>
                <w:sz w:val="14"/>
              </w:rPr>
              <w:t xml:space="preserve">648.55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648.55</w:t>
            </w:r>
          </w:p>
        </w:tc>
        <w:tc>
          <w:tcPr>
            <w:tcW w:w="1160" w:type="dxa"/>
            <w:tcBorders/>
            <w:vAlign w:val="center"/>
          </w:tcPr>
          <w:p>
            <w:pPr>
              <w:jc w:val="right"/>
            </w:pPr>
            <w:r>
              <w:rPr>
                <w:rFonts w:ascii="宋体" w:eastAsia="宋体" w:hAnsi="宋体" w:cs="宋体"/>
                <w:b w:val="0"/>
                <w:i w:val="0"/>
                <w:color w:val="000000"/>
                <w:sz w:val="14"/>
              </w:rPr>
              <w:t xml:space="preserve">648.55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122.41</w:t>
            </w:r>
          </w:p>
        </w:tc>
        <w:tc>
          <w:tcPr>
            <w:tcW w:w="1160" w:type="dxa"/>
            <w:tcBorders/>
            <w:vAlign w:val="center"/>
          </w:tcPr>
          <w:p>
            <w:pPr>
              <w:jc w:val="right"/>
            </w:pPr>
            <w:r>
              <w:rPr>
                <w:rFonts w:ascii="宋体" w:eastAsia="宋体" w:hAnsi="宋体" w:cs="宋体"/>
                <w:b w:val="0"/>
                <w:i w:val="0"/>
                <w:color w:val="000000"/>
                <w:sz w:val="14"/>
              </w:rPr>
              <w:t xml:space="preserve">122.41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122.41</w:t>
            </w:r>
          </w:p>
        </w:tc>
        <w:tc>
          <w:tcPr>
            <w:tcW w:w="1160" w:type="dxa"/>
            <w:tcBorders/>
            <w:vAlign w:val="center"/>
          </w:tcPr>
          <w:p>
            <w:pPr>
              <w:jc w:val="right"/>
            </w:pPr>
            <w:r>
              <w:rPr>
                <w:rFonts w:ascii="宋体" w:eastAsia="宋体" w:hAnsi="宋体" w:cs="宋体"/>
                <w:b w:val="0"/>
                <w:i w:val="0"/>
                <w:color w:val="000000"/>
                <w:sz w:val="14"/>
              </w:rPr>
              <w:t xml:space="preserve">122.41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5.17</w:t>
            </w:r>
          </w:p>
        </w:tc>
        <w:tc>
          <w:tcPr>
            <w:tcW w:w="1160" w:type="dxa"/>
            <w:tcBorders/>
            <w:vAlign w:val="center"/>
          </w:tcPr>
          <w:p>
            <w:pPr>
              <w:jc w:val="right"/>
            </w:pPr>
            <w:r>
              <w:rPr>
                <w:rFonts w:ascii="宋体" w:eastAsia="宋体" w:hAnsi="宋体" w:cs="宋体"/>
                <w:b w:val="0"/>
                <w:i w:val="0"/>
                <w:color w:val="000000"/>
                <w:sz w:val="14"/>
              </w:rPr>
              <w:t xml:space="preserve">5.17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93.33</w:t>
            </w:r>
          </w:p>
        </w:tc>
        <w:tc>
          <w:tcPr>
            <w:tcW w:w="1160" w:type="dxa"/>
            <w:tcBorders/>
            <w:vAlign w:val="center"/>
          </w:tcPr>
          <w:p>
            <w:pPr>
              <w:jc w:val="right"/>
            </w:pPr>
            <w:r>
              <w:rPr>
                <w:rFonts w:ascii="宋体" w:eastAsia="宋体" w:hAnsi="宋体" w:cs="宋体"/>
                <w:b w:val="0"/>
                <w:i w:val="0"/>
                <w:color w:val="000000"/>
                <w:sz w:val="14"/>
              </w:rPr>
              <w:t xml:space="preserve">93.33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23.91</w:t>
            </w:r>
          </w:p>
        </w:tc>
        <w:tc>
          <w:tcPr>
            <w:tcW w:w="1160" w:type="dxa"/>
            <w:tcBorders/>
            <w:vAlign w:val="center"/>
          </w:tcPr>
          <w:p>
            <w:pPr>
              <w:jc w:val="right"/>
            </w:pPr>
            <w:r>
              <w:rPr>
                <w:rFonts w:ascii="宋体" w:eastAsia="宋体" w:hAnsi="宋体" w:cs="宋体"/>
                <w:b w:val="0"/>
                <w:i w:val="0"/>
                <w:color w:val="000000"/>
                <w:sz w:val="14"/>
              </w:rPr>
              <w:t xml:space="preserve">23.91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46.66</w:t>
            </w:r>
          </w:p>
        </w:tc>
        <w:tc>
          <w:tcPr>
            <w:tcW w:w="1160" w:type="dxa"/>
            <w:tcBorders/>
            <w:vAlign w:val="center"/>
          </w:tcPr>
          <w:p>
            <w:pPr>
              <w:jc w:val="right"/>
            </w:pPr>
            <w:r>
              <w:rPr>
                <w:rFonts w:ascii="宋体" w:eastAsia="宋体" w:hAnsi="宋体" w:cs="宋体"/>
                <w:b w:val="0"/>
                <w:i w:val="0"/>
                <w:color w:val="000000"/>
                <w:sz w:val="14"/>
              </w:rPr>
              <w:t xml:space="preserve">46.66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46.66</w:t>
            </w:r>
          </w:p>
        </w:tc>
        <w:tc>
          <w:tcPr>
            <w:tcW w:w="1160" w:type="dxa"/>
            <w:tcBorders/>
            <w:vAlign w:val="center"/>
          </w:tcPr>
          <w:p>
            <w:pPr>
              <w:jc w:val="right"/>
            </w:pPr>
            <w:r>
              <w:rPr>
                <w:rFonts w:ascii="宋体" w:eastAsia="宋体" w:hAnsi="宋体" w:cs="宋体"/>
                <w:b w:val="0"/>
                <w:i w:val="0"/>
                <w:color w:val="000000"/>
                <w:sz w:val="14"/>
              </w:rPr>
              <w:t xml:space="preserve">46.66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35.81</w:t>
            </w:r>
          </w:p>
        </w:tc>
        <w:tc>
          <w:tcPr>
            <w:tcW w:w="1160" w:type="dxa"/>
            <w:tcBorders/>
            <w:vAlign w:val="center"/>
          </w:tcPr>
          <w:p>
            <w:pPr>
              <w:jc w:val="right"/>
            </w:pPr>
            <w:r>
              <w:rPr>
                <w:rFonts w:ascii="宋体" w:eastAsia="宋体" w:hAnsi="宋体" w:cs="宋体"/>
                <w:b w:val="0"/>
                <w:i w:val="0"/>
                <w:color w:val="000000"/>
                <w:sz w:val="14"/>
              </w:rPr>
              <w:t xml:space="preserve">35.81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jc w:val="right"/>
            </w:pPr>
            <w:r>
              <w:rPr>
                <w:rFonts w:ascii="宋体" w:eastAsia="宋体" w:hAnsi="宋体" w:cs="宋体"/>
                <w:b w:val="0"/>
                <w:i w:val="0"/>
                <w:color w:val="000000"/>
                <w:sz w:val="14"/>
              </w:rPr>
              <w:t xml:space="preserve">10.09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jc w:val="right"/>
            </w:pPr>
            <w:r>
              <w:rPr>
                <w:rFonts w:ascii="宋体" w:eastAsia="宋体" w:hAnsi="宋体" w:cs="宋体"/>
                <w:b w:val="0"/>
                <w:i w:val="0"/>
                <w:color w:val="000000"/>
                <w:sz w:val="14"/>
              </w:rPr>
              <w:t xml:space="preserve">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73.45</w:t>
            </w:r>
          </w:p>
        </w:tc>
        <w:tc>
          <w:tcPr>
            <w:tcW w:w="1160" w:type="dxa"/>
            <w:tcBorders/>
            <w:vAlign w:val="center"/>
          </w:tcPr>
          <w:p>
            <w:pPr>
              <w:jc w:val="right"/>
            </w:pPr>
            <w:r>
              <w:rPr>
                <w:rFonts w:ascii="宋体" w:eastAsia="宋体" w:hAnsi="宋体" w:cs="宋体"/>
                <w:b w:val="0"/>
                <w:i w:val="0"/>
                <w:color w:val="000000"/>
                <w:sz w:val="14"/>
              </w:rPr>
              <w:t xml:space="preserve">73.45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73.45</w:t>
            </w:r>
          </w:p>
        </w:tc>
        <w:tc>
          <w:tcPr>
            <w:tcW w:w="1160" w:type="dxa"/>
            <w:tcBorders/>
            <w:vAlign w:val="center"/>
          </w:tcPr>
          <w:p>
            <w:pPr>
              <w:jc w:val="right"/>
            </w:pPr>
            <w:r>
              <w:rPr>
                <w:rFonts w:ascii="宋体" w:eastAsia="宋体" w:hAnsi="宋体" w:cs="宋体"/>
                <w:b w:val="0"/>
                <w:i w:val="0"/>
                <w:color w:val="000000"/>
                <w:sz w:val="14"/>
              </w:rPr>
              <w:t xml:space="preserve">73.45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73.45</w:t>
            </w:r>
          </w:p>
        </w:tc>
        <w:tc>
          <w:tcPr>
            <w:tcW w:w="1160" w:type="dxa"/>
            <w:tcBorders/>
            <w:vAlign w:val="center"/>
          </w:tcPr>
          <w:p>
            <w:pPr>
              <w:jc w:val="right"/>
            </w:pPr>
            <w:r>
              <w:rPr>
                <w:rFonts w:ascii="宋体" w:eastAsia="宋体" w:hAnsi="宋体" w:cs="宋体"/>
                <w:b w:val="0"/>
                <w:i w:val="0"/>
                <w:color w:val="000000"/>
                <w:sz w:val="14"/>
              </w:rPr>
              <w:t xml:space="preserve">73.45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891.06</w:t>
            </w:r>
          </w:p>
        </w:tc>
        <w:tc>
          <w:tcPr>
            <w:tcW w:w="1120" w:type="dxa"/>
            <w:tcBorders/>
            <w:vAlign w:val="center"/>
          </w:tcPr>
          <w:p>
            <w:pPr>
              <w:jc w:val="right"/>
            </w:pPr>
            <w:r>
              <w:rPr>
                <w:rFonts w:ascii="宋体" w:eastAsia="宋体" w:hAnsi="宋体" w:cs="宋体"/>
                <w:b/>
                <w:i w:val="0"/>
                <w:color w:val="000000"/>
                <w:sz w:val="16"/>
              </w:rPr>
              <w:t xml:space="preserve">891.06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648.55</w:t>
            </w:r>
          </w:p>
        </w:tc>
        <w:tc>
          <w:tcPr>
            <w:tcW w:w="1120" w:type="dxa"/>
            <w:tcBorders/>
            <w:vAlign w:val="center"/>
          </w:tcPr>
          <w:p>
            <w:pPr>
              <w:jc w:val="right"/>
            </w:pPr>
            <w:r>
              <w:rPr>
                <w:rFonts w:ascii="宋体" w:eastAsia="宋体" w:hAnsi="宋体" w:cs="宋体"/>
                <w:b w:val="0"/>
                <w:i w:val="0"/>
                <w:color w:val="000000"/>
                <w:sz w:val="16"/>
              </w:rPr>
              <w:t xml:space="preserve">648.55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市场监督管理事务</w:t>
            </w:r>
          </w:p>
        </w:tc>
        <w:tc>
          <w:tcPr>
            <w:tcW w:w="1120" w:type="dxa"/>
            <w:tcBorders/>
            <w:vAlign w:val="center"/>
          </w:tcPr>
          <w:p>
            <w:pPr>
              <w:jc w:val="right"/>
            </w:pPr>
            <w:r>
              <w:rPr>
                <w:rFonts w:ascii="宋体" w:eastAsia="宋体" w:hAnsi="宋体" w:cs="宋体"/>
                <w:b w:val="0"/>
                <w:i w:val="0"/>
                <w:color w:val="000000"/>
                <w:sz w:val="16"/>
              </w:rPr>
              <w:t xml:space="preserve">648.55</w:t>
            </w:r>
          </w:p>
        </w:tc>
        <w:tc>
          <w:tcPr>
            <w:tcW w:w="1120" w:type="dxa"/>
            <w:tcBorders/>
            <w:vAlign w:val="center"/>
          </w:tcPr>
          <w:p>
            <w:pPr>
              <w:jc w:val="right"/>
            </w:pPr>
            <w:r>
              <w:rPr>
                <w:rFonts w:ascii="宋体" w:eastAsia="宋体" w:hAnsi="宋体" w:cs="宋体"/>
                <w:b w:val="0"/>
                <w:i w:val="0"/>
                <w:color w:val="000000"/>
                <w:sz w:val="16"/>
              </w:rPr>
              <w:t xml:space="preserve">648.55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648.55</w:t>
            </w:r>
          </w:p>
        </w:tc>
        <w:tc>
          <w:tcPr>
            <w:tcW w:w="1120" w:type="dxa"/>
            <w:tcBorders/>
            <w:vAlign w:val="center"/>
          </w:tcPr>
          <w:p>
            <w:pPr>
              <w:jc w:val="right"/>
            </w:pPr>
            <w:r>
              <w:rPr>
                <w:rFonts w:ascii="宋体" w:eastAsia="宋体" w:hAnsi="宋体" w:cs="宋体"/>
                <w:b w:val="0"/>
                <w:i w:val="0"/>
                <w:color w:val="000000"/>
                <w:sz w:val="16"/>
              </w:rPr>
              <w:t xml:space="preserve">648.55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122.41</w:t>
            </w:r>
          </w:p>
        </w:tc>
        <w:tc>
          <w:tcPr>
            <w:tcW w:w="1120" w:type="dxa"/>
            <w:tcBorders/>
            <w:vAlign w:val="center"/>
          </w:tcPr>
          <w:p>
            <w:pPr>
              <w:jc w:val="right"/>
            </w:pPr>
            <w:r>
              <w:rPr>
                <w:rFonts w:ascii="宋体" w:eastAsia="宋体" w:hAnsi="宋体" w:cs="宋体"/>
                <w:b w:val="0"/>
                <w:i w:val="0"/>
                <w:color w:val="000000"/>
                <w:sz w:val="16"/>
              </w:rPr>
              <w:t xml:space="preserve">122.41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122.41</w:t>
            </w:r>
          </w:p>
        </w:tc>
        <w:tc>
          <w:tcPr>
            <w:tcW w:w="1120" w:type="dxa"/>
            <w:tcBorders/>
            <w:vAlign w:val="center"/>
          </w:tcPr>
          <w:p>
            <w:pPr>
              <w:jc w:val="right"/>
            </w:pPr>
            <w:r>
              <w:rPr>
                <w:rFonts w:ascii="宋体" w:eastAsia="宋体" w:hAnsi="宋体" w:cs="宋体"/>
                <w:b w:val="0"/>
                <w:i w:val="0"/>
                <w:color w:val="000000"/>
                <w:sz w:val="16"/>
              </w:rPr>
              <w:t xml:space="preserve">122.41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5.17</w:t>
            </w:r>
          </w:p>
        </w:tc>
        <w:tc>
          <w:tcPr>
            <w:tcW w:w="1120" w:type="dxa"/>
            <w:tcBorders/>
            <w:vAlign w:val="center"/>
          </w:tcPr>
          <w:p>
            <w:pPr>
              <w:jc w:val="right"/>
            </w:pPr>
            <w:r>
              <w:rPr>
                <w:rFonts w:ascii="宋体" w:eastAsia="宋体" w:hAnsi="宋体" w:cs="宋体"/>
                <w:b w:val="0"/>
                <w:i w:val="0"/>
                <w:color w:val="000000"/>
                <w:sz w:val="16"/>
              </w:rPr>
              <w:t xml:space="preserve">5.17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93.33</w:t>
            </w:r>
          </w:p>
        </w:tc>
        <w:tc>
          <w:tcPr>
            <w:tcW w:w="1120" w:type="dxa"/>
            <w:tcBorders/>
            <w:vAlign w:val="center"/>
          </w:tcPr>
          <w:p>
            <w:pPr>
              <w:jc w:val="right"/>
            </w:pPr>
            <w:r>
              <w:rPr>
                <w:rFonts w:ascii="宋体" w:eastAsia="宋体" w:hAnsi="宋体" w:cs="宋体"/>
                <w:b w:val="0"/>
                <w:i w:val="0"/>
                <w:color w:val="000000"/>
                <w:sz w:val="16"/>
              </w:rPr>
              <w:t xml:space="preserve">93.33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23.91</w:t>
            </w:r>
          </w:p>
        </w:tc>
        <w:tc>
          <w:tcPr>
            <w:tcW w:w="1120" w:type="dxa"/>
            <w:tcBorders/>
            <w:vAlign w:val="center"/>
          </w:tcPr>
          <w:p>
            <w:pPr>
              <w:jc w:val="right"/>
            </w:pPr>
            <w:r>
              <w:rPr>
                <w:rFonts w:ascii="宋体" w:eastAsia="宋体" w:hAnsi="宋体" w:cs="宋体"/>
                <w:b w:val="0"/>
                <w:i w:val="0"/>
                <w:color w:val="000000"/>
                <w:sz w:val="16"/>
              </w:rPr>
              <w:t xml:space="preserve">23.91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46.66</w:t>
            </w:r>
          </w:p>
        </w:tc>
        <w:tc>
          <w:tcPr>
            <w:tcW w:w="1120" w:type="dxa"/>
            <w:tcBorders/>
            <w:vAlign w:val="center"/>
          </w:tcPr>
          <w:p>
            <w:pPr>
              <w:jc w:val="right"/>
            </w:pPr>
            <w:r>
              <w:rPr>
                <w:rFonts w:ascii="宋体" w:eastAsia="宋体" w:hAnsi="宋体" w:cs="宋体"/>
                <w:b w:val="0"/>
                <w:i w:val="0"/>
                <w:color w:val="000000"/>
                <w:sz w:val="16"/>
              </w:rPr>
              <w:t xml:space="preserve">46.66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46.66</w:t>
            </w:r>
          </w:p>
        </w:tc>
        <w:tc>
          <w:tcPr>
            <w:tcW w:w="1120" w:type="dxa"/>
            <w:tcBorders/>
            <w:vAlign w:val="center"/>
          </w:tcPr>
          <w:p>
            <w:pPr>
              <w:jc w:val="right"/>
            </w:pPr>
            <w:r>
              <w:rPr>
                <w:rFonts w:ascii="宋体" w:eastAsia="宋体" w:hAnsi="宋体" w:cs="宋体"/>
                <w:b w:val="0"/>
                <w:i w:val="0"/>
                <w:color w:val="000000"/>
                <w:sz w:val="16"/>
              </w:rPr>
              <w:t xml:space="preserve">46.66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35.81</w:t>
            </w:r>
          </w:p>
        </w:tc>
        <w:tc>
          <w:tcPr>
            <w:tcW w:w="1120" w:type="dxa"/>
            <w:tcBorders/>
            <w:vAlign w:val="center"/>
          </w:tcPr>
          <w:p>
            <w:pPr>
              <w:jc w:val="right"/>
            </w:pPr>
            <w:r>
              <w:rPr>
                <w:rFonts w:ascii="宋体" w:eastAsia="宋体" w:hAnsi="宋体" w:cs="宋体"/>
                <w:b w:val="0"/>
                <w:i w:val="0"/>
                <w:color w:val="000000"/>
                <w:sz w:val="16"/>
              </w:rPr>
              <w:t xml:space="preserve">35.81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jc w:val="right"/>
            </w:pPr>
            <w:r>
              <w:rPr>
                <w:rFonts w:ascii="宋体" w:eastAsia="宋体" w:hAnsi="宋体" w:cs="宋体"/>
                <w:b w:val="0"/>
                <w:i w:val="0"/>
                <w:color w:val="000000"/>
                <w:sz w:val="16"/>
              </w:rPr>
              <w:t xml:space="preserve">10.09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jc w:val="right"/>
            </w:pPr>
            <w:r>
              <w:rPr>
                <w:rFonts w:ascii="宋体" w:eastAsia="宋体" w:hAnsi="宋体" w:cs="宋体"/>
                <w:b w:val="0"/>
                <w:i w:val="0"/>
                <w:color w:val="000000"/>
                <w:sz w:val="16"/>
              </w:rPr>
              <w:t xml:space="preserve">0.76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73.45</w:t>
            </w:r>
          </w:p>
        </w:tc>
        <w:tc>
          <w:tcPr>
            <w:tcW w:w="1120" w:type="dxa"/>
            <w:tcBorders/>
            <w:vAlign w:val="center"/>
          </w:tcPr>
          <w:p>
            <w:pPr>
              <w:jc w:val="right"/>
            </w:pPr>
            <w:r>
              <w:rPr>
                <w:rFonts w:ascii="宋体" w:eastAsia="宋体" w:hAnsi="宋体" w:cs="宋体"/>
                <w:b w:val="0"/>
                <w:i w:val="0"/>
                <w:color w:val="000000"/>
                <w:sz w:val="16"/>
              </w:rPr>
              <w:t xml:space="preserve">73.45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73.45</w:t>
            </w:r>
          </w:p>
        </w:tc>
        <w:tc>
          <w:tcPr>
            <w:tcW w:w="1120" w:type="dxa"/>
            <w:tcBorders/>
            <w:vAlign w:val="center"/>
          </w:tcPr>
          <w:p>
            <w:pPr>
              <w:jc w:val="right"/>
            </w:pPr>
            <w:r>
              <w:rPr>
                <w:rFonts w:ascii="宋体" w:eastAsia="宋体" w:hAnsi="宋体" w:cs="宋体"/>
                <w:b w:val="0"/>
                <w:i w:val="0"/>
                <w:color w:val="000000"/>
                <w:sz w:val="16"/>
              </w:rPr>
              <w:t xml:space="preserve">73.45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73.45</w:t>
            </w:r>
          </w:p>
        </w:tc>
        <w:tc>
          <w:tcPr>
            <w:tcW w:w="1120" w:type="dxa"/>
            <w:tcBorders/>
            <w:vAlign w:val="center"/>
          </w:tcPr>
          <w:p>
            <w:pPr>
              <w:jc w:val="right"/>
            </w:pPr>
            <w:r>
              <w:rPr>
                <w:rFonts w:ascii="宋体" w:eastAsia="宋体" w:hAnsi="宋体" w:cs="宋体"/>
                <w:b w:val="0"/>
                <w:i w:val="0"/>
                <w:color w:val="000000"/>
                <w:sz w:val="16"/>
              </w:rPr>
              <w:t xml:space="preserve">73.45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891.06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648.55</w:t>
            </w:r>
          </w:p>
        </w:tc>
        <w:tc>
          <w:tcPr>
            <w:tcW w:w="1100" w:type="dxa"/>
            <w:tcBorders/>
            <w:vAlign w:val="center"/>
          </w:tcPr>
          <w:p>
            <w:pPr>
              <w:jc w:val="right"/>
            </w:pPr>
            <w:r>
              <w:rPr>
                <w:rFonts w:ascii="宋体" w:eastAsia="宋体" w:hAnsi="宋体" w:cs="宋体"/>
                <w:b w:val="0"/>
                <w:i w:val="0"/>
                <w:color w:val="000000"/>
                <w:sz w:val="14"/>
              </w:rPr>
              <w:t xml:space="preserve">648.55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122.40</w:t>
            </w:r>
          </w:p>
        </w:tc>
        <w:tc>
          <w:tcPr>
            <w:tcW w:w="1100" w:type="dxa"/>
            <w:tcBorders/>
            <w:vAlign w:val="center"/>
          </w:tcPr>
          <w:p>
            <w:pPr>
              <w:jc w:val="right"/>
            </w:pPr>
            <w:r>
              <w:rPr>
                <w:rFonts w:ascii="宋体" w:eastAsia="宋体" w:hAnsi="宋体" w:cs="宋体"/>
                <w:b w:val="0"/>
                <w:i w:val="0"/>
                <w:color w:val="000000"/>
                <w:sz w:val="14"/>
              </w:rPr>
              <w:t xml:space="preserve">122.40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46.66</w:t>
            </w:r>
          </w:p>
        </w:tc>
        <w:tc>
          <w:tcPr>
            <w:tcW w:w="1100" w:type="dxa"/>
            <w:tcBorders/>
            <w:vAlign w:val="center"/>
          </w:tcPr>
          <w:p>
            <w:pPr>
              <w:jc w:val="right"/>
            </w:pPr>
            <w:r>
              <w:rPr>
                <w:rFonts w:ascii="宋体" w:eastAsia="宋体" w:hAnsi="宋体" w:cs="宋体"/>
                <w:b w:val="0"/>
                <w:i w:val="0"/>
                <w:color w:val="000000"/>
                <w:sz w:val="14"/>
              </w:rPr>
              <w:t xml:space="preserve">46.66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73.45</w:t>
            </w:r>
          </w:p>
        </w:tc>
        <w:tc>
          <w:tcPr>
            <w:tcW w:w="1100" w:type="dxa"/>
            <w:tcBorders/>
            <w:vAlign w:val="center"/>
          </w:tcPr>
          <w:p>
            <w:pPr>
              <w:jc w:val="right"/>
            </w:pPr>
            <w:r>
              <w:rPr>
                <w:rFonts w:ascii="宋体" w:eastAsia="宋体" w:hAnsi="宋体" w:cs="宋体"/>
                <w:b w:val="0"/>
                <w:i w:val="0"/>
                <w:color w:val="000000"/>
                <w:sz w:val="14"/>
              </w:rPr>
              <w:t xml:space="preserve">73.45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891.06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891.06</w:t>
            </w:r>
          </w:p>
        </w:tc>
        <w:tc>
          <w:tcPr>
            <w:tcW w:w="1100" w:type="dxa"/>
            <w:tcBorders/>
            <w:vAlign w:val="center"/>
          </w:tcPr>
          <w:p>
            <w:pPr>
              <w:jc w:val="right"/>
            </w:pPr>
            <w:r>
              <w:rPr>
                <w:rFonts w:ascii="宋体" w:eastAsia="宋体" w:hAnsi="宋体" w:cs="宋体"/>
                <w:b w:val="0"/>
                <w:i w:val="0"/>
                <w:color w:val="000000"/>
                <w:sz w:val="14"/>
              </w:rPr>
              <w:t xml:space="preserve">891.06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891.06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891.06</w:t>
            </w:r>
          </w:p>
        </w:tc>
        <w:tc>
          <w:tcPr>
            <w:tcW w:w="1100" w:type="dxa"/>
            <w:tcBorders/>
            <w:vAlign w:val="center"/>
          </w:tcPr>
          <w:p>
            <w:pPr>
              <w:jc w:val="right"/>
            </w:pPr>
            <w:r>
              <w:rPr>
                <w:rFonts w:ascii="宋体" w:eastAsia="宋体" w:hAnsi="宋体" w:cs="宋体"/>
                <w:b w:val="0"/>
                <w:i w:val="0"/>
                <w:color w:val="000000"/>
                <w:sz w:val="14"/>
              </w:rPr>
              <w:t xml:space="preserve">891.06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891.06</w:t>
            </w:r>
          </w:p>
        </w:tc>
        <w:tc>
          <w:tcPr>
            <w:tcW w:w="1980" w:type="dxa"/>
            <w:tcBorders/>
            <w:vAlign w:val="center"/>
          </w:tcPr>
          <w:p>
            <w:pPr>
              <w:jc w:val="right"/>
            </w:pPr>
            <w:r>
              <w:rPr>
                <w:rFonts w:ascii="宋体" w:eastAsia="宋体" w:hAnsi="宋体" w:cs="宋体"/>
                <w:b/>
                <w:i w:val="0"/>
                <w:color w:val="000000"/>
                <w:sz w:val="20"/>
              </w:rPr>
              <w:t xml:space="preserve">891.06</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648.55</w:t>
            </w:r>
          </w:p>
        </w:tc>
        <w:tc>
          <w:tcPr>
            <w:tcW w:w="1980" w:type="dxa"/>
            <w:tcBorders/>
            <w:vAlign w:val="center"/>
          </w:tcPr>
          <w:p>
            <w:pPr>
              <w:jc w:val="right"/>
            </w:pPr>
            <w:r>
              <w:rPr>
                <w:rFonts w:ascii="宋体" w:eastAsia="宋体" w:hAnsi="宋体" w:cs="宋体"/>
                <w:b w:val="0"/>
                <w:i w:val="0"/>
                <w:color w:val="000000"/>
                <w:sz w:val="20"/>
              </w:rPr>
              <w:t xml:space="preserve">648.55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市场监督管理事务</w:t>
            </w:r>
          </w:p>
        </w:tc>
        <w:tc>
          <w:tcPr>
            <w:tcW w:w="1980" w:type="dxa"/>
            <w:tcBorders/>
            <w:vAlign w:val="center"/>
          </w:tcPr>
          <w:p>
            <w:pPr>
              <w:jc w:val="right"/>
            </w:pPr>
            <w:r>
              <w:rPr>
                <w:rFonts w:ascii="宋体" w:eastAsia="宋体" w:hAnsi="宋体" w:cs="宋体"/>
                <w:b w:val="0"/>
                <w:i w:val="0"/>
                <w:color w:val="000000"/>
                <w:sz w:val="20"/>
              </w:rPr>
              <w:t xml:space="preserve">648.55</w:t>
            </w:r>
          </w:p>
        </w:tc>
        <w:tc>
          <w:tcPr>
            <w:tcW w:w="1980" w:type="dxa"/>
            <w:tcBorders/>
            <w:vAlign w:val="center"/>
          </w:tcPr>
          <w:p>
            <w:pPr>
              <w:jc w:val="right"/>
            </w:pPr>
            <w:r>
              <w:rPr>
                <w:rFonts w:ascii="宋体" w:eastAsia="宋体" w:hAnsi="宋体" w:cs="宋体"/>
                <w:b w:val="0"/>
                <w:i w:val="0"/>
                <w:color w:val="000000"/>
                <w:sz w:val="20"/>
              </w:rPr>
              <w:t xml:space="preserve">648.55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648.55</w:t>
            </w:r>
          </w:p>
        </w:tc>
        <w:tc>
          <w:tcPr>
            <w:tcW w:w="1980" w:type="dxa"/>
            <w:tcBorders/>
            <w:vAlign w:val="center"/>
          </w:tcPr>
          <w:p>
            <w:pPr>
              <w:jc w:val="right"/>
            </w:pPr>
            <w:r>
              <w:rPr>
                <w:rFonts w:ascii="宋体" w:eastAsia="宋体" w:hAnsi="宋体" w:cs="宋体"/>
                <w:b w:val="0"/>
                <w:i w:val="0"/>
                <w:color w:val="000000"/>
                <w:sz w:val="20"/>
              </w:rPr>
              <w:t xml:space="preserve">648.55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122.41</w:t>
            </w:r>
          </w:p>
        </w:tc>
        <w:tc>
          <w:tcPr>
            <w:tcW w:w="1980" w:type="dxa"/>
            <w:tcBorders/>
            <w:vAlign w:val="center"/>
          </w:tcPr>
          <w:p>
            <w:pPr>
              <w:jc w:val="right"/>
            </w:pPr>
            <w:r>
              <w:rPr>
                <w:rFonts w:ascii="宋体" w:eastAsia="宋体" w:hAnsi="宋体" w:cs="宋体"/>
                <w:b w:val="0"/>
                <w:i w:val="0"/>
                <w:color w:val="000000"/>
                <w:sz w:val="20"/>
              </w:rPr>
              <w:t xml:space="preserve">122.41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122.41</w:t>
            </w:r>
          </w:p>
        </w:tc>
        <w:tc>
          <w:tcPr>
            <w:tcW w:w="1980" w:type="dxa"/>
            <w:tcBorders/>
            <w:vAlign w:val="center"/>
          </w:tcPr>
          <w:p>
            <w:pPr>
              <w:jc w:val="right"/>
            </w:pPr>
            <w:r>
              <w:rPr>
                <w:rFonts w:ascii="宋体" w:eastAsia="宋体" w:hAnsi="宋体" w:cs="宋体"/>
                <w:b w:val="0"/>
                <w:i w:val="0"/>
                <w:color w:val="000000"/>
                <w:sz w:val="20"/>
              </w:rPr>
              <w:t xml:space="preserve">122.41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5.17</w:t>
            </w:r>
          </w:p>
        </w:tc>
        <w:tc>
          <w:tcPr>
            <w:tcW w:w="1980" w:type="dxa"/>
            <w:tcBorders/>
            <w:vAlign w:val="center"/>
          </w:tcPr>
          <w:p>
            <w:pPr>
              <w:jc w:val="right"/>
            </w:pPr>
            <w:r>
              <w:rPr>
                <w:rFonts w:ascii="宋体" w:eastAsia="宋体" w:hAnsi="宋体" w:cs="宋体"/>
                <w:b w:val="0"/>
                <w:i w:val="0"/>
                <w:color w:val="000000"/>
                <w:sz w:val="20"/>
              </w:rPr>
              <w:t xml:space="preserve">5.17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93.33</w:t>
            </w:r>
          </w:p>
        </w:tc>
        <w:tc>
          <w:tcPr>
            <w:tcW w:w="1980" w:type="dxa"/>
            <w:tcBorders/>
            <w:vAlign w:val="center"/>
          </w:tcPr>
          <w:p>
            <w:pPr>
              <w:jc w:val="right"/>
            </w:pPr>
            <w:r>
              <w:rPr>
                <w:rFonts w:ascii="宋体" w:eastAsia="宋体" w:hAnsi="宋体" w:cs="宋体"/>
                <w:b w:val="0"/>
                <w:i w:val="0"/>
                <w:color w:val="000000"/>
                <w:sz w:val="20"/>
              </w:rPr>
              <w:t xml:space="preserve">93.33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23.91</w:t>
            </w:r>
          </w:p>
        </w:tc>
        <w:tc>
          <w:tcPr>
            <w:tcW w:w="1980" w:type="dxa"/>
            <w:tcBorders/>
            <w:vAlign w:val="center"/>
          </w:tcPr>
          <w:p>
            <w:pPr>
              <w:jc w:val="right"/>
            </w:pPr>
            <w:r>
              <w:rPr>
                <w:rFonts w:ascii="宋体" w:eastAsia="宋体" w:hAnsi="宋体" w:cs="宋体"/>
                <w:b w:val="0"/>
                <w:i w:val="0"/>
                <w:color w:val="000000"/>
                <w:sz w:val="20"/>
              </w:rPr>
              <w:t xml:space="preserve">23.91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46.66</w:t>
            </w:r>
          </w:p>
        </w:tc>
        <w:tc>
          <w:tcPr>
            <w:tcW w:w="1980" w:type="dxa"/>
            <w:tcBorders/>
            <w:vAlign w:val="center"/>
          </w:tcPr>
          <w:p>
            <w:pPr>
              <w:jc w:val="right"/>
            </w:pPr>
            <w:r>
              <w:rPr>
                <w:rFonts w:ascii="宋体" w:eastAsia="宋体" w:hAnsi="宋体" w:cs="宋体"/>
                <w:b w:val="0"/>
                <w:i w:val="0"/>
                <w:color w:val="000000"/>
                <w:sz w:val="20"/>
              </w:rPr>
              <w:t xml:space="preserve">46.66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46.66</w:t>
            </w:r>
          </w:p>
        </w:tc>
        <w:tc>
          <w:tcPr>
            <w:tcW w:w="1980" w:type="dxa"/>
            <w:tcBorders/>
            <w:vAlign w:val="center"/>
          </w:tcPr>
          <w:p>
            <w:pPr>
              <w:jc w:val="right"/>
            </w:pPr>
            <w:r>
              <w:rPr>
                <w:rFonts w:ascii="宋体" w:eastAsia="宋体" w:hAnsi="宋体" w:cs="宋体"/>
                <w:b w:val="0"/>
                <w:i w:val="0"/>
                <w:color w:val="000000"/>
                <w:sz w:val="20"/>
              </w:rPr>
              <w:t xml:space="preserve">46.66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35.81</w:t>
            </w:r>
          </w:p>
        </w:tc>
        <w:tc>
          <w:tcPr>
            <w:tcW w:w="1980" w:type="dxa"/>
            <w:tcBorders/>
            <w:vAlign w:val="center"/>
          </w:tcPr>
          <w:p>
            <w:pPr>
              <w:jc w:val="right"/>
            </w:pPr>
            <w:r>
              <w:rPr>
                <w:rFonts w:ascii="宋体" w:eastAsia="宋体" w:hAnsi="宋体" w:cs="宋体"/>
                <w:b w:val="0"/>
                <w:i w:val="0"/>
                <w:color w:val="000000"/>
                <w:sz w:val="20"/>
              </w:rPr>
              <w:t xml:space="preserve">35.81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80" w:type="dxa"/>
            <w:tcBorders/>
            <w:vAlign w:val="center"/>
          </w:tcPr>
          <w:p>
            <w:pPr>
              <w:jc w:val="right"/>
            </w:pPr>
            <w:r>
              <w:rPr>
                <w:rFonts w:ascii="宋体" w:eastAsia="宋体" w:hAnsi="宋体" w:cs="宋体"/>
                <w:b w:val="0"/>
                <w:i w:val="0"/>
                <w:color w:val="000000"/>
                <w:sz w:val="20"/>
              </w:rPr>
              <w:t xml:space="preserve">10.09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0.76</w:t>
            </w:r>
          </w:p>
        </w:tc>
        <w:tc>
          <w:tcPr>
            <w:tcW w:w="1980" w:type="dxa"/>
            <w:tcBorders/>
            <w:vAlign w:val="center"/>
          </w:tcPr>
          <w:p>
            <w:pPr>
              <w:jc w:val="right"/>
            </w:pPr>
            <w:r>
              <w:rPr>
                <w:rFonts w:ascii="宋体" w:eastAsia="宋体" w:hAnsi="宋体" w:cs="宋体"/>
                <w:b w:val="0"/>
                <w:i w:val="0"/>
                <w:color w:val="000000"/>
                <w:sz w:val="20"/>
              </w:rPr>
              <w:t xml:space="preserve">0.76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73.45</w:t>
            </w:r>
          </w:p>
        </w:tc>
        <w:tc>
          <w:tcPr>
            <w:tcW w:w="1980" w:type="dxa"/>
            <w:tcBorders/>
            <w:vAlign w:val="center"/>
          </w:tcPr>
          <w:p>
            <w:pPr>
              <w:jc w:val="right"/>
            </w:pPr>
            <w:r>
              <w:rPr>
                <w:rFonts w:ascii="宋体" w:eastAsia="宋体" w:hAnsi="宋体" w:cs="宋体"/>
                <w:b w:val="0"/>
                <w:i w:val="0"/>
                <w:color w:val="000000"/>
                <w:sz w:val="20"/>
              </w:rPr>
              <w:t xml:space="preserve">73.45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73.45</w:t>
            </w:r>
          </w:p>
        </w:tc>
        <w:tc>
          <w:tcPr>
            <w:tcW w:w="1980" w:type="dxa"/>
            <w:tcBorders/>
            <w:vAlign w:val="center"/>
          </w:tcPr>
          <w:p>
            <w:pPr>
              <w:jc w:val="right"/>
            </w:pPr>
            <w:r>
              <w:rPr>
                <w:rFonts w:ascii="宋体" w:eastAsia="宋体" w:hAnsi="宋体" w:cs="宋体"/>
                <w:b w:val="0"/>
                <w:i w:val="0"/>
                <w:color w:val="000000"/>
                <w:sz w:val="20"/>
              </w:rPr>
              <w:t xml:space="preserve">73.45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73.45</w:t>
            </w:r>
          </w:p>
        </w:tc>
        <w:tc>
          <w:tcPr>
            <w:tcW w:w="1980" w:type="dxa"/>
            <w:tcBorders/>
            <w:vAlign w:val="center"/>
          </w:tcPr>
          <w:p>
            <w:pPr>
              <w:jc w:val="right"/>
            </w:pPr>
            <w:r>
              <w:rPr>
                <w:rFonts w:ascii="宋体" w:eastAsia="宋体" w:hAnsi="宋体" w:cs="宋体"/>
                <w:b w:val="0"/>
                <w:i w:val="0"/>
                <w:color w:val="000000"/>
                <w:sz w:val="20"/>
              </w:rPr>
              <w:t xml:space="preserve">73.45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844.71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40.99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303.32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9.74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17.71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27.58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255.83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93.33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23.91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35.43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10.09</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4.06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73.45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0.29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5.36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5.17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15.88</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2.96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10.92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850.07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40.99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2.96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2.96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2.96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单位：辽宁省盘锦市兴隆台区市场监管事务服务中心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325022辽宁省盘锦市兴隆台区市场监管事务服务中心-211103000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1044.77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1044.77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35.34727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99.7035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750.17136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750.17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（一）开展市场监督管理理论与实践研究工作，为市场监管提供服务保障。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（二）承担市场主体生产经营行为监测和质量安全监控预警技术服务工作。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（三）承担全区市场监管系统信息网络建设、运行与维护工作。 </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（四）负责全区企业档案管理、查询工作。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（五）为个体劳动者、私营企业提供产业政策咨询、法律援助等服务；协助做好个体劳动者和私营企业党组织建设工作。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（六）承担食品药品、化妆品不良反应、滥用药物和医疗器械不良事件的收集、报告、监测等事务性工作。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（七）承担消费者权益保护的服务工作，为消费者提供消费信息和咨询服务，参与有关行政部门对商品、服务的监督检查工作。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（八）承担食品风险监测，食品快速检验工作及抽样信息归集。承担全区早晚市场的监督管理工作。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（九）承担全区特种设备网络监控和应急处置的服务工作。</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（十）承担区市场监督管理局交办的其他工作。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已全部完成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提供安全放心产品</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产品质量安全和监管水平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中心员工满意度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服务企业满意度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社会民众满意度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体制改革成效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提升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进一步提升预算执行效率和效益，严格进行绩效监控，规范预算执行程序，提高支付超控的审核效率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7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6905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