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附</w:t>
      </w:r>
      <w:r>
        <w:rPr>
          <w:rFonts w:hint="eastAsia" w:ascii="黑体" w:hAnsi="黑体" w:eastAsia="黑体" w:cs="黑体"/>
          <w:bCs/>
          <w:sz w:val="32"/>
          <w:szCs w:val="32"/>
          <w:highlight w:val="none"/>
        </w:rPr>
        <w:t>件</w:t>
      </w:r>
      <w:r>
        <w:rPr>
          <w:rFonts w:hint="eastAsia" w:ascii="黑体" w:hAnsi="黑体" w:eastAsia="黑体" w:cs="黑体"/>
          <w:bCs/>
          <w:color w:val="000000"/>
          <w:sz w:val="32"/>
          <w:szCs w:val="32"/>
          <w:highlight w:val="none"/>
          <w:lang w:val="en-US" w:eastAsia="zh-CN"/>
        </w:rPr>
        <w:t>2</w:t>
      </w:r>
    </w:p>
    <w:p>
      <w:pPr>
        <w:spacing w:line="600" w:lineRule="exact"/>
        <w:rPr>
          <w:rFonts w:ascii="黑体" w:hAnsi="黑体" w:eastAsia="黑体" w:cs="黑体"/>
          <w:bCs/>
          <w:color w:val="000000"/>
          <w:sz w:val="32"/>
          <w:szCs w:val="32"/>
          <w:highlight w:val="none"/>
        </w:rPr>
      </w:pPr>
    </w:p>
    <w:tbl>
      <w:tblPr>
        <w:tblStyle w:val="5"/>
        <w:tblW w:w="8820" w:type="dxa"/>
        <w:jc w:val="center"/>
        <w:tblLayout w:type="fixed"/>
        <w:tblCellMar>
          <w:top w:w="0" w:type="dxa"/>
          <w:left w:w="0" w:type="dxa"/>
          <w:bottom w:w="0" w:type="dxa"/>
          <w:right w:w="0" w:type="dxa"/>
        </w:tblCellMar>
      </w:tblPr>
      <w:tblGrid>
        <w:gridCol w:w="468"/>
        <w:gridCol w:w="567"/>
        <w:gridCol w:w="733"/>
        <w:gridCol w:w="717"/>
        <w:gridCol w:w="683"/>
        <w:gridCol w:w="575"/>
        <w:gridCol w:w="575"/>
        <w:gridCol w:w="730"/>
        <w:gridCol w:w="346"/>
        <w:gridCol w:w="782"/>
        <w:gridCol w:w="343"/>
        <w:gridCol w:w="857"/>
        <w:gridCol w:w="1444"/>
      </w:tblGrid>
      <w:tr>
        <w:tblPrEx>
          <w:tblCellMar>
            <w:top w:w="0" w:type="dxa"/>
            <w:left w:w="0" w:type="dxa"/>
            <w:bottom w:w="0" w:type="dxa"/>
            <w:right w:w="0" w:type="dxa"/>
          </w:tblCellMar>
        </w:tblPrEx>
        <w:trPr>
          <w:trHeight w:val="968" w:hRule="atLeast"/>
          <w:jc w:val="center"/>
        </w:trPr>
        <w:tc>
          <w:tcPr>
            <w:tcW w:w="8820" w:type="dxa"/>
            <w:gridSpan w:val="13"/>
            <w:tcBorders>
              <w:bottom w:val="single" w:color="auto" w:sz="4" w:space="0"/>
            </w:tcBorders>
            <w:tcMar>
              <w:top w:w="15" w:type="dxa"/>
              <w:left w:w="15" w:type="dxa"/>
              <w:bottom w:w="0" w:type="dxa"/>
              <w:right w:w="15" w:type="dxa"/>
            </w:tcMar>
            <w:vAlign w:val="center"/>
          </w:tcPr>
          <w:p>
            <w:pPr>
              <w:jc w:val="center"/>
              <w:rPr>
                <w:sz w:val="40"/>
                <w:szCs w:val="40"/>
                <w:highlight w:val="none"/>
              </w:rPr>
            </w:pPr>
            <w:r>
              <w:rPr>
                <w:rFonts w:hint="eastAsia" w:ascii="宋体" w:hAnsi="宋体" w:cs="宋体"/>
                <w:b/>
                <w:bCs/>
                <w:sz w:val="44"/>
                <w:szCs w:val="44"/>
                <w:highlight w:val="none"/>
                <w:lang w:val="en-US" w:eastAsia="zh-CN"/>
              </w:rPr>
              <w:t>区</w:t>
            </w:r>
            <w:r>
              <w:rPr>
                <w:rFonts w:hint="eastAsia" w:ascii="宋体" w:hAnsi="宋体" w:cs="宋体"/>
                <w:b/>
                <w:bCs/>
                <w:sz w:val="44"/>
                <w:szCs w:val="44"/>
                <w:highlight w:val="none"/>
              </w:rPr>
              <w:t>本级预算项目（政策）</w:t>
            </w:r>
            <w:r>
              <w:rPr>
                <w:rFonts w:hint="eastAsia" w:ascii="宋体" w:hAnsi="宋体" w:cs="宋体"/>
                <w:b/>
                <w:bCs/>
                <w:sz w:val="44"/>
                <w:szCs w:val="44"/>
                <w:highlight w:val="none"/>
                <w:lang w:val="en-US" w:eastAsia="zh-CN"/>
              </w:rPr>
              <w:t>重点</w:t>
            </w:r>
            <w:r>
              <w:rPr>
                <w:rFonts w:hint="eastAsia" w:ascii="宋体" w:hAnsi="宋体" w:cs="宋体"/>
                <w:b/>
                <w:bCs/>
                <w:sz w:val="44"/>
                <w:szCs w:val="44"/>
                <w:highlight w:val="none"/>
              </w:rPr>
              <w:t>绩效评价表</w:t>
            </w:r>
            <w:r>
              <w:rPr>
                <w:rFonts w:hint="eastAsia" w:ascii="宋体" w:hAnsi="宋体" w:cs="宋体"/>
                <w:sz w:val="32"/>
                <w:szCs w:val="32"/>
                <w:highlight w:val="none"/>
              </w:rPr>
              <w:t xml:space="preserve"> </w:t>
            </w:r>
            <w:r>
              <w:rPr>
                <w:rFonts w:hint="eastAsia" w:ascii="宋体" w:hAnsi="宋体" w:cs="宋体"/>
                <w:sz w:val="32"/>
                <w:szCs w:val="32"/>
                <w:highlight w:val="none"/>
              </w:rPr>
              <w:br w:type="textWrapping"/>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eastAsia="zh-CN"/>
              </w:rPr>
              <w:t>2</w:t>
            </w:r>
            <w:r>
              <w:rPr>
                <w:rFonts w:hint="eastAsia" w:ascii="宋体" w:hAnsi="宋体" w:cs="宋体"/>
                <w:color w:val="000000"/>
                <w:sz w:val="32"/>
                <w:szCs w:val="32"/>
                <w:highlight w:val="none"/>
                <w:lang w:val="en-US" w:eastAsia="zh-CN"/>
              </w:rPr>
              <w:t>022</w:t>
            </w:r>
            <w:r>
              <w:rPr>
                <w:rFonts w:hint="eastAsia" w:ascii="宋体" w:hAnsi="宋体" w:cs="宋体"/>
                <w:color w:val="000000"/>
                <w:sz w:val="32"/>
                <w:szCs w:val="32"/>
                <w:highlight w:val="none"/>
              </w:rPr>
              <w:t>年度）</w:t>
            </w:r>
          </w:p>
        </w:tc>
      </w:tr>
      <w:tr>
        <w:tblPrEx>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项目（政策）名称</w:t>
            </w:r>
          </w:p>
        </w:tc>
        <w:tc>
          <w:tcPr>
            <w:tcW w:w="7052"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泵站水电费</w:t>
            </w:r>
          </w:p>
        </w:tc>
      </w:tr>
      <w:tr>
        <w:tblPrEx>
          <w:tblCellMar>
            <w:top w:w="0" w:type="dxa"/>
            <w:left w:w="0" w:type="dxa"/>
            <w:bottom w:w="0" w:type="dxa"/>
            <w:right w:w="0" w:type="dxa"/>
          </w:tblCellMar>
        </w:tblPrEx>
        <w:trPr>
          <w:trHeight w:val="33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color w:val="000000"/>
                <w:highlight w:val="none"/>
              </w:rPr>
              <w:t>主管预算部门</w:t>
            </w:r>
          </w:p>
        </w:tc>
        <w:tc>
          <w:tcPr>
            <w:tcW w:w="7052"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辽宁省盘锦市兴隆台区城市建设和管理服务中心</w:t>
            </w:r>
          </w:p>
        </w:tc>
      </w:tr>
      <w:tr>
        <w:tblPrEx>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color w:val="000000"/>
                <w:highlight w:val="none"/>
              </w:rPr>
              <w:t>实施单位</w:t>
            </w:r>
          </w:p>
        </w:tc>
        <w:tc>
          <w:tcPr>
            <w:tcW w:w="3280"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highlight w:val="none"/>
              </w:rPr>
            </w:pPr>
            <w:r>
              <w:rPr>
                <w:rFonts w:hint="eastAsia"/>
                <w:color w:val="000000"/>
                <w:highlight w:val="none"/>
                <w:lang w:val="en-US" w:eastAsia="zh-CN"/>
              </w:rPr>
              <w:t>辽宁省盘锦市兴隆台区城市建设和管理服务中心</w:t>
            </w:r>
          </w:p>
        </w:tc>
        <w:tc>
          <w:tcPr>
            <w:tcW w:w="11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实施期</w:t>
            </w:r>
          </w:p>
        </w:tc>
        <w:tc>
          <w:tcPr>
            <w:tcW w:w="264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val="en-US" w:eastAsia="zh-CN"/>
              </w:rPr>
              <w:t>2022</w:t>
            </w:r>
            <w:r>
              <w:rPr>
                <w:rFonts w:hint="eastAsia" w:ascii="宋体" w:hAnsi="宋体" w:cs="宋体"/>
                <w:color w:val="000000"/>
                <w:kern w:val="0"/>
                <w:szCs w:val="21"/>
                <w:highlight w:val="none"/>
              </w:rPr>
              <w:t xml:space="preserve"> 年 </w:t>
            </w:r>
            <w:r>
              <w:rPr>
                <w:rFonts w:hint="eastAsia" w:ascii="宋体" w:hAnsi="宋体" w:cs="宋体"/>
                <w:color w:val="000000"/>
                <w:kern w:val="0"/>
                <w:szCs w:val="21"/>
                <w:highlight w:val="none"/>
                <w:lang w:val="en-US" w:eastAsia="zh-CN"/>
              </w:rPr>
              <w:t>01</w:t>
            </w:r>
            <w:r>
              <w:rPr>
                <w:rFonts w:hint="eastAsia" w:ascii="宋体" w:hAnsi="宋体" w:cs="宋体"/>
                <w:color w:val="000000"/>
                <w:kern w:val="0"/>
                <w:szCs w:val="21"/>
                <w:highlight w:val="none"/>
              </w:rPr>
              <w:t xml:space="preserve"> 月  -  </w:t>
            </w:r>
            <w:r>
              <w:rPr>
                <w:rFonts w:hint="eastAsia" w:ascii="宋体" w:hAnsi="宋体" w:cs="宋体"/>
                <w:color w:val="000000"/>
                <w:kern w:val="0"/>
                <w:szCs w:val="21"/>
                <w:highlight w:val="none"/>
                <w:lang w:val="en-US" w:eastAsia="zh-CN"/>
              </w:rPr>
              <w:t>2022</w:t>
            </w:r>
            <w:bookmarkStart w:id="0" w:name="_GoBack"/>
            <w:bookmarkEnd w:id="0"/>
            <w:r>
              <w:rPr>
                <w:rFonts w:hint="eastAsia" w:ascii="宋体" w:hAnsi="宋体" w:cs="宋体"/>
                <w:color w:val="000000"/>
                <w:kern w:val="0"/>
                <w:szCs w:val="21"/>
                <w:highlight w:val="none"/>
              </w:rPr>
              <w:t xml:space="preserve">  年 </w:t>
            </w:r>
            <w:r>
              <w:rPr>
                <w:rFonts w:hint="eastAsia" w:ascii="宋体" w:hAnsi="宋体" w:cs="宋体"/>
                <w:color w:val="000000"/>
                <w:kern w:val="0"/>
                <w:szCs w:val="21"/>
                <w:highlight w:val="none"/>
                <w:lang w:val="en-US" w:eastAsia="zh-CN"/>
              </w:rPr>
              <w:t>12</w:t>
            </w:r>
            <w:r>
              <w:rPr>
                <w:rFonts w:hint="eastAsia" w:ascii="宋体" w:hAnsi="宋体" w:cs="宋体"/>
                <w:color w:val="000000"/>
                <w:kern w:val="0"/>
                <w:szCs w:val="21"/>
                <w:highlight w:val="none"/>
              </w:rPr>
              <w:t xml:space="preserve"> 月</w:t>
            </w:r>
          </w:p>
        </w:tc>
      </w:tr>
      <w:tr>
        <w:tblPrEx>
          <w:tblCellMar>
            <w:top w:w="0" w:type="dxa"/>
            <w:left w:w="0" w:type="dxa"/>
            <w:bottom w:w="0" w:type="dxa"/>
            <w:right w:w="0" w:type="dxa"/>
          </w:tblCellMar>
        </w:tblPrEx>
        <w:trPr>
          <w:trHeight w:val="592"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项目预算资金</w:t>
            </w: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　</w:t>
            </w: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年初预算数</w:t>
            </w:r>
          </w:p>
        </w:tc>
        <w:tc>
          <w:tcPr>
            <w:tcW w:w="11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全年预算数（A）</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全年执行数（B）</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执行率（B/A)</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年度预算资金总额：</w:t>
            </w: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327.75</w:t>
            </w:r>
            <w:r>
              <w:rPr>
                <w:rFonts w:hint="eastAsia"/>
                <w:color w:val="000000"/>
                <w:highlight w:val="none"/>
              </w:rPr>
              <w:t>　</w:t>
            </w:r>
          </w:p>
        </w:tc>
        <w:tc>
          <w:tcPr>
            <w:tcW w:w="11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327.75</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lang w:val="en-US" w:eastAsia="zh-CN"/>
              </w:rPr>
              <w:t>267.74</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rPr>
              <w:t>81.69%</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其中：财政拨款收入</w:t>
            </w: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327.75</w:t>
            </w:r>
            <w:r>
              <w:rPr>
                <w:rFonts w:hint="eastAsia"/>
                <w:color w:val="000000"/>
                <w:highlight w:val="none"/>
              </w:rPr>
              <w:t>　</w:t>
            </w:r>
          </w:p>
        </w:tc>
        <w:tc>
          <w:tcPr>
            <w:tcW w:w="11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327.75</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lang w:val="en-US" w:eastAsia="zh-CN"/>
              </w:rPr>
              <w:t>267.74</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default" w:eastAsia="宋体"/>
                <w:color w:val="000000"/>
                <w:highlight w:val="none"/>
                <w:lang w:val="en-US" w:eastAsia="zh-CN"/>
              </w:rPr>
            </w:pPr>
            <w:r>
              <w:rPr>
                <w:rFonts w:hint="eastAsia"/>
                <w:color w:val="000000"/>
                <w:highlight w:val="none"/>
                <w:lang w:val="en-US" w:eastAsia="zh-CN"/>
              </w:rPr>
              <w:t>81.69%</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中央提前告知转移支付资金</w:t>
            </w: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纳入预算管理的行政事业性收费等非税收入</w:t>
            </w: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纳入政府性基金预算管理收入</w:t>
            </w: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纳入专户管理的行政事业性收费等非税收入</w:t>
            </w: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上年结转</w:t>
            </w: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其他收入</w:t>
            </w: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年度总体目标</w:t>
            </w:r>
          </w:p>
        </w:tc>
        <w:tc>
          <w:tcPr>
            <w:tcW w:w="3280"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年初设定目标</w:t>
            </w:r>
          </w:p>
        </w:tc>
        <w:tc>
          <w:tcPr>
            <w:tcW w:w="3772"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全年实际完成情况</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280"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rPr>
              <w:t>目标1</w:t>
            </w:r>
            <w:r>
              <w:rPr>
                <w:rFonts w:hint="eastAsia"/>
                <w:color w:val="000000"/>
                <w:highlight w:val="none"/>
                <w:lang w:val="en-US" w:eastAsia="zh-CN"/>
              </w:rPr>
              <w:t xml:space="preserve">确保单位平稳运行 </w:t>
            </w:r>
          </w:p>
        </w:tc>
        <w:tc>
          <w:tcPr>
            <w:tcW w:w="3772"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已完成</w:t>
            </w:r>
            <w:r>
              <w:rPr>
                <w:rFonts w:hint="eastAsia"/>
                <w:color w:val="000000"/>
                <w:highlight w:val="none"/>
              </w:rPr>
              <w:t>　</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280"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目标2</w:t>
            </w:r>
          </w:p>
        </w:tc>
        <w:tc>
          <w:tcPr>
            <w:tcW w:w="3772"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rPr>
          <w:trHeight w:val="296"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280"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w:t>
            </w:r>
          </w:p>
        </w:tc>
        <w:tc>
          <w:tcPr>
            <w:tcW w:w="3772"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CellMar>
            <w:top w:w="0" w:type="dxa"/>
            <w:left w:w="0" w:type="dxa"/>
            <w:bottom w:w="0" w:type="dxa"/>
            <w:right w:w="0" w:type="dxa"/>
          </w:tblCellMar>
        </w:tblPrEx>
        <w:trPr>
          <w:trHeight w:val="389" w:hRule="atLeast"/>
          <w:jc w:val="center"/>
        </w:trPr>
        <w:tc>
          <w:tcPr>
            <w:tcW w:w="46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color w:val="000000"/>
                <w:highlight w:val="none"/>
              </w:rPr>
            </w:pPr>
            <w:r>
              <w:rPr>
                <w:rFonts w:hint="eastAsia"/>
                <w:color w:val="000000"/>
                <w:highlight w:val="none"/>
              </w:rPr>
              <w:t>绩效</w:t>
            </w:r>
          </w:p>
          <w:p>
            <w:pPr>
              <w:jc w:val="center"/>
              <w:rPr>
                <w:color w:val="000000"/>
                <w:highlight w:val="none"/>
              </w:rPr>
            </w:pPr>
            <w:r>
              <w:rPr>
                <w:rFonts w:hint="eastAsia"/>
                <w:color w:val="000000"/>
                <w:highlight w:val="none"/>
              </w:rPr>
              <w:t>指标</w:t>
            </w: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rFonts w:hint="eastAsia"/>
                <w:color w:val="000000"/>
                <w:highlight w:val="none"/>
              </w:rPr>
            </w:pPr>
          </w:p>
          <w:p>
            <w:pPr>
              <w:jc w:val="center"/>
              <w:rPr>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r>
              <w:rPr>
                <w:rFonts w:hint="eastAsia"/>
                <w:color w:val="000000"/>
                <w:highlight w:val="none"/>
              </w:rPr>
              <w:t>绩效指标</w:t>
            </w:r>
          </w:p>
          <w:p>
            <w:pPr>
              <w:jc w:val="center"/>
              <w:rPr>
                <w:color w:val="000000"/>
                <w:highlight w:val="none"/>
              </w:rPr>
            </w:pPr>
          </w:p>
          <w:p>
            <w:pPr>
              <w:jc w:val="center"/>
              <w:rPr>
                <w:color w:val="000000"/>
                <w:highlight w:val="none"/>
              </w:rPr>
            </w:pPr>
          </w:p>
          <w:p>
            <w:pPr>
              <w:jc w:val="center"/>
              <w:rPr>
                <w:rFonts w:hint="eastAsia"/>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一级</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二级</w:t>
            </w:r>
          </w:p>
          <w:p>
            <w:pPr>
              <w:jc w:val="center"/>
              <w:rPr>
                <w:color w:val="000000"/>
                <w:highlight w:val="none"/>
              </w:rPr>
            </w:pPr>
            <w:r>
              <w:rPr>
                <w:rFonts w:hint="eastAsia"/>
                <w:color w:val="000000"/>
                <w:highlight w:val="none"/>
              </w:rPr>
              <w:t>指标</w:t>
            </w:r>
          </w:p>
        </w:tc>
        <w:tc>
          <w:tcPr>
            <w:tcW w:w="71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三级</w:t>
            </w:r>
          </w:p>
          <w:p>
            <w:pPr>
              <w:jc w:val="center"/>
              <w:rPr>
                <w:color w:val="000000"/>
                <w:highlight w:val="none"/>
              </w:rPr>
            </w:pPr>
            <w:r>
              <w:rPr>
                <w:rFonts w:hint="eastAsia"/>
                <w:color w:val="000000"/>
                <w:highlight w:val="none"/>
              </w:rPr>
              <w:t>指标</w:t>
            </w:r>
          </w:p>
        </w:tc>
        <w:tc>
          <w:tcPr>
            <w:tcW w:w="183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年度指标值</w:t>
            </w:r>
          </w:p>
        </w:tc>
        <w:tc>
          <w:tcPr>
            <w:tcW w:w="73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w:t>
            </w:r>
          </w:p>
          <w:p>
            <w:pPr>
              <w:jc w:val="center"/>
              <w:rPr>
                <w:rFonts w:hint="eastAsia"/>
                <w:color w:val="000000"/>
                <w:highlight w:val="none"/>
              </w:rPr>
            </w:pPr>
            <w:r>
              <w:rPr>
                <w:rFonts w:hint="eastAsia"/>
                <w:color w:val="000000"/>
                <w:highlight w:val="none"/>
              </w:rPr>
              <w:t>完成值</w:t>
            </w:r>
          </w:p>
        </w:tc>
        <w:tc>
          <w:tcPr>
            <w:tcW w:w="34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权重</w:t>
            </w:r>
          </w:p>
        </w:tc>
        <w:tc>
          <w:tcPr>
            <w:tcW w:w="1125"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指标解释</w:t>
            </w:r>
          </w:p>
        </w:tc>
        <w:tc>
          <w:tcPr>
            <w:tcW w:w="85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评分</w:t>
            </w:r>
          </w:p>
          <w:p>
            <w:pPr>
              <w:widowControl/>
              <w:jc w:val="center"/>
              <w:textAlignment w:val="center"/>
              <w:rPr>
                <w:rFonts w:hint="eastAsia"/>
                <w:color w:val="000000"/>
                <w:highlight w:val="none"/>
              </w:rPr>
            </w:pPr>
            <w:r>
              <w:rPr>
                <w:rFonts w:hint="eastAsia"/>
                <w:color w:val="000000"/>
                <w:highlight w:val="none"/>
              </w:rPr>
              <w:t>标准</w:t>
            </w:r>
          </w:p>
        </w:tc>
        <w:tc>
          <w:tcPr>
            <w:tcW w:w="144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指标得分</w:t>
            </w:r>
          </w:p>
        </w:tc>
      </w:tr>
      <w:tr>
        <w:tblPrEx>
          <w:tblCellMar>
            <w:top w:w="0" w:type="dxa"/>
            <w:left w:w="0" w:type="dxa"/>
            <w:bottom w:w="0" w:type="dxa"/>
            <w:right w:w="0" w:type="dxa"/>
          </w:tblCellMar>
        </w:tblPrEx>
        <w:trPr>
          <w:trHeight w:val="608" w:hRule="atLeast"/>
          <w:jc w:val="center"/>
        </w:trPr>
        <w:tc>
          <w:tcPr>
            <w:tcW w:w="46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运算</w:t>
            </w:r>
          </w:p>
          <w:p>
            <w:pPr>
              <w:jc w:val="center"/>
              <w:rPr>
                <w:rFonts w:hint="eastAsia"/>
                <w:color w:val="000000"/>
                <w:highlight w:val="none"/>
              </w:rPr>
            </w:pPr>
            <w:r>
              <w:rPr>
                <w:rFonts w:hint="eastAsia"/>
                <w:color w:val="000000"/>
                <w:highlight w:val="none"/>
              </w:rPr>
              <w:t>符号</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内容</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度量单位</w:t>
            </w:r>
          </w:p>
        </w:tc>
        <w:tc>
          <w:tcPr>
            <w:tcW w:w="73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12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85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44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项目</w:t>
            </w:r>
          </w:p>
          <w:p>
            <w:pPr>
              <w:jc w:val="center"/>
              <w:rPr>
                <w:rFonts w:hint="eastAsia"/>
                <w:color w:val="000000"/>
                <w:highlight w:val="none"/>
              </w:rPr>
            </w:pPr>
            <w:r>
              <w:rPr>
                <w:rFonts w:hint="eastAsia"/>
                <w:color w:val="000000"/>
                <w:highlight w:val="none"/>
              </w:rPr>
              <w:t>立项</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目标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5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r>
              <w:rPr>
                <w:rFonts w:hint="eastAsia"/>
                <w:color w:val="000000"/>
                <w:highlight w:val="none"/>
              </w:rPr>
              <w:t>资金</w:t>
            </w:r>
          </w:p>
          <w:p>
            <w:pPr>
              <w:jc w:val="center"/>
              <w:rPr>
                <w:rFonts w:hint="eastAsia"/>
                <w:color w:val="000000"/>
                <w:highlight w:val="none"/>
              </w:rPr>
            </w:pPr>
            <w:r>
              <w:rPr>
                <w:rFonts w:hint="eastAsia"/>
                <w:color w:val="000000"/>
                <w:highlight w:val="none"/>
              </w:rPr>
              <w:t>安排</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rPr>
          <w:trHeight w:val="50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lang w:bidi="ar"/>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管理</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业务</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6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预算</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lang w:bidi="ar"/>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rPr>
          <w:trHeight w:val="3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color w:val="000000"/>
                <w:highlight w:val="none"/>
              </w:rPr>
              <w:t>产出</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p>
          <w:p>
            <w:pPr>
              <w:jc w:val="center"/>
              <w:rPr>
                <w:color w:val="000000"/>
                <w:highlight w:val="none"/>
              </w:rPr>
            </w:pPr>
            <w:r>
              <w:rPr>
                <w:rFonts w:hint="eastAsia"/>
                <w:color w:val="000000"/>
                <w:highlight w:val="none"/>
              </w:rPr>
              <w:t>数量</w:t>
            </w:r>
          </w:p>
          <w:p>
            <w:pPr>
              <w:ind w:firstLine="0" w:firstLineChars="0"/>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default" w:eastAsia="宋体"/>
                <w:color w:val="000000"/>
                <w:highlight w:val="none"/>
                <w:lang w:val="en-US" w:eastAsia="zh-CN"/>
              </w:rPr>
            </w:pPr>
            <w:r>
              <w:rPr>
                <w:rFonts w:hint="eastAsia" w:ascii="宋体" w:hAnsi="宋体" w:cs="宋体"/>
                <w:color w:val="000000"/>
                <w:szCs w:val="21"/>
                <w:highlight w:val="none"/>
                <w:lang w:val="en-US" w:eastAsia="zh-CN"/>
              </w:rPr>
              <w:t>足额保障率</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w:t>
            </w: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8.3</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8.3</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default" w:eastAsia="宋体"/>
                <w:color w:val="000000"/>
                <w:highlight w:val="none"/>
                <w:lang w:val="en-US" w:eastAsia="zh-CN"/>
              </w:rPr>
            </w:pPr>
            <w:r>
              <w:rPr>
                <w:rFonts w:hint="eastAsia" w:ascii="宋体" w:hAnsi="宋体" w:cs="宋体"/>
                <w:color w:val="000000"/>
                <w:szCs w:val="21"/>
                <w:highlight w:val="none"/>
                <w:lang w:val="en-US" w:eastAsia="zh-CN"/>
              </w:rPr>
              <w:t>农村居民人均可支配收入增长率</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w:t>
            </w: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8.3</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8.3</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3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质量</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eastAsia="宋体"/>
                <w:color w:val="000000"/>
                <w:highlight w:val="none"/>
                <w:lang w:eastAsia="zh-CN"/>
              </w:rPr>
            </w:pPr>
            <w:r>
              <w:rPr>
                <w:rFonts w:hint="eastAsia" w:ascii="宋体" w:hAnsi="宋体" w:cs="宋体"/>
                <w:color w:val="000000"/>
                <w:szCs w:val="21"/>
                <w:highlight w:val="none"/>
                <w:lang w:val="en-US" w:eastAsia="zh-CN"/>
              </w:rPr>
              <w:t>正常运转率</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w:t>
            </w: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8.3</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8.3</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eastAsia="宋体"/>
                <w:color w:val="000000"/>
                <w:highlight w:val="none"/>
                <w:lang w:eastAsia="zh-CN"/>
              </w:rPr>
            </w:pPr>
            <w:r>
              <w:rPr>
                <w:rFonts w:hint="eastAsia" w:ascii="宋体" w:hAnsi="宋体" w:cs="宋体"/>
                <w:color w:val="000000"/>
                <w:szCs w:val="21"/>
                <w:highlight w:val="none"/>
                <w:lang w:val="en-US" w:eastAsia="zh-CN"/>
              </w:rPr>
              <w:t>正常运转率</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w:t>
            </w: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时效</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保障及时率</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w:t>
            </w: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8.3</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8.3</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按标准保障率</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w:t>
            </w: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8.3</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8.3</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成本</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22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lang w:bidi="ar"/>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3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color w:val="000000"/>
                <w:highlight w:val="none"/>
              </w:rPr>
            </w:pPr>
            <w:r>
              <w:rPr>
                <w:rFonts w:hint="eastAsia"/>
                <w:color w:val="000000"/>
                <w:highlight w:val="none"/>
              </w:rPr>
              <w:t>经济效益指标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5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4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7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社会效益指标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全部或基本达成预期指标100%-80%（含）</w:t>
            </w: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13.4</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13.4</w:t>
            </w:r>
          </w:p>
        </w:tc>
      </w:tr>
      <w:tr>
        <w:tblPrEx>
          <w:tblCellMar>
            <w:top w:w="0" w:type="dxa"/>
            <w:left w:w="0" w:type="dxa"/>
            <w:bottom w:w="0" w:type="dxa"/>
            <w:right w:w="0" w:type="dxa"/>
          </w:tblCellMar>
        </w:tblPrEx>
        <w:trPr>
          <w:trHeight w:val="48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54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生态效益指标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可持续影响指标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保障水平</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全部或基本达成预期指标100%-80%（含）</w:t>
            </w: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w:t>
            </w: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bidi="ar"/>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82"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满意度指标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服务对象满意度指标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机关事业单位干部群众满意度</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w:t>
            </w: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95</w:t>
            </w: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w:t>
            </w:r>
          </w:p>
        </w:tc>
      </w:tr>
      <w:tr>
        <w:tblPrEx>
          <w:tblCellMar>
            <w:top w:w="0" w:type="dxa"/>
            <w:left w:w="0" w:type="dxa"/>
            <w:bottom w:w="0" w:type="dxa"/>
            <w:right w:w="0" w:type="dxa"/>
          </w:tblCellMar>
        </w:tblPrEx>
        <w:trPr>
          <w:trHeight w:val="338"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03"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社会公众满意度指标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68"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bidi="ar"/>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09" w:hRule="atLeast"/>
          <w:jc w:val="center"/>
        </w:trPr>
        <w:tc>
          <w:tcPr>
            <w:tcW w:w="5048"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合计</w:t>
            </w:r>
          </w:p>
        </w:tc>
        <w:tc>
          <w:tcPr>
            <w:tcW w:w="3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98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评价得分</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98.99</w:t>
            </w:r>
          </w:p>
        </w:tc>
      </w:tr>
      <w:tr>
        <w:tblPrEx>
          <w:tblCellMar>
            <w:top w:w="0" w:type="dxa"/>
            <w:left w:w="0" w:type="dxa"/>
            <w:bottom w:w="0" w:type="dxa"/>
            <w:right w:w="0" w:type="dxa"/>
          </w:tblCellMar>
        </w:tblPrEx>
        <w:trPr>
          <w:trHeight w:val="652" w:hRule="atLeast"/>
          <w:jc w:val="center"/>
        </w:trPr>
        <w:tc>
          <w:tcPr>
            <w:tcW w:w="103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说明</w:t>
            </w:r>
          </w:p>
        </w:tc>
        <w:tc>
          <w:tcPr>
            <w:tcW w:w="7785"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highlight w:val="none"/>
              </w:rPr>
            </w:pPr>
            <w:r>
              <w:rPr>
                <w:rFonts w:hint="eastAsia"/>
                <w:color w:val="000000"/>
                <w:highlight w:val="none"/>
              </w:rPr>
              <w:t>请在此处简要说明各级审计和财政监督检查中发现的问题及其所涉及的金额，如没有请填无。</w:t>
            </w:r>
          </w:p>
        </w:tc>
      </w:tr>
    </w:tbl>
    <w:p>
      <w:pPr>
        <w:widowControl/>
        <w:jc w:val="left"/>
        <w:textAlignment w:val="center"/>
        <w:rPr>
          <w:rFonts w:hint="eastAsia" w:ascii="宋体" w:hAnsi="宋体" w:cs="宋体"/>
          <w:b/>
          <w:color w:val="000000"/>
          <w:kern w:val="0"/>
          <w:sz w:val="18"/>
          <w:szCs w:val="18"/>
          <w:highlight w:val="none"/>
          <w:lang w:bidi="ar"/>
        </w:rPr>
      </w:pPr>
      <w:r>
        <w:rPr>
          <w:rFonts w:hint="eastAsia" w:ascii="宋体" w:hAnsi="宋体" w:cs="宋体"/>
          <w:color w:val="000000"/>
          <w:kern w:val="0"/>
          <w:sz w:val="18"/>
          <w:szCs w:val="18"/>
          <w:highlight w:val="none"/>
          <w:lang w:bidi="ar"/>
        </w:rPr>
        <w:t xml:space="preserve">  注：预算金额以万元为单位,保留两位小数。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w:t>
      </w:r>
      <w:r>
        <w:rPr>
          <w:rFonts w:hint="eastAsia" w:ascii="宋体" w:hAnsi="宋体" w:cs="宋体"/>
          <w:b/>
          <w:color w:val="000000"/>
          <w:kern w:val="0"/>
          <w:sz w:val="18"/>
          <w:szCs w:val="18"/>
          <w:highlight w:val="none"/>
          <w:lang w:bidi="ar"/>
        </w:rPr>
        <w:t xml:space="preserve"> </w:t>
      </w: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rPr>
          <w:rFonts w:hint="eastAsia" w:ascii="宋体" w:hAnsi="宋体" w:cs="宋体"/>
          <w:color w:val="000000"/>
          <w:kern w:val="0"/>
          <w:sz w:val="18"/>
          <w:szCs w:val="18"/>
          <w:highlight w:val="none"/>
          <w:lang w:bidi="ar"/>
        </w:rPr>
      </w:pPr>
    </w:p>
    <w:p>
      <w:pPr>
        <w:spacing w:line="584" w:lineRule="exact"/>
        <w:jc w:val="center"/>
        <w:rPr>
          <w:rFonts w:hint="eastAsia" w:ascii="宋体" w:hAnsi="宋体" w:cs="宋体"/>
          <w:b/>
          <w:bCs/>
          <w:color w:val="000000"/>
          <w:sz w:val="44"/>
          <w:szCs w:val="44"/>
          <w:highlight w:val="none"/>
        </w:rPr>
      </w:pPr>
    </w:p>
    <w:p>
      <w:pPr>
        <w:spacing w:line="584" w:lineRule="exact"/>
        <w:jc w:val="center"/>
        <w:rPr>
          <w:rFonts w:hint="eastAsia" w:ascii="宋体" w:hAnsi="宋体" w:cs="宋体"/>
          <w:b/>
          <w:bCs/>
          <w:color w:val="000000"/>
          <w:sz w:val="44"/>
          <w:szCs w:val="44"/>
          <w:highlight w:val="none"/>
        </w:rPr>
      </w:pPr>
    </w:p>
    <w:p>
      <w:pPr>
        <w:spacing w:line="584" w:lineRule="exact"/>
        <w:jc w:val="center"/>
        <w:rPr>
          <w:rFonts w:hint="eastAsia" w:ascii="宋体" w:hAnsi="宋体" w:cs="宋体"/>
          <w:b/>
          <w:bCs/>
          <w:color w:val="000000"/>
          <w:sz w:val="44"/>
          <w:szCs w:val="44"/>
          <w:highlight w:val="none"/>
        </w:rPr>
      </w:pPr>
    </w:p>
    <w:p>
      <w:pPr>
        <w:spacing w:line="584" w:lineRule="exact"/>
        <w:jc w:val="center"/>
        <w:rPr>
          <w:rFonts w:hint="eastAsia" w:ascii="宋体" w:hAnsi="宋体" w:cs="宋体"/>
          <w:b/>
          <w:bCs/>
          <w:color w:val="000000"/>
          <w:sz w:val="44"/>
          <w:szCs w:val="44"/>
          <w:highlight w:val="none"/>
        </w:rPr>
      </w:pPr>
    </w:p>
    <w:p>
      <w:pPr>
        <w:spacing w:line="584" w:lineRule="exact"/>
        <w:jc w:val="center"/>
        <w:rPr>
          <w:rFonts w:hint="eastAsia" w:ascii="宋体" w:hAnsi="宋体" w:cs="宋体"/>
          <w:b/>
          <w:bCs/>
          <w:color w:val="000000"/>
          <w:sz w:val="44"/>
          <w:szCs w:val="44"/>
          <w:highlight w:val="none"/>
        </w:rPr>
      </w:pPr>
    </w:p>
    <w:p>
      <w:pPr>
        <w:spacing w:line="584" w:lineRule="exact"/>
        <w:jc w:val="center"/>
        <w:rPr>
          <w:rFonts w:hint="eastAsia" w:ascii="宋体" w:hAnsi="宋体" w:cs="宋体"/>
          <w:b/>
          <w:bCs/>
          <w:color w:val="000000"/>
          <w:sz w:val="44"/>
          <w:szCs w:val="44"/>
          <w:highlight w:val="none"/>
        </w:rPr>
      </w:pPr>
    </w:p>
    <w:p>
      <w:pPr>
        <w:spacing w:line="584" w:lineRule="exact"/>
        <w:jc w:val="center"/>
        <w:rPr>
          <w:rFonts w:hint="eastAsia" w:ascii="宋体" w:hAnsi="宋体" w:cs="宋体"/>
          <w:b/>
          <w:bCs/>
          <w:color w:val="000000"/>
          <w:sz w:val="44"/>
          <w:szCs w:val="44"/>
          <w:highlight w:val="none"/>
        </w:rPr>
      </w:pPr>
    </w:p>
    <w:p>
      <w:pPr>
        <w:spacing w:line="584" w:lineRule="exact"/>
        <w:jc w:val="center"/>
        <w:rPr>
          <w:rFonts w:hint="eastAsia" w:ascii="宋体" w:hAnsi="宋体" w:cs="宋体"/>
          <w:b/>
          <w:bCs/>
          <w:color w:val="000000"/>
          <w:sz w:val="44"/>
          <w:szCs w:val="44"/>
          <w:highlight w:val="none"/>
        </w:rPr>
      </w:pPr>
    </w:p>
    <w:p>
      <w:pPr>
        <w:spacing w:line="584" w:lineRule="exact"/>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填报说明</w:t>
      </w:r>
    </w:p>
    <w:p>
      <w:pPr>
        <w:spacing w:line="600" w:lineRule="exact"/>
        <w:jc w:val="center"/>
        <w:rPr>
          <w:rFonts w:hint="eastAsia" w:ascii="黑体" w:hAnsi="黑体" w:eastAsia="黑体" w:cs="黑体"/>
          <w:color w:val="000000"/>
          <w:sz w:val="32"/>
          <w:szCs w:val="32"/>
          <w:highlight w:val="none"/>
        </w:rPr>
      </w:pPr>
    </w:p>
    <w:p>
      <w:pPr>
        <w:spacing w:line="600" w:lineRule="exac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一、指标解释</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“年度绩效指标”将年度绩效目标细化、量化形成绩效指标，填列信息包含一级指标、二级指标、三级指标、年度指标值、全年完成值、权重、指标解释、评分标准及指标得分。其中，</w:t>
      </w:r>
      <w:r>
        <w:rPr>
          <w:rFonts w:hint="eastAsia" w:ascii="仿宋_GB2312" w:hAnsi="Arial" w:eastAsia="仿宋_GB2312" w:cs="Arial"/>
          <w:kern w:val="0"/>
          <w:sz w:val="32"/>
          <w:szCs w:val="32"/>
          <w:highlight w:val="none"/>
        </w:rPr>
        <w:t>量化“指标值”的填报用数值描述，</w:t>
      </w:r>
      <w:r>
        <w:rPr>
          <w:rFonts w:hint="eastAsia" w:ascii="仿宋_GB2312" w:hAnsi="仿宋_GB2312" w:eastAsia="仿宋_GB2312" w:cs="仿宋_GB2312"/>
          <w:sz w:val="32"/>
          <w:szCs w:val="32"/>
          <w:highlight w:val="none"/>
        </w:rPr>
        <w:t>在“运算符号”栏</w:t>
      </w:r>
      <w:r>
        <w:rPr>
          <w:rFonts w:hint="eastAsia" w:ascii="仿宋_GB2312" w:hAnsi="仿宋_GB2312" w:eastAsia="仿宋_GB2312" w:cs="仿宋_GB2312"/>
          <w:color w:val="000000"/>
          <w:sz w:val="32"/>
          <w:szCs w:val="32"/>
          <w:highlight w:val="none"/>
        </w:rPr>
        <w:t>可根据实际情况选取“=”“≤”“≥”“＜”“＞”等运算符号，</w:t>
      </w:r>
      <w:r>
        <w:rPr>
          <w:rFonts w:hint="eastAsia" w:ascii="仿宋_GB2312" w:hAnsi="Arial" w:eastAsia="仿宋_GB2312" w:cs="Arial"/>
          <w:kern w:val="0"/>
          <w:sz w:val="32"/>
          <w:szCs w:val="32"/>
          <w:highlight w:val="none"/>
        </w:rPr>
        <w:t>在</w:t>
      </w:r>
      <w:r>
        <w:rPr>
          <w:rFonts w:hint="eastAsia" w:ascii="仿宋_GB2312" w:hAnsi="仿宋_GB2312" w:eastAsia="仿宋_GB2312" w:cs="仿宋_GB2312"/>
          <w:sz w:val="32"/>
          <w:szCs w:val="32"/>
          <w:highlight w:val="none"/>
        </w:rPr>
        <w:t>“内容”栏填列量化数据，在“度量单位”栏填列数据单位</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rPr>
        <w:t>不可量化的</w:t>
      </w:r>
      <w:r>
        <w:rPr>
          <w:rFonts w:hint="eastAsia" w:ascii="仿宋_GB2312" w:hAnsi="仿宋_GB2312" w:eastAsia="仿宋_GB2312" w:cs="仿宋_GB2312"/>
          <w:color w:val="000000"/>
          <w:sz w:val="32"/>
          <w:szCs w:val="32"/>
          <w:highlight w:val="none"/>
        </w:rPr>
        <w:t>“指标值”在</w:t>
      </w:r>
      <w:r>
        <w:rPr>
          <w:rFonts w:hint="eastAsia" w:ascii="仿宋_GB2312" w:hAnsi="仿宋_GB2312" w:eastAsia="仿宋_GB2312" w:cs="仿宋_GB2312"/>
          <w:sz w:val="32"/>
          <w:szCs w:val="32"/>
          <w:highlight w:val="none"/>
        </w:rPr>
        <w:t>“内容”栏进行定性描述，不必选取运算符号。</w:t>
      </w:r>
      <w:r>
        <w:rPr>
          <w:rFonts w:hint="eastAsia" w:ascii="仿宋_GB2312" w:hAnsi="仿宋_GB2312" w:eastAsia="仿宋_GB2312" w:cs="仿宋_GB2312"/>
          <w:color w:val="000000"/>
          <w:sz w:val="32"/>
          <w:szCs w:val="32"/>
          <w:highlight w:val="none"/>
        </w:rPr>
        <w:t>具体指标内容主要包括</w:t>
      </w:r>
      <w:r>
        <w:rPr>
          <w:rFonts w:hint="eastAsia" w:ascii="仿宋_GB2312" w:hAnsi="仿宋_GB2312" w:eastAsia="仿宋_GB2312" w:cs="仿宋_GB2312"/>
          <w:sz w:val="32"/>
          <w:szCs w:val="32"/>
          <w:highlight w:val="none"/>
        </w:rPr>
        <w:t>决策指标、管理指标、产出指标、效益指标、满意度指标等一级指标</w:t>
      </w:r>
      <w:r>
        <w:rPr>
          <w:rFonts w:hint="eastAsia" w:ascii="仿宋_GB2312" w:hAnsi="仿宋_GB2312" w:eastAsia="仿宋_GB2312" w:cs="仿宋_GB2312"/>
          <w:color w:val="000000"/>
          <w:sz w:val="32"/>
          <w:szCs w:val="32"/>
          <w:highlight w:val="none"/>
        </w:rPr>
        <w:t>。</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1.决策指标可细化为项目立项、绩效目标、资金安排等二级指标。</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（1）项目立项主要评价立项依据充分性、立项程序规范性等。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①立项依据充分性主要评价项目立项是否符合法律法规、相关政策、发展规划以及部门职责，用以反映和考核项目立项依据情况。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②立项程序规范性主要评价项目的申请、设立过程是否符合相关要求，用以反映和考核项目立项的规范情况。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（2）绩效目标主要评价绩效目标合理性、绩效指标明确性等。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①绩效目标合理性主要评价项目所设定的绩效目标是否符合实际、切实可行，用以反映和考核项目绩效目标与项目实施的相符情况。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②绩效指标明确性主要评价依据绩效目标设定的绩效指标是否清晰细化可衡量，用以反映和考核项目绩效目标的明细化情况。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（3）资金安排主要评价预算编制合理性、资金分配合理性等。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①预算编制合理性主要评价项目预算编制是否经过科学论证、是否有明确标准，资金额度与年度目标是否相适应等，用以反映和考核项目预算编制的科学性、合理性情况。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②资金分配合理性主要评价项目预算资金分配是否有测算依据，与补助单位或地方实际是否相适应等，用以反映和考核项目预算资金分配的科学性、合理性情况。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2.管理指标可细化为业务管理和预算管理等二级指标。</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（1）业务管理主要评价管理制度健全性、制度执行有效性、项目质量可控性等。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①管理制度健全性主要评价项目实施单位的业务管理制度是否健全，用以反映和考核业务管理制度对项目顺利实施的保障情况。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②制度执行有效性主要评价项目实施是否符合相关业务管理规定，用以反映和考核业务管理制度的有效执行情况。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③项目质量可控性主要评价项目实施单位是否为达到项目质量要求而采取了必需的措施,用以反映和考核项目实施单位对项目质量的控制情况。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（2）预算管理主要评价资金到位率、到位及时率、预算执行率等。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①资金到位率主要评价实际到位资金与计划投入资金的比率，用以反映和考核资金落实情况对项目实施的总体保障程度。</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②到位及时率主要评价及时到位资金与应到位资金的比率，用以反映和考核项目资金落实的及时性程度。</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③预算执行率主要评价项目预算资金是否按照计划执行，用以反映和考核项目预算执行情况。</w:t>
      </w:r>
    </w:p>
    <w:p>
      <w:pPr>
        <w:ind w:firstLine="640" w:firstLineChars="200"/>
        <w:rPr>
          <w:rFonts w:ascii="仿宋_GB2312" w:hAnsi="Arial" w:eastAsia="仿宋_GB2312" w:cs="Arial"/>
          <w:kern w:val="0"/>
          <w:sz w:val="32"/>
          <w:szCs w:val="32"/>
          <w:highlight w:val="none"/>
        </w:rPr>
      </w:pPr>
      <w:r>
        <w:rPr>
          <w:rFonts w:hint="eastAsia" w:ascii="仿宋_GB2312" w:hAnsi="仿宋_GB2312" w:eastAsia="仿宋_GB2312" w:cs="仿宋_GB2312"/>
          <w:color w:val="000000"/>
          <w:sz w:val="32"/>
          <w:szCs w:val="32"/>
          <w:highlight w:val="none"/>
        </w:rPr>
        <w:t>3．</w:t>
      </w:r>
      <w:r>
        <w:rPr>
          <w:rFonts w:hint="eastAsia" w:ascii="仿宋_GB2312" w:hAnsi="Arial" w:eastAsia="仿宋_GB2312" w:cs="Arial"/>
          <w:kern w:val="0"/>
          <w:sz w:val="32"/>
          <w:szCs w:val="32"/>
          <w:highlight w:val="none"/>
        </w:rPr>
        <w:t>产出指标可细化为数量指标、质量指标、时效指标、成本指标等二级指标。</w:t>
      </w:r>
    </w:p>
    <w:p>
      <w:pPr>
        <w:widowControl/>
        <w:ind w:firstLine="640" w:firstLineChars="200"/>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（1）数量指标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预期提供的公共产品和服务数量。</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（2）质量指标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预期提供的公共产品和服务达到的标准、水平和效果。</w:t>
      </w:r>
    </w:p>
    <w:p>
      <w:pPr>
        <w:widowControl/>
        <w:ind w:firstLine="640" w:firstLineChars="200"/>
        <w:jc w:val="left"/>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（3）时效指标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预期提供公共产品和服务的及时程度和效率情况。</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（4）成本指标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预期提供公共产品和服务所需成本的控制情况。</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4.效益指标可细化为经济效益指标、社会效益指标、生态效益指标、可持续影响指标等二级指标。</w:t>
      </w:r>
    </w:p>
    <w:p>
      <w:pPr>
        <w:widowControl/>
        <w:ind w:firstLine="640" w:firstLineChars="200"/>
        <w:jc w:val="left"/>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（1）经济效益指标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相关产出对经济发展带来的影响和效果。</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（2）社会效益指标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相关产出对社会发展带来的影响和效果。</w:t>
      </w:r>
    </w:p>
    <w:p>
      <w:pPr>
        <w:widowControl/>
        <w:ind w:firstLine="640" w:firstLineChars="200"/>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（3）生态效益指标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相关产出对生态环境带来的影响和效果。</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（4）可持续影响指标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相关产出带来影响的可持续期限。</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5.满意度指标可细化为服务对象满意度指标、社会公众满意度指标等二级指标。</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（1）服务对象满意度指标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服务对象或受益人对相关产出及其影响的认可程度。</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（2）社会公众满意度指标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社会公众对相关产出及其影响的认可程度。</w:t>
      </w:r>
    </w:p>
    <w:p>
      <w:pPr>
        <w:spacing w:line="600" w:lineRule="exac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二、分值设置</w:t>
      </w:r>
    </w:p>
    <w:p>
      <w:pPr>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重点绩效评价实行百分制。各评价方可依据国家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省</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相关文件要求，根据评价指标的重要程度自主确定各项指标的权重分值。</w:t>
      </w:r>
    </w:p>
    <w:p>
      <w:pPr>
        <w:rPr>
          <w:rFonts w:hint="eastAsia" w:ascii="仿宋_GB2312" w:hAnsi="仿宋_GB2312" w:eastAsia="仿宋_GB2312" w:cs="仿宋_GB2312"/>
          <w:color w:val="000000"/>
          <w:sz w:val="32"/>
          <w:szCs w:val="32"/>
          <w:highlight w:val="none"/>
        </w:rPr>
      </w:pPr>
    </w:p>
    <w:p>
      <w:pPr>
        <w:rPr>
          <w:rFonts w:hint="eastAsia" w:ascii="仿宋_GB2312" w:hAnsi="仿宋_GB2312" w:eastAsia="仿宋_GB2312" w:cs="仿宋_GB2312"/>
          <w:color w:val="000000"/>
          <w:sz w:val="32"/>
          <w:szCs w:val="32"/>
          <w:highlight w:val="none"/>
        </w:rPr>
      </w:pPr>
    </w:p>
    <w:p>
      <w:pPr>
        <w:ind w:firstLine="640" w:firstLineChars="200"/>
        <w:jc w:val="left"/>
        <w:rPr>
          <w:rFonts w:hint="eastAsia" w:ascii="仿宋_GB2312" w:hAnsi="仿宋_GB2312" w:eastAsia="仿宋_GB2312" w:cs="仿宋_GB2312"/>
          <w:color w:val="000000"/>
          <w:kern w:val="0"/>
          <w:sz w:val="32"/>
          <w:highlight w:val="none"/>
          <w:u w:val="none" w:color="000000"/>
        </w:rPr>
      </w:pPr>
    </w:p>
    <w:p/>
    <w:sectPr>
      <w:footerReference r:id="rId3" w:type="default"/>
      <w:footerReference r:id="rId4" w:type="even"/>
      <w:pgSz w:w="11906" w:h="16838"/>
      <w:pgMar w:top="1701" w:right="1417" w:bottom="1701" w:left="1417"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800" cy="262890"/>
                      </a:xfrm>
                      <a:prstGeom prst="rect">
                        <a:avLst/>
                      </a:prstGeom>
                      <a:noFill/>
                      <a:ln>
                        <a:noFill/>
                      </a:ln>
                    </wps:spPr>
                    <wps:txbx>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24pt;mso-position-horizontal:center;mso-position-horizontal-relative:margin;mso-wrap-style:none;z-index:251659264;mso-width-relative:page;mso-height-relative:page;" filled="f" stroked="f" coordsize="21600,21600" o:gfxdata="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v2XI9AAAAADAQAADwAAAAAAAAABACAAAAAiAAAAZHJzL2Rvd25y&#10;ZXYueG1sUEsBAhQAFAAAAAgAh07iQAH6WcrNAQAAlwMAAA4AAAAAAAAAAQAgAAAAHwEAAGRycy9l&#10;Mm9Eb2MueG1sUEsFBgAAAAAGAAYAWQEAAF4FAAAAAA==&#10;">
              <v:fill on="f" focussize="0,0"/>
              <v:stroke on="f"/>
              <v:imagedata o:title=""/>
              <o:lock v:ext="edit" aspectratio="f"/>
              <v:textbox inset="0mm,0mm,0mm,0mm" style="mso-fit-shape-to-text:t;">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仿宋_GB2312" w:eastAsia="仿宋_GB2312"/>
        <w:sz w:val="28"/>
        <w:szCs w:val="28"/>
      </w:rPr>
    </w:pPr>
    <w:r>
      <w:rPr>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8"/>
        <w:rFonts w:ascii="仿宋_GB2312" w:eastAsia="仿宋_GB2312"/>
        <w:sz w:val="28"/>
        <w:szCs w:val="28"/>
      </w:rPr>
      <w:t>- 2 -</w:t>
    </w:r>
    <w:r>
      <w:rPr>
        <w:rFonts w:hint="eastAsia" w:ascii="仿宋_GB2312" w:eastAsia="仿宋_GB2312"/>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ZTlmYTVmNDA2ZDM3ZGI5NWMyNTI3YjVjY2E4MjYifQ=="/>
  </w:docVars>
  <w:rsids>
    <w:rsidRoot w:val="00172A27"/>
    <w:rsid w:val="0DE95786"/>
    <w:rsid w:val="12D44335"/>
    <w:rsid w:val="1383213E"/>
    <w:rsid w:val="1D751DF0"/>
    <w:rsid w:val="1DFB6F31"/>
    <w:rsid w:val="23FE4B2E"/>
    <w:rsid w:val="34B02D7F"/>
    <w:rsid w:val="37E474A7"/>
    <w:rsid w:val="478F41AD"/>
    <w:rsid w:val="48EC73A4"/>
    <w:rsid w:val="60D22499"/>
    <w:rsid w:val="703500B1"/>
    <w:rsid w:val="756B786D"/>
    <w:rsid w:val="7BFA2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645"/>
    </w:pPr>
    <w:rPr>
      <w:rFonts w:ascii="仿宋_GB2312" w:eastAsia="仿宋_GB2312"/>
      <w:kern w:val="2"/>
      <w:sz w:val="32"/>
      <w:szCs w:val="32"/>
      <w:lang w:val="en-US" w:eastAsia="zh-CN" w:bidi="ar-SA"/>
    </w:rPr>
  </w:style>
  <w:style w:type="paragraph" w:styleId="3">
    <w:name w:val="footer"/>
    <w:basedOn w:val="1"/>
    <w:autoRedefine/>
    <w:qFormat/>
    <w:uiPriority w:val="0"/>
    <w:pPr>
      <w:tabs>
        <w:tab w:val="center" w:pos="4153"/>
        <w:tab w:val="right" w:pos="8306"/>
      </w:tabs>
      <w:snapToGrid w:val="0"/>
      <w:jc w:val="left"/>
    </w:pPr>
    <w:rPr>
      <w:rFonts w:eastAsia="宋体"/>
      <w:kern w:val="2"/>
      <w:sz w:val="18"/>
      <w:lang w:val="en-US" w:eastAsia="zh-CN" w:bidi="ar-SA"/>
    </w:rPr>
  </w:style>
  <w:style w:type="paragraph" w:styleId="4">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autoRedefine/>
    <w:qFormat/>
    <w:uiPriority w:val="0"/>
    <w:rPr>
      <w:b/>
      <w:bCs/>
    </w:rPr>
  </w:style>
  <w:style w:type="character" w:styleId="8">
    <w:name w:val="page number"/>
    <w:basedOn w:val="6"/>
    <w:autoRedefine/>
    <w:qFormat/>
    <w:uiPriority w:val="0"/>
  </w:style>
  <w:style w:type="character" w:styleId="9">
    <w:name w:val="annotation reference"/>
    <w:basedOn w:val="6"/>
    <w:autoRedefine/>
    <w:qFormat/>
    <w:uiPriority w:val="0"/>
    <w:rPr>
      <w:sz w:val="21"/>
      <w:szCs w:val="21"/>
    </w:rPr>
  </w:style>
  <w:style w:type="paragraph" w:customStyle="1" w:styleId="10">
    <w:name w:val="正文 New New New New"/>
    <w:autoRedefine/>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
    <w:name w:val="正文 New New New"/>
    <w:autoRedefine/>
    <w:qFormat/>
    <w:uiPriority w:val="0"/>
    <w:pPr>
      <w:wordWrap w:val="0"/>
      <w:snapToGrid w:val="0"/>
      <w:spacing w:line="580" w:lineRule="atLeast"/>
      <w:ind w:firstLine="640"/>
      <w:jc w:val="both"/>
    </w:pPr>
    <w:rPr>
      <w:rFonts w:ascii="仿宋_GB2312" w:hAnsi="Arial" w:eastAsia="仿宋_GB2312" w:cs="Arial"/>
      <w:sz w:val="28"/>
      <w:szCs w:val="28"/>
      <w:lang w:val="en-US" w:eastAsia="zh-CN" w:bidi="ar-SA"/>
    </w:rPr>
  </w:style>
  <w:style w:type="character" w:customStyle="1" w:styleId="12">
    <w:name w:val="font61"/>
    <w:basedOn w:val="6"/>
    <w:autoRedefine/>
    <w:qFormat/>
    <w:uiPriority w:val="0"/>
    <w:rPr>
      <w:rFonts w:hint="eastAsia" w:ascii="宋体" w:hAnsi="宋体" w:eastAsia="宋体" w:cs="宋体"/>
      <w:color w:val="000000"/>
      <w:sz w:val="14"/>
      <w:szCs w:val="14"/>
      <w:u w:val="none"/>
    </w:rPr>
  </w:style>
  <w:style w:type="character" w:customStyle="1" w:styleId="13">
    <w:name w:val="font111"/>
    <w:basedOn w:val="6"/>
    <w:autoRedefine/>
    <w:qFormat/>
    <w:uiPriority w:val="0"/>
    <w:rPr>
      <w:rFonts w:hint="eastAsia" w:ascii="宋体" w:hAnsi="宋体" w:eastAsia="宋体" w:cs="宋体"/>
      <w:color w:val="000000"/>
      <w:sz w:val="32"/>
      <w:szCs w:val="32"/>
      <w:u w:val="none"/>
    </w:rPr>
  </w:style>
  <w:style w:type="character" w:customStyle="1" w:styleId="14">
    <w:name w:val="font121"/>
    <w:basedOn w:val="6"/>
    <w:autoRedefine/>
    <w:qFormat/>
    <w:uiPriority w:val="0"/>
    <w:rPr>
      <w:rFonts w:hint="eastAsia" w:ascii="宋体" w:hAnsi="宋体" w:eastAsia="宋体" w:cs="宋体"/>
      <w:color w:val="000000"/>
      <w:sz w:val="24"/>
      <w:szCs w:val="24"/>
      <w:u w:val="none"/>
    </w:rPr>
  </w:style>
  <w:style w:type="character" w:customStyle="1" w:styleId="15">
    <w:name w:val="font11"/>
    <w:basedOn w:val="6"/>
    <w:autoRedefine/>
    <w:qFormat/>
    <w:uiPriority w:val="0"/>
    <w:rPr>
      <w:rFonts w:hint="eastAsia" w:ascii="宋体" w:hAnsi="宋体" w:eastAsia="宋体" w:cs="宋体"/>
      <w:b/>
      <w:color w:val="000000"/>
      <w:sz w:val="32"/>
      <w:szCs w:val="32"/>
      <w:u w:val="none"/>
    </w:rPr>
  </w:style>
  <w:style w:type="character" w:customStyle="1" w:styleId="16">
    <w:name w:val="font31"/>
    <w:basedOn w:val="6"/>
    <w:autoRedefine/>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Pages>
  <Words>2406</Words>
  <Characters>2525</Characters>
  <Lines>0</Lines>
  <Paragraphs>0</Paragraphs>
  <TotalTime>12</TotalTime>
  <ScaleCrop>false</ScaleCrop>
  <LinksUpToDate>false</LinksUpToDate>
  <CharactersWithSpaces>2597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◤Scorpio☜☞</dc:creator>
  <cp:lastModifiedBy>齐女侠</cp:lastModifiedBy>
  <dcterms:modified xsi:type="dcterms:W3CDTF">2024-06-19T03:21:39Z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916FF947459C4B2A988A38AE68C6E078</vt:lpwstr>
  </property>
</Properties>
</file>