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辽宁省盘锦市兴隆台区审计局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辽宁省盘锦市兴隆台区审计局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辽宁省盘锦市兴隆台区审计局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辽宁省盘锦市兴隆台区审计局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辽宁省盘锦市兴隆台区审计局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辽宁省盘锦市兴隆台区审计局概况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（一）主管全区审计工作。负责对区级财政收支和法律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区有关重大政策措施落实情况进行跟踪审计。对审计、专项审计调查和核查社会审计机构相关审计报告的结果承担责任，并负有督促被审计单位整改的责任。</w:t>
        <w:br/>
        <w:t xml:space="preserve">    （二）贯彻执行审计地方性法规和政府规章，负责监督并执行审计规章、国家审计准则和指南。制定并组织实施全区专业领域审计工作规划。对直接审计、调查和核查的事项依法进行审计评价，作出审计决定或提出审计建议。</w:t>
        <w:br/>
        <w:t xml:space="preserve">    （三）向区委审计委员会提出年度区级预算执行和其他财政收支情况审计报告。向区长提出年度区级预算执行和其他财政收支情况的审计结果报告。受区政府委托向区人大常委会提出区级预算执行和其他财政收支情况的审计工作报告、审计查出问题整改情况报告。向区委和区政府报告对其他事项的审计和专项审计调查情况及结果。依法向社会公布审计结果。向区委和区政府有关部门、街道办事处通报审计情况和审计结果。</w:t>
        <w:br/>
        <w:t xml:space="preserve">    （四）直接审计下列事项，出具审计报告，在法定职权范围内作出审计决定，包括国家、省委省政府，市委市政府和区委、区政府有关重大政策措施贯彻落实情况；区级预算执行情况和其他财政收支，区委和区政府各部门（含直属单位）预算执行情况、决算草案和其他财政收支，区级财政转移支付资金；使用区级财政资金的事业单位和社会团体的财务收支；自然资源管理、污染防治和生态保护与修复情况；区属国有企业和金融机构、区政府规定的区国有资本占控股或主导地位的企业和金融机构境内外资产、负债和损益，区驻外非经营性机构的财务收支；有关社会保障基金、社会捐赠资金和其他基金、资金的财务收支；根据审计署、审计厅授权审计国际组织和外国政府援助、贷款项目；法律法规规定的其他事项。</w:t>
        <w:br/>
        <w:t xml:space="preserve">    （五）按规定对乡科级党政主要领导干部及其他单位主要负责人实施经济责任审计和自然资源资产离任审计。</w:t>
        <w:br/>
        <w:t xml:space="preserve">    （六）组织实施对国家、省、市和区财经法律法规、规章、政策和宏观调控措施执行情况、财政预算管理及国有资产管理使用等与国家、省、市和区财政收支有关的特定事项进行专项审计调查。</w:t>
        <w:br/>
        <w:t xml:space="preserve">    （七）依法检查审计决定执行情况，督促整改审计查出的问题，依法办理被审计单位对审计决定提请行政复议、行政诉讼或市、区政府裁决中的有关事项，协助配合有关部门查处相关重大案件。</w:t>
        <w:br/>
        <w:t xml:space="preserve">    （八）指导和监督内部审计工作，核查社会审计机构对依法属于审计监督对象的单位出具的相关审计报告。</w:t>
        <w:br/>
        <w:t xml:space="preserve">    （九）组织开展全区审计领域的对外交流与合作，指导和推广信息技术在审计领域的应用。</w:t>
        <w:br/>
        <w:t xml:space="preserve">    （十）完成区委、区政府交办的其他任务。</w:t>
        <w:br/>
        <w:t xml:space="preserve">    （十一）职能转变。进一步完善审计管理体制，加强全区审计工作统筹，明晰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辽宁省盘锦市兴隆台区审计局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盘锦市兴隆台区审计局、盘锦市兴隆台区审计事务服务中心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221.74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221.74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221.74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增加221.74万元，增长0.00%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221.74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174.69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78.78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工资福利支出161.41万元；商品和服务支出11.84万元；对个人和家庭的补助0.71万元；资本性支出0.73万元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47.05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主要包括审计专项业务经费、审计中介费等业务支出。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增加221.74万元，增长0.00%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221.74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174.69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47.05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增加221.74万元，增长0.00%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新成立中心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74.01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80.27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57.38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2023年度一般公共预算财政拨款支出221.74万元。按支出功能分类科目分，包括：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1.一般公共服务支出172.63万元，具体包括：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（1）一般公共服务支出（类）人大事务（款）一般行政管理事务（项）0.00万元,主要是无等支出，完成年初预算的0%，决算数与年初预算数存在差异的主要原因是无。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（2）一般公共服务支出（类）审计事务（款）行政运行（项）58.56万元,主要是审计事务等支出，完成年初预算的100%，决算数与年初预算数存在差异的主要原因是无。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（3）一般公共服务支出（类）审计事务（款）一般行政管理事务（项）47.05万元,主要是审计事务等支出，完成年初预算的100%，决算数与年初预算数存在差异的主要原因是无。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（4）一般公共服务支出（类）审计事务（款）事业运行（项）67.02万元,主要是审计事务等支出，完成年初预算的100%，决算数与年初预算数存在差异的主要原因是无。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（1）社会保障和就业支出（类）行政事业单位养老支出（款）行政单位离退休（项）0.71万元,主要是无等支出，完成年初预算的100%，决算数与年初预算数存在差异的主要原因是无。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（2）社会保障和就业支出（类）行政事业单位养老支出（款）机关事业单位基本养老保险缴费支出（项）15.74万元,主要是养老保险等支出，完成年初预算的100%，决算数与年初预算数存在差异的主要原因是无。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（3）社会保障和就业支出（类）行政事业单位养老支出（款）机关事业单位职业年金缴费支出（项）11.08万元,主要是职业年金等支出，完成年初预算的100%，决算数与年初预算数存在差异的主要原因是无。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（1）卫生健康支出（类）行政事业单位医疗（款）行政单位医疗（项）2.37万元,主要是医疗保险等支出，完成年初预算的100%，决算数与年初预算数存在差异的主要原因是无。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（2）卫生健康支出（类）行政事业单位医疗（款）事业单位医疗（项）3.59万元,主要是公务员补助等支出，完成年初预算的100%，决算数与年初预算数存在差异的主要原因是无。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（3）卫生健康支出（类）行政事业单位医疗（款）公务员医疗补助（项）1.70万元,主要是其他事业单位医疗等支出，完成年初预算的100%，决算数与年初预算数存在差异的主要原因是无。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（4）卫生健康支出（类）行政事业单位医疗（款）其他行政事业单位医疗支出（项）0.24万元,主要是其他医疗等支出，完成年初预算的100%，决算数与年初预算数存在差异的主要原因是无。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（1）住房保障支出（类）住房改革支出（款）住房公积金（项）13.69万元,主要是住房公积金等支出，完成年初预算的100%，决算数与年初预算数存在差异的主要原因是无。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174.69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162.12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12.57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8.41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比上年增加8.41万元，增长0.00%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根据预算绩效管理要求，盘锦市兴隆台区审计事务服务中心组织开展部门（单位）整体绩效自评工作，涉及资金221.74万元，其中财政拨款资金221.74万元，自评得分100分。</w:t>
        <w:br/>
        <w:t xml:space="preserve">    详见附件《部门（单位）整体绩效自评表》。</w:t>
        <w:br/>
        <w:t xml:space="preserve">    2.项目绩效自评情况</w:t>
        <w:br/>
        <w:t xml:space="preserve">    2023年度，盘锦市兴隆台区审计局未开展部门重点评价工作。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221.74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172.63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221.74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221.74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221.74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221.74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221.74</w:t>
            </w:r>
          </w:p>
        </w:tc>
        <w:tc>
          <w:tcPr>
            <w:tcW w:w="1160" w:type="dxa"/>
            <w:tcBorders/>
            <w:vAlign w:val="center"/>
          </w:tcPr>
          <w:p>
            <w:pPr>
              <w:jc w:val="right"/>
            </w:pPr>
            <w:r>
              <w:rPr>
                <w:rFonts w:ascii="宋体" w:eastAsia="宋体" w:hAnsi="宋体" w:cs="宋体"/>
                <w:b/>
                <w:i w:val="0"/>
                <w:color w:val="000000"/>
                <w:sz w:val="14"/>
              </w:rPr>
              <w:t xml:space="preserve">221.74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172.63</w:t>
            </w:r>
          </w:p>
        </w:tc>
        <w:tc>
          <w:tcPr>
            <w:tcW w:w="1160" w:type="dxa"/>
            <w:tcBorders/>
            <w:vAlign w:val="center"/>
          </w:tcPr>
          <w:p>
            <w:pPr>
              <w:jc w:val="right"/>
            </w:pPr>
            <w:r>
              <w:rPr>
                <w:rFonts w:ascii="宋体" w:eastAsia="宋体" w:hAnsi="宋体" w:cs="宋体"/>
                <w:b w:val="0"/>
                <w:i w:val="0"/>
                <w:color w:val="000000"/>
                <w:sz w:val="14"/>
              </w:rPr>
              <w:t xml:space="preserve">172.63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172.63</w:t>
            </w:r>
          </w:p>
        </w:tc>
        <w:tc>
          <w:tcPr>
            <w:tcW w:w="1160" w:type="dxa"/>
            <w:tcBorders/>
            <w:vAlign w:val="center"/>
          </w:tcPr>
          <w:p>
            <w:pPr>
              <w:jc w:val="right"/>
            </w:pPr>
            <w:r>
              <w:rPr>
                <w:rFonts w:ascii="宋体" w:eastAsia="宋体" w:hAnsi="宋体" w:cs="宋体"/>
                <w:b w:val="0"/>
                <w:i w:val="0"/>
                <w:color w:val="000000"/>
                <w:sz w:val="14"/>
              </w:rPr>
              <w:t xml:space="preserve">172.63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58.56</w:t>
            </w:r>
          </w:p>
        </w:tc>
        <w:tc>
          <w:tcPr>
            <w:tcW w:w="1160" w:type="dxa"/>
            <w:tcBorders/>
            <w:vAlign w:val="center"/>
          </w:tcPr>
          <w:p>
            <w:pPr>
              <w:jc w:val="right"/>
            </w:pPr>
            <w:r>
              <w:rPr>
                <w:rFonts w:ascii="宋体" w:eastAsia="宋体" w:hAnsi="宋体" w:cs="宋体"/>
                <w:b w:val="0"/>
                <w:i w:val="0"/>
                <w:color w:val="000000"/>
                <w:sz w:val="14"/>
              </w:rPr>
              <w:t xml:space="preserve">58.56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67.02</w:t>
            </w:r>
          </w:p>
        </w:tc>
        <w:tc>
          <w:tcPr>
            <w:tcW w:w="1160" w:type="dxa"/>
            <w:tcBorders/>
            <w:vAlign w:val="center"/>
          </w:tcPr>
          <w:p>
            <w:pPr>
              <w:jc w:val="right"/>
            </w:pPr>
            <w:r>
              <w:rPr>
                <w:rFonts w:ascii="宋体" w:eastAsia="宋体" w:hAnsi="宋体" w:cs="宋体"/>
                <w:b w:val="0"/>
                <w:i w:val="0"/>
                <w:color w:val="000000"/>
                <w:sz w:val="14"/>
              </w:rPr>
              <w:t xml:space="preserve">67.02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27.53</w:t>
            </w:r>
          </w:p>
        </w:tc>
        <w:tc>
          <w:tcPr>
            <w:tcW w:w="1160" w:type="dxa"/>
            <w:tcBorders/>
            <w:vAlign w:val="center"/>
          </w:tcPr>
          <w:p>
            <w:pPr>
              <w:jc w:val="right"/>
            </w:pPr>
            <w:r>
              <w:rPr>
                <w:rFonts w:ascii="宋体" w:eastAsia="宋体" w:hAnsi="宋体" w:cs="宋体"/>
                <w:b w:val="0"/>
                <w:i w:val="0"/>
                <w:color w:val="000000"/>
                <w:sz w:val="14"/>
              </w:rPr>
              <w:t xml:space="preserve">27.53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27.53</w:t>
            </w:r>
          </w:p>
        </w:tc>
        <w:tc>
          <w:tcPr>
            <w:tcW w:w="1160" w:type="dxa"/>
            <w:tcBorders/>
            <w:vAlign w:val="center"/>
          </w:tcPr>
          <w:p>
            <w:pPr>
              <w:jc w:val="right"/>
            </w:pPr>
            <w:r>
              <w:rPr>
                <w:rFonts w:ascii="宋体" w:eastAsia="宋体" w:hAnsi="宋体" w:cs="宋体"/>
                <w:b w:val="0"/>
                <w:i w:val="0"/>
                <w:color w:val="000000"/>
                <w:sz w:val="14"/>
              </w:rPr>
              <w:t xml:space="preserve">27.53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15.74</w:t>
            </w:r>
          </w:p>
        </w:tc>
        <w:tc>
          <w:tcPr>
            <w:tcW w:w="1160" w:type="dxa"/>
            <w:tcBorders/>
            <w:vAlign w:val="center"/>
          </w:tcPr>
          <w:p>
            <w:pPr>
              <w:jc w:val="right"/>
            </w:pPr>
            <w:r>
              <w:rPr>
                <w:rFonts w:ascii="宋体" w:eastAsia="宋体" w:hAnsi="宋体" w:cs="宋体"/>
                <w:b w:val="0"/>
                <w:i w:val="0"/>
                <w:color w:val="000000"/>
                <w:sz w:val="14"/>
              </w:rPr>
              <w:t xml:space="preserve">15.74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11.08</w:t>
            </w:r>
          </w:p>
        </w:tc>
        <w:tc>
          <w:tcPr>
            <w:tcW w:w="1160" w:type="dxa"/>
            <w:tcBorders/>
            <w:vAlign w:val="center"/>
          </w:tcPr>
          <w:p>
            <w:pPr>
              <w:jc w:val="right"/>
            </w:pPr>
            <w:r>
              <w:rPr>
                <w:rFonts w:ascii="宋体" w:eastAsia="宋体" w:hAnsi="宋体" w:cs="宋体"/>
                <w:b w:val="0"/>
                <w:i w:val="0"/>
                <w:color w:val="000000"/>
                <w:sz w:val="14"/>
              </w:rPr>
              <w:t xml:space="preserve">11.08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2.37</w:t>
            </w:r>
          </w:p>
        </w:tc>
        <w:tc>
          <w:tcPr>
            <w:tcW w:w="1160" w:type="dxa"/>
            <w:tcBorders/>
            <w:vAlign w:val="center"/>
          </w:tcPr>
          <w:p>
            <w:pPr>
              <w:jc w:val="right"/>
            </w:pPr>
            <w:r>
              <w:rPr>
                <w:rFonts w:ascii="宋体" w:eastAsia="宋体" w:hAnsi="宋体" w:cs="宋体"/>
                <w:b w:val="0"/>
                <w:i w:val="0"/>
                <w:color w:val="000000"/>
                <w:sz w:val="14"/>
              </w:rPr>
              <w:t xml:space="preserve">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221.74</w:t>
            </w:r>
          </w:p>
        </w:tc>
        <w:tc>
          <w:tcPr>
            <w:tcW w:w="1120" w:type="dxa"/>
            <w:tcBorders/>
            <w:vAlign w:val="center"/>
          </w:tcPr>
          <w:p>
            <w:pPr>
              <w:jc w:val="right"/>
            </w:pPr>
            <w:r>
              <w:rPr>
                <w:rFonts w:ascii="宋体" w:eastAsia="宋体" w:hAnsi="宋体" w:cs="宋体"/>
                <w:b/>
                <w:i w:val="0"/>
                <w:color w:val="000000"/>
                <w:sz w:val="16"/>
              </w:rPr>
              <w:t xml:space="preserve">174.69</w:t>
            </w:r>
          </w:p>
        </w:tc>
        <w:tc>
          <w:tcPr>
            <w:tcW w:w="1120" w:type="dxa"/>
            <w:tcBorders/>
            <w:vAlign w:val="center"/>
          </w:tcPr>
          <w:p>
            <w:pPr>
              <w:jc w:val="right"/>
            </w:pPr>
            <w:r>
              <w:rPr>
                <w:rFonts w:ascii="宋体" w:eastAsia="宋体" w:hAnsi="宋体" w:cs="宋体"/>
                <w:b/>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172.63</w:t>
            </w:r>
          </w:p>
        </w:tc>
        <w:tc>
          <w:tcPr>
            <w:tcW w:w="1120" w:type="dxa"/>
            <w:tcBorders/>
            <w:vAlign w:val="center"/>
          </w:tcPr>
          <w:p>
            <w:pPr>
              <w:jc w:val="right"/>
            </w:pPr>
            <w:r>
              <w:rPr>
                <w:rFonts w:ascii="宋体" w:eastAsia="宋体" w:hAnsi="宋体" w:cs="宋体"/>
                <w:b w:val="0"/>
                <w:i w:val="0"/>
                <w:color w:val="000000"/>
                <w:sz w:val="16"/>
              </w:rPr>
              <w:t xml:space="preserve">125.58</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172.63</w:t>
            </w:r>
          </w:p>
        </w:tc>
        <w:tc>
          <w:tcPr>
            <w:tcW w:w="1120" w:type="dxa"/>
            <w:tcBorders/>
            <w:vAlign w:val="center"/>
          </w:tcPr>
          <w:p>
            <w:pPr>
              <w:jc w:val="right"/>
            </w:pPr>
            <w:r>
              <w:rPr>
                <w:rFonts w:ascii="宋体" w:eastAsia="宋体" w:hAnsi="宋体" w:cs="宋体"/>
                <w:b w:val="0"/>
                <w:i w:val="0"/>
                <w:color w:val="000000"/>
                <w:sz w:val="16"/>
              </w:rPr>
              <w:t xml:space="preserve">125.58</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58.56</w:t>
            </w:r>
          </w:p>
        </w:tc>
        <w:tc>
          <w:tcPr>
            <w:tcW w:w="1120" w:type="dxa"/>
            <w:tcBorders/>
            <w:vAlign w:val="center"/>
          </w:tcPr>
          <w:p>
            <w:pPr>
              <w:jc w:val="right"/>
            </w:pPr>
            <w:r>
              <w:rPr>
                <w:rFonts w:ascii="宋体" w:eastAsia="宋体" w:hAnsi="宋体" w:cs="宋体"/>
                <w:b w:val="0"/>
                <w:i w:val="0"/>
                <w:color w:val="000000"/>
                <w:sz w:val="16"/>
              </w:rPr>
              <w:t xml:space="preserve">58.56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67.02</w:t>
            </w:r>
          </w:p>
        </w:tc>
        <w:tc>
          <w:tcPr>
            <w:tcW w:w="1120" w:type="dxa"/>
            <w:tcBorders/>
            <w:vAlign w:val="center"/>
          </w:tcPr>
          <w:p>
            <w:pPr>
              <w:jc w:val="right"/>
            </w:pPr>
            <w:r>
              <w:rPr>
                <w:rFonts w:ascii="宋体" w:eastAsia="宋体" w:hAnsi="宋体" w:cs="宋体"/>
                <w:b w:val="0"/>
                <w:i w:val="0"/>
                <w:color w:val="000000"/>
                <w:sz w:val="16"/>
              </w:rPr>
              <w:t xml:space="preserve">67.02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27.53</w:t>
            </w:r>
          </w:p>
        </w:tc>
        <w:tc>
          <w:tcPr>
            <w:tcW w:w="1120" w:type="dxa"/>
            <w:tcBorders/>
            <w:vAlign w:val="center"/>
          </w:tcPr>
          <w:p>
            <w:pPr>
              <w:jc w:val="right"/>
            </w:pPr>
            <w:r>
              <w:rPr>
                <w:rFonts w:ascii="宋体" w:eastAsia="宋体" w:hAnsi="宋体" w:cs="宋体"/>
                <w:b w:val="0"/>
                <w:i w:val="0"/>
                <w:color w:val="000000"/>
                <w:sz w:val="16"/>
              </w:rPr>
              <w:t xml:space="preserve">27.53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27.53</w:t>
            </w:r>
          </w:p>
        </w:tc>
        <w:tc>
          <w:tcPr>
            <w:tcW w:w="1120" w:type="dxa"/>
            <w:tcBorders/>
            <w:vAlign w:val="center"/>
          </w:tcPr>
          <w:p>
            <w:pPr>
              <w:jc w:val="right"/>
            </w:pPr>
            <w:r>
              <w:rPr>
                <w:rFonts w:ascii="宋体" w:eastAsia="宋体" w:hAnsi="宋体" w:cs="宋体"/>
                <w:b w:val="0"/>
                <w:i w:val="0"/>
                <w:color w:val="000000"/>
                <w:sz w:val="16"/>
              </w:rPr>
              <w:t xml:space="preserve">27.53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15.74</w:t>
            </w:r>
          </w:p>
        </w:tc>
        <w:tc>
          <w:tcPr>
            <w:tcW w:w="1120" w:type="dxa"/>
            <w:tcBorders/>
            <w:vAlign w:val="center"/>
          </w:tcPr>
          <w:p>
            <w:pPr>
              <w:jc w:val="right"/>
            </w:pPr>
            <w:r>
              <w:rPr>
                <w:rFonts w:ascii="宋体" w:eastAsia="宋体" w:hAnsi="宋体" w:cs="宋体"/>
                <w:b w:val="0"/>
                <w:i w:val="0"/>
                <w:color w:val="000000"/>
                <w:sz w:val="16"/>
              </w:rPr>
              <w:t xml:space="preserve">15.74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11.08</w:t>
            </w:r>
          </w:p>
        </w:tc>
        <w:tc>
          <w:tcPr>
            <w:tcW w:w="1120" w:type="dxa"/>
            <w:tcBorders/>
            <w:vAlign w:val="center"/>
          </w:tcPr>
          <w:p>
            <w:pPr>
              <w:jc w:val="right"/>
            </w:pPr>
            <w:r>
              <w:rPr>
                <w:rFonts w:ascii="宋体" w:eastAsia="宋体" w:hAnsi="宋体" w:cs="宋体"/>
                <w:b w:val="0"/>
                <w:i w:val="0"/>
                <w:color w:val="000000"/>
                <w:sz w:val="16"/>
              </w:rPr>
              <w:t xml:space="preserve">11.08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2.37</w:t>
            </w:r>
          </w:p>
        </w:tc>
        <w:tc>
          <w:tcPr>
            <w:tcW w:w="1120" w:type="dxa"/>
            <w:tcBorders/>
            <w:vAlign w:val="center"/>
          </w:tcPr>
          <w:p>
            <w:pPr>
              <w:jc w:val="right"/>
            </w:pPr>
            <w:r>
              <w:rPr>
                <w:rFonts w:ascii="宋体" w:eastAsia="宋体" w:hAnsi="宋体" w:cs="宋体"/>
                <w:b w:val="0"/>
                <w:i w:val="0"/>
                <w:color w:val="000000"/>
                <w:sz w:val="16"/>
              </w:rPr>
              <w:t xml:space="preserve">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172.63</w:t>
            </w:r>
          </w:p>
        </w:tc>
        <w:tc>
          <w:tcPr>
            <w:tcW w:w="1100" w:type="dxa"/>
            <w:tcBorders/>
            <w:vAlign w:val="center"/>
          </w:tcPr>
          <w:p>
            <w:pPr>
              <w:jc w:val="right"/>
            </w:pPr>
            <w:r>
              <w:rPr>
                <w:rFonts w:ascii="宋体" w:eastAsia="宋体" w:hAnsi="宋体" w:cs="宋体"/>
                <w:b w:val="0"/>
                <w:i w:val="0"/>
                <w:color w:val="000000"/>
                <w:sz w:val="14"/>
              </w:rPr>
              <w:t xml:space="preserve">172.63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27.53</w:t>
            </w:r>
          </w:p>
        </w:tc>
        <w:tc>
          <w:tcPr>
            <w:tcW w:w="1100" w:type="dxa"/>
            <w:tcBorders/>
            <w:vAlign w:val="center"/>
          </w:tcPr>
          <w:p>
            <w:pPr>
              <w:jc w:val="right"/>
            </w:pPr>
            <w:r>
              <w:rPr>
                <w:rFonts w:ascii="宋体" w:eastAsia="宋体" w:hAnsi="宋体" w:cs="宋体"/>
                <w:b w:val="0"/>
                <w:i w:val="0"/>
                <w:color w:val="000000"/>
                <w:sz w:val="14"/>
              </w:rPr>
              <w:t xml:space="preserve">27.53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7.90</w:t>
            </w:r>
          </w:p>
        </w:tc>
        <w:tc>
          <w:tcPr>
            <w:tcW w:w="1100" w:type="dxa"/>
            <w:tcBorders/>
            <w:vAlign w:val="center"/>
          </w:tcPr>
          <w:p>
            <w:pPr>
              <w:jc w:val="right"/>
            </w:pPr>
            <w:r>
              <w:rPr>
                <w:rFonts w:ascii="宋体" w:eastAsia="宋体" w:hAnsi="宋体" w:cs="宋体"/>
                <w:b w:val="0"/>
                <w:i w:val="0"/>
                <w:color w:val="000000"/>
                <w:sz w:val="14"/>
              </w:rPr>
              <w:t xml:space="preserve">7.90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13.69</w:t>
            </w:r>
          </w:p>
        </w:tc>
        <w:tc>
          <w:tcPr>
            <w:tcW w:w="1100" w:type="dxa"/>
            <w:tcBorders/>
            <w:vAlign w:val="center"/>
          </w:tcPr>
          <w:p>
            <w:pPr>
              <w:jc w:val="right"/>
            </w:pPr>
            <w:r>
              <w:rPr>
                <w:rFonts w:ascii="宋体" w:eastAsia="宋体" w:hAnsi="宋体" w:cs="宋体"/>
                <w:b w:val="0"/>
                <w:i w:val="0"/>
                <w:color w:val="000000"/>
                <w:sz w:val="14"/>
              </w:rPr>
              <w:t xml:space="preserve">13.69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1100" w:type="dxa"/>
            <w:tcBorders/>
            <w:vAlign w:val="center"/>
          </w:tcPr>
          <w:p>
            <w:pPr>
              <w:jc w:val="right"/>
            </w:pPr>
            <w:r>
              <w:rPr>
                <w:rFonts w:ascii="宋体" w:eastAsia="宋体" w:hAnsi="宋体" w:cs="宋体"/>
                <w:b w:val="0"/>
                <w:i w:val="0"/>
                <w:color w:val="000000"/>
                <w:sz w:val="14"/>
              </w:rPr>
              <w:t xml:space="preserve">221.74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221.74</w:t>
            </w:r>
          </w:p>
        </w:tc>
        <w:tc>
          <w:tcPr>
            <w:tcW w:w="1980" w:type="dxa"/>
            <w:tcBorders/>
            <w:vAlign w:val="center"/>
          </w:tcPr>
          <w:p>
            <w:pPr>
              <w:jc w:val="right"/>
            </w:pPr>
            <w:r>
              <w:rPr>
                <w:rFonts w:ascii="宋体" w:eastAsia="宋体" w:hAnsi="宋体" w:cs="宋体"/>
                <w:b/>
                <w:i w:val="0"/>
                <w:color w:val="000000"/>
                <w:sz w:val="20"/>
              </w:rPr>
              <w:t xml:space="preserve">174.69</w:t>
            </w:r>
          </w:p>
        </w:tc>
        <w:tc>
          <w:tcPr>
            <w:tcW w:w="1952" w:type="dxa"/>
            <w:tcBorders/>
            <w:vAlign w:val="center"/>
          </w:tcPr>
          <w:p>
            <w:pPr>
              <w:jc w:val="right"/>
            </w:pPr>
            <w:r>
              <w:rPr>
                <w:rFonts w:ascii="宋体" w:eastAsia="宋体" w:hAnsi="宋体" w:cs="宋体"/>
                <w:b/>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172.63</w:t>
            </w:r>
          </w:p>
        </w:tc>
        <w:tc>
          <w:tcPr>
            <w:tcW w:w="1980" w:type="dxa"/>
            <w:tcBorders/>
            <w:vAlign w:val="center"/>
          </w:tcPr>
          <w:p>
            <w:pPr>
              <w:jc w:val="right"/>
            </w:pPr>
            <w:r>
              <w:rPr>
                <w:rFonts w:ascii="宋体" w:eastAsia="宋体" w:hAnsi="宋体" w:cs="宋体"/>
                <w:b w:val="0"/>
                <w:i w:val="0"/>
                <w:color w:val="000000"/>
                <w:sz w:val="20"/>
              </w:rPr>
              <w:t xml:space="preserve">125.58</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172.63</w:t>
            </w:r>
          </w:p>
        </w:tc>
        <w:tc>
          <w:tcPr>
            <w:tcW w:w="1980" w:type="dxa"/>
            <w:tcBorders/>
            <w:vAlign w:val="center"/>
          </w:tcPr>
          <w:p>
            <w:pPr>
              <w:jc w:val="right"/>
            </w:pPr>
            <w:r>
              <w:rPr>
                <w:rFonts w:ascii="宋体" w:eastAsia="宋体" w:hAnsi="宋体" w:cs="宋体"/>
                <w:b w:val="0"/>
                <w:i w:val="0"/>
                <w:color w:val="000000"/>
                <w:sz w:val="20"/>
              </w:rPr>
              <w:t xml:space="preserve">125.58</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58.56</w:t>
            </w:r>
          </w:p>
        </w:tc>
        <w:tc>
          <w:tcPr>
            <w:tcW w:w="1980" w:type="dxa"/>
            <w:tcBorders/>
            <w:vAlign w:val="center"/>
          </w:tcPr>
          <w:p>
            <w:pPr>
              <w:jc w:val="right"/>
            </w:pPr>
            <w:r>
              <w:rPr>
                <w:rFonts w:ascii="宋体" w:eastAsia="宋体" w:hAnsi="宋体" w:cs="宋体"/>
                <w:b w:val="0"/>
                <w:i w:val="0"/>
                <w:color w:val="000000"/>
                <w:sz w:val="20"/>
              </w:rPr>
              <w:t xml:space="preserve">58.56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67.02</w:t>
            </w:r>
          </w:p>
        </w:tc>
        <w:tc>
          <w:tcPr>
            <w:tcW w:w="1980" w:type="dxa"/>
            <w:tcBorders/>
            <w:vAlign w:val="center"/>
          </w:tcPr>
          <w:p>
            <w:pPr>
              <w:jc w:val="right"/>
            </w:pPr>
            <w:r>
              <w:rPr>
                <w:rFonts w:ascii="宋体" w:eastAsia="宋体" w:hAnsi="宋体" w:cs="宋体"/>
                <w:b w:val="0"/>
                <w:i w:val="0"/>
                <w:color w:val="000000"/>
                <w:sz w:val="20"/>
              </w:rPr>
              <w:t xml:space="preserve">67.02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27.53</w:t>
            </w:r>
          </w:p>
        </w:tc>
        <w:tc>
          <w:tcPr>
            <w:tcW w:w="1980" w:type="dxa"/>
            <w:tcBorders/>
            <w:vAlign w:val="center"/>
          </w:tcPr>
          <w:p>
            <w:pPr>
              <w:jc w:val="right"/>
            </w:pPr>
            <w:r>
              <w:rPr>
                <w:rFonts w:ascii="宋体" w:eastAsia="宋体" w:hAnsi="宋体" w:cs="宋体"/>
                <w:b w:val="0"/>
                <w:i w:val="0"/>
                <w:color w:val="000000"/>
                <w:sz w:val="20"/>
              </w:rPr>
              <w:t xml:space="preserve">27.53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27.53</w:t>
            </w:r>
          </w:p>
        </w:tc>
        <w:tc>
          <w:tcPr>
            <w:tcW w:w="1980" w:type="dxa"/>
            <w:tcBorders/>
            <w:vAlign w:val="center"/>
          </w:tcPr>
          <w:p>
            <w:pPr>
              <w:jc w:val="right"/>
            </w:pPr>
            <w:r>
              <w:rPr>
                <w:rFonts w:ascii="宋体" w:eastAsia="宋体" w:hAnsi="宋体" w:cs="宋体"/>
                <w:b w:val="0"/>
                <w:i w:val="0"/>
                <w:color w:val="000000"/>
                <w:sz w:val="20"/>
              </w:rPr>
              <w:t xml:space="preserve">27.53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15.74</w:t>
            </w:r>
          </w:p>
        </w:tc>
        <w:tc>
          <w:tcPr>
            <w:tcW w:w="1980" w:type="dxa"/>
            <w:tcBorders/>
            <w:vAlign w:val="center"/>
          </w:tcPr>
          <w:p>
            <w:pPr>
              <w:jc w:val="right"/>
            </w:pPr>
            <w:r>
              <w:rPr>
                <w:rFonts w:ascii="宋体" w:eastAsia="宋体" w:hAnsi="宋体" w:cs="宋体"/>
                <w:b w:val="0"/>
                <w:i w:val="0"/>
                <w:color w:val="000000"/>
                <w:sz w:val="20"/>
              </w:rPr>
              <w:t xml:space="preserve">15.74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11.08</w:t>
            </w:r>
          </w:p>
        </w:tc>
        <w:tc>
          <w:tcPr>
            <w:tcW w:w="1980" w:type="dxa"/>
            <w:tcBorders/>
            <w:vAlign w:val="center"/>
          </w:tcPr>
          <w:p>
            <w:pPr>
              <w:jc w:val="right"/>
            </w:pPr>
            <w:r>
              <w:rPr>
                <w:rFonts w:ascii="宋体" w:eastAsia="宋体" w:hAnsi="宋体" w:cs="宋体"/>
                <w:b w:val="0"/>
                <w:i w:val="0"/>
                <w:color w:val="000000"/>
                <w:sz w:val="20"/>
              </w:rPr>
              <w:t xml:space="preserve">11.08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2.37</w:t>
            </w:r>
          </w:p>
        </w:tc>
        <w:tc>
          <w:tcPr>
            <w:tcW w:w="1980" w:type="dxa"/>
            <w:tcBorders/>
            <w:vAlign w:val="center"/>
          </w:tcPr>
          <w:p>
            <w:pPr>
              <w:jc w:val="right"/>
            </w:pPr>
            <w:r>
              <w:rPr>
                <w:rFonts w:ascii="宋体" w:eastAsia="宋体" w:hAnsi="宋体" w:cs="宋体"/>
                <w:b w:val="0"/>
                <w:i w:val="0"/>
                <w:color w:val="000000"/>
                <w:sz w:val="20"/>
              </w:rPr>
              <w:t xml:space="preserve">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161.41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51.03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4.99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15.88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27.04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15.74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11.08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5.96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1.70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2.53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3.96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162.12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12.57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814"/>
        <w:gridCol w:w="660"/>
        <w:gridCol w:w="660"/>
        <w:gridCol w:w="660"/>
        <w:gridCol w:w="660"/>
        <w:gridCol w:w="660"/>
        <w:gridCol w:w="660"/>
        <w:gridCol w:w="756"/>
        <w:gridCol w:w="660"/>
        <w:gridCol w:w="931"/>
        <w:gridCol w:w="931"/>
        <w:gridCol w:w="931"/>
        <w:gridCol w:w="931"/>
        <w:gridCol w:w="931"/>
        <w:gridCol w:w="660"/>
        <w:gridCol w:w="660"/>
        <w:gridCol w:w="660"/>
        <w:gridCol w:w="2017"/>
      </w:tblGrid>
      <w:tr>
        <w:trPr>
          <w:trHeight w:hRule="exact" w:val="293"/>
          <w:jc w:val="center"/>
        </w:trPr>
        <w:tc>
          <w:tcPr>
            <w:tcW w:w="14842"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1"/>
              </w:rPr>
              <w:t xml:space="preserve">部门（单位）整体绩效运行监控表（2023年）</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93"/>
          <w:jc w:val="center"/>
        </w:trPr>
        <w:tc>
          <w:tcPr>
            <w:tcW w:w="14842"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93"/>
          <w:jc w:val="center"/>
        </w:trPr>
        <w:tc>
          <w:tcPr>
            <w:tcW w:w="14842"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8"/>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312011辽宁省盘锦市兴隆台区审计局-211103000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部门（单位）整体支出情况（万元）</w:t>
            </w: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9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2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年度部门预算支出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217.62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9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2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45.98%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217.62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4"/>
          <w:jc w:val="center"/>
        </w:trPr>
        <w:tc>
          <w:tcPr>
            <w:tcW w:w="81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年度任务</w:t>
            </w: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年初预算数</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执行数</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19.94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7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189.39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189.39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816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7月完成情况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87"/>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816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完成全年人员支出，保证单位正常运转。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合理编制预算，完成全年人员支出，保证单位各项支出正常运转，审计局项目支出绩效运行情况良好，达到了既定的绩效目标，按照现有执行轨迹运行，全年目标计划可以达到。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9"/>
          <w:jc w:val="cent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75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当期执行情况</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全年预计完成情况</w:t>
            </w:r>
          </w:p>
        </w:tc>
        <w:tc>
          <w:tcPr>
            <w:tcW w:w="465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完成目标可能性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r>
      <w:tr>
        <w:trPr>
          <w:trHeight w:hRule="exact" w:val="851"/>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确定能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有可能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完全不可能</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履职效能</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重点工作履行情况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重点工作办结率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整体工作完成情况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总体工作完成率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工作完成及时率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工作质量达标率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基础管理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依法行政能力</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综合管理水平</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预算执行效率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结转结余变动率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预算执行率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预算调整率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管理效率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预算编制管理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预算绩效目标覆盖率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预算监督管理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预决算公开情况</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预算收支管理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预算支出管理规范性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预算收入管理规范性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财务管理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内控制度有效性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资产管理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固定资产利用率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0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业务管理</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政府采购管理违法违规行为发生次数</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运行成本</w:t>
            </w: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成本控制成效</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“三公”经费变动率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在职人员控制率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57"/>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社会效应</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社会效益</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数据利用率</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服务对象满意度</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参保人员满意度</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51"/>
          <w:jc w:val="center"/>
        </w:trPr>
        <w:tc>
          <w:tcPr>
            <w:tcW w:w="8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可持续性</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体制机制改革</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完善部门内部控制</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有效完成</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8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建议改进政府采购管理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w:t>
            </w: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建议进一步改进政府采购管理机制，简化采购程序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建议核减下一年经费数额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建议削减低效、无效资金或结构调整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建议收回长期沉淀的资金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削减低效、无效资金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对部门（单位）的资金结构进行调整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收回部门（单位）长期沉淀的资金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557"/>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455"/>
          <w:jc w:val="center"/>
        </w:trPr>
        <w:tc>
          <w:tcPr>
            <w:tcW w:w="2794"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规范部门预算管理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提升部门预算执行效率和效益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改进部门政府采购管理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预算执行进度缓慢,按规定调整下一年经费数额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削减低效、无效资金或结构调整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对部门（单位）的资金结构进行调整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收回长期沉淀的资金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5"/>
          <w:jc w:val="center"/>
        </w:trPr>
        <w:tc>
          <w:tcPr>
            <w:tcW w:w="2794"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25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9"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513"/>
          <w:jc w:val="center"/>
        </w:trPr>
        <w:tc>
          <w:tcPr>
            <w:tcW w:w="279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20"/>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48"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rPr>
          <w:trHeight w:hRule="exact" w:val="849"/>
          <w:jc w:val="center"/>
        </w:trPr>
        <w:tc>
          <w:tcPr>
            <w:tcW w:w="1483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部门预算项目（政策）支出绩效运行监控表（2023年度）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8"/>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项目名称</w:t>
            </w:r>
          </w:p>
        </w:tc>
        <w:tc>
          <w:tcPr>
            <w:tcW w:w="1322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审计专项业务经费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主管部门及代码</w:t>
            </w:r>
          </w:p>
        </w:tc>
        <w:tc>
          <w:tcPr>
            <w:tcW w:w="5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312辽宁省盘锦市兴隆台区审计局-211103000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312011辽宁省盘锦市兴隆台区审计局-211103000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项目预算资金（万元）</w:t>
            </w: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年初预算数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指标下达金额数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7月执行率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全年预计执行数</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01"/>
          <w:jc w:val="center"/>
        </w:trPr>
        <w:tc>
          <w:tcPr>
            <w:tcW w:w="1619"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5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2.39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39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18.44%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6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7月完成情况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6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确保单位正常运转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按照年初计划严格执行预算，提高资金使用效益，切实保障各项工作有效开展。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5"/>
          <w:jc w:val="center"/>
        </w:trPr>
        <w:tc>
          <w:tcPr>
            <w:tcW w:w="1619"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当期执行情况</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全年预计完成情况</w:t>
            </w:r>
          </w:p>
        </w:tc>
        <w:tc>
          <w:tcPr>
            <w:tcW w:w="442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完成目标可能性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确定能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有可能</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完全不可能</w:t>
            </w:r>
          </w:p>
        </w:tc>
        <w:tc>
          <w:tcPr>
            <w:tcW w:w="19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产出指标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质量指标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正常运转率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时效指标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保障及时率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43"/>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按标准保障率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86"/>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社会效益指标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确保机关事业单位平稳运行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平稳运行</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07"/>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可持续影响指标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保障水平</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足额保障</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364"/>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服务对象满意度指标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机关事业单位干部群众满意度</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8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建议进一步完善制度设计，让系统更加便捷</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r>
        <w:trPr>
          <w:trHeight w:hRule="exact" w:val="251"/>
          <w:jc w:val="center"/>
        </w:trPr>
        <w:tc>
          <w:tcPr>
            <w:tcW w:w="3497"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进一步加强预算项目管理，充分发挥财政资金使用效益。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w:t>
            </w: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进一步加强预算项目管理，充分发挥财政资金使用效益。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89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6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1"/>
          <w:jc w:val="center"/>
        </w:trPr>
        <w:tc>
          <w:tcPr>
            <w:tcW w:w="34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342"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19"/>
              </w:rPr>
              <w:t xml:space="preserve">进一步加强预算项目管理，充分发挥财政资金使用效益。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46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