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辽宁省盘锦市兴隆台区兴盛街道办事处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辽宁省盘锦市兴隆台区兴盛街道办事处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辽宁省盘锦市兴隆台区兴盛街道办事处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辽宁省盘锦市兴隆台区兴盛街道办事处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辽宁省盘锦市兴隆台区兴盛街道办事处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辽宁省盘锦市兴隆台区兴盛街道办事处概况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1、在区委区政府正确领导下，贯彻执行党和国家的各项方针、政策、法律、法规；落实区委、区政府的各项决议、决定。</w:t>
        <w:br/>
        <w:t xml:space="preserve">2、负责本街道社区健设，指导社区居委会依法开展各项工作。</w:t>
        <w:br/>
        <w:t xml:space="preserve">3、负责计划生育、劳动和社会保障、再就业、统计财税、城管等工作；配合有关部门做好防汛、防火、防震、抢险和防灾安全生产等管理工作。</w:t>
        <w:br/>
        <w:t xml:space="preserve">4、负责做好社会救济、优抚安置、社会保障、拥军优属殡葬管理；做好民兵、兵役、民族、宗教、侨务、残联等工作。</w:t>
        <w:br/>
        <w:t xml:space="preserve">5、负责精神文明建设，开展精神文明小区创建活动，对居民进行法制和社会功德教育等。</w:t>
        <w:br/>
        <w:t xml:space="preserve">6、负责街辖范围内的维护稳定及社会综合治理工作，做好民事调解、法律服务工作，维护居民的合法权益等工作。</w:t>
        <w:br/>
        <w:t xml:space="preserve">7、向上级人民政府或者有关部门反应居民和居民委员会的意见、要求、办理人民群众来信来访事项。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辽宁省盘锦市兴隆台区兴盛街道办事处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盘锦市兴隆台区兴盛街道办事处</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967.88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967.88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964.21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3.67</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减少844.07万元，降低46.58%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上年度有工程款列支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967.88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709.77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73.33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工资福利支出407.70万元；商品和服务支出269.15万元；对个人和家庭的补助31.12万元；资本性支出1.81万元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258.11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26.67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主要包括信访经费、征兵经费、综合经费、环境整治、安全经费等业务支出。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减少844.07万元，降低46.58%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今年无工程款支付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我单位以支定收模式</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967.88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709.77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258.11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减少844.07万元，降低46.58%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今年同比去年相比没有工程款支出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113.46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129.95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84.11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2023年度一般公共预算财政拨款支出964.21万元。按支出功能分类科目分，包括：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1.一般公共服务支出531.06万元，具体包括：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385.17万元,主要是工资和福利、商品和服务、对家庭及个人的补助等支出，完成年初预算的70.52%，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（2）一般公共服务支出（类）政府办公厅（室）及相关机构事务（款）信访事务（项）37.00万元,主要是租车费及差旅费等支出，完成年初预算的100%，决算数与年初预算数存在差异的主要原因是无。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108.44万元,主要是综合业务费、二次提水电费、伙食费等支出，完成年初预算的96.53%，决算数与年初预算数存在差异的主要原因是二次提水电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（4）一般公共服务支出（类）组织事务（款）其他组织事务支出（项）0.45万元,主要是印刷费及差旅费等支出，完成年初预算的3.46%，决算数与年初预算数存在差异的主要原因是社区无列支。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2.社会保障和就业支出228.75万元，具体包括：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其他人力资源和社会保障管理事务支出（项）0.00万元,主要是无此类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（2）社会保障和就业支出（类）民政管理事务（款）基层政权建设和社区治理（项）148.91万元,主要是社区运行等支出，完成年初预算的124.09%，决算数与年初预算数存在差异的主要原因是年初预算不含上级经费。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（3）社会保障和就业支出（类）行政事业单位养老支出（款）行政单位离退休（项）5.29万元,主要是退休人员取暖费等支出，完成年初预算的100%，决算数与年初预算数存在差异的主要原因是无。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48.72万元,主要是机关事业单位养老保险等支出，完成年初预算的160.32%，决算数与年初预算数存在差异的主要原因是人员调整及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（5）社会保障和就业支出（类）抚恤（款）死亡抚恤（项）22.68万元,主要是丧葬费等支出，完成年初预算的100%，决算数与年初预算数存在差异的主要原因是无。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（6）社会保障和就业支出（类）抚恤（款）伤残抚恤（项）3.15万元,主要是抚恤金等支出，完成年初预算的100%，决算数与年初预算数存在差异的主要原因是无。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3.卫生健康支出39.98万元，具体包括：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15.18万元,主要是独生子女费奖励等支出，完成年初预算的69%，决算数与年初预算数存在差异的主要原因是本年度进行人员清理导致人数少于年初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18.75万元,主要是行政事业人员医疗保险等支出，完成年初预算的169.17%，决算数与年初预算数存在差异的主要原因是此年度包含两中心事业人员医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（3）卫生健康支出（类）行政事业单位医疗（款）公务员医疗补助（项）5.26万元,主要是行政人员医保医疗等支出，完成年初预算的156.08%，决算数与年初预算数存在差异的主要原因是包含事业人员医疗补助。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0.79万元,主要是工伤保险等支出，完成年初预算的232.35%，决算数与年初预算数存在差异的主要原因是包含行政事业人员工商及失业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4.农林水支出127.69万元，具体包括：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124.44万元,主要是人员经费工资、保险、公积金等支出，完成年初预算的79.43%，决算数与年初预算数存在差异的主要原因是经费缩减及人员变动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（2）农林水支出（类）农村综合改革（款）农村综合改革示范试点补助（项）3.25万元,主要是乡村宜居环境治理等支出，完成年初预算的21.67%，决算数与年初预算数存在差异的主要原因是多数工程款未结算。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5.住房保障支出36.73万元，具体包括：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（1）住房保障支出（类）住房改革支出（款）住房公积金（项）36.73万元,主要是行政事业人员公积金等支出，完成年初预算的149.19%，决算数与年初预算数存在差异的主要原因是增加事业人员。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2023年度国有资本经营预算财政拨款支出3.67万元。按支出功能分类科目分，包括：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1.国有资本经营预算支出3.67万元，具体包括：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3.67万元,主要是退休活动室人员工资、水电费等支出，完成年初预算的100%，决算数与年初预算数存在差异的主要原因是无。</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709.78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438.82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270.96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270.96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比上年增加55.44万元，增长25.72%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机构改革，事业中心人员公务费用增多</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无采购项目</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本年度绩效完成情况较好。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本年度机关运行经费共计支出270.96万。</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964.21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531.06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3.67</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228.75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39.97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127.69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36.73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3.67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967.88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967.88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967.88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967.88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967.88</w:t>
            </w:r>
          </w:p>
        </w:tc>
        <w:tc>
          <w:tcPr>
            <w:tcW w:w="1160" w:type="dxa"/>
            <w:tcBorders/>
            <w:vAlign w:val="center"/>
          </w:tcPr>
          <w:p>
            <w:pPr>
              <w:jc w:val="right"/>
            </w:pPr>
            <w:r>
              <w:rPr>
                <w:rFonts w:ascii="宋体" w:eastAsia="宋体" w:hAnsi="宋体" w:cs="宋体"/>
                <w:b/>
                <w:i w:val="0"/>
                <w:color w:val="000000"/>
                <w:sz w:val="14"/>
              </w:rPr>
              <w:t xml:space="preserve">967.88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531.06</w:t>
            </w:r>
          </w:p>
        </w:tc>
        <w:tc>
          <w:tcPr>
            <w:tcW w:w="1160" w:type="dxa"/>
            <w:tcBorders/>
            <w:vAlign w:val="center"/>
          </w:tcPr>
          <w:p>
            <w:pPr>
              <w:jc w:val="right"/>
            </w:pPr>
            <w:r>
              <w:rPr>
                <w:rFonts w:ascii="宋体" w:eastAsia="宋体" w:hAnsi="宋体" w:cs="宋体"/>
                <w:b w:val="0"/>
                <w:i w:val="0"/>
                <w:color w:val="000000"/>
                <w:sz w:val="14"/>
              </w:rPr>
              <w:t xml:space="preserve">531.06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530.61</w:t>
            </w:r>
          </w:p>
        </w:tc>
        <w:tc>
          <w:tcPr>
            <w:tcW w:w="1160" w:type="dxa"/>
            <w:tcBorders/>
            <w:vAlign w:val="center"/>
          </w:tcPr>
          <w:p>
            <w:pPr>
              <w:jc w:val="right"/>
            </w:pPr>
            <w:r>
              <w:rPr>
                <w:rFonts w:ascii="宋体" w:eastAsia="宋体" w:hAnsi="宋体" w:cs="宋体"/>
                <w:b w:val="0"/>
                <w:i w:val="0"/>
                <w:color w:val="000000"/>
                <w:sz w:val="14"/>
              </w:rPr>
              <w:t xml:space="preserve">530.61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37.00</w:t>
            </w:r>
          </w:p>
        </w:tc>
        <w:tc>
          <w:tcPr>
            <w:tcW w:w="1160" w:type="dxa"/>
            <w:tcBorders/>
            <w:vAlign w:val="center"/>
          </w:tcPr>
          <w:p>
            <w:pPr>
              <w:jc w:val="right"/>
            </w:pPr>
            <w:r>
              <w:rPr>
                <w:rFonts w:ascii="宋体" w:eastAsia="宋体" w:hAnsi="宋体" w:cs="宋体"/>
                <w:b w:val="0"/>
                <w:i w:val="0"/>
                <w:color w:val="000000"/>
                <w:sz w:val="14"/>
              </w:rPr>
              <w:t xml:space="preserve">37.00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108.44</w:t>
            </w:r>
          </w:p>
        </w:tc>
        <w:tc>
          <w:tcPr>
            <w:tcW w:w="1160" w:type="dxa"/>
            <w:tcBorders/>
            <w:vAlign w:val="center"/>
          </w:tcPr>
          <w:p>
            <w:pPr>
              <w:jc w:val="right"/>
            </w:pPr>
            <w:r>
              <w:rPr>
                <w:rFonts w:ascii="宋体" w:eastAsia="宋体" w:hAnsi="宋体" w:cs="宋体"/>
                <w:b w:val="0"/>
                <w:i w:val="0"/>
                <w:color w:val="000000"/>
                <w:sz w:val="14"/>
              </w:rPr>
              <w:t xml:space="preserve">108.44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228.75</w:t>
            </w:r>
          </w:p>
        </w:tc>
        <w:tc>
          <w:tcPr>
            <w:tcW w:w="1160" w:type="dxa"/>
            <w:tcBorders/>
            <w:vAlign w:val="center"/>
          </w:tcPr>
          <w:p>
            <w:pPr>
              <w:jc w:val="right"/>
            </w:pPr>
            <w:r>
              <w:rPr>
                <w:rFonts w:ascii="宋体" w:eastAsia="宋体" w:hAnsi="宋体" w:cs="宋体"/>
                <w:b w:val="0"/>
                <w:i w:val="0"/>
                <w:color w:val="000000"/>
                <w:sz w:val="14"/>
              </w:rPr>
              <w:t xml:space="preserve">228.75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148.91</w:t>
            </w:r>
          </w:p>
        </w:tc>
        <w:tc>
          <w:tcPr>
            <w:tcW w:w="1160" w:type="dxa"/>
            <w:tcBorders/>
            <w:vAlign w:val="center"/>
          </w:tcPr>
          <w:p>
            <w:pPr>
              <w:jc w:val="right"/>
            </w:pPr>
            <w:r>
              <w:rPr>
                <w:rFonts w:ascii="宋体" w:eastAsia="宋体" w:hAnsi="宋体" w:cs="宋体"/>
                <w:b w:val="0"/>
                <w:i w:val="0"/>
                <w:color w:val="000000"/>
                <w:sz w:val="14"/>
              </w:rPr>
              <w:t xml:space="preserve">148.91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148.91</w:t>
            </w:r>
          </w:p>
        </w:tc>
        <w:tc>
          <w:tcPr>
            <w:tcW w:w="1160" w:type="dxa"/>
            <w:tcBorders/>
            <w:vAlign w:val="center"/>
          </w:tcPr>
          <w:p>
            <w:pPr>
              <w:jc w:val="right"/>
            </w:pPr>
            <w:r>
              <w:rPr>
                <w:rFonts w:ascii="宋体" w:eastAsia="宋体" w:hAnsi="宋体" w:cs="宋体"/>
                <w:b w:val="0"/>
                <w:i w:val="0"/>
                <w:color w:val="000000"/>
                <w:sz w:val="14"/>
              </w:rPr>
              <w:t xml:space="preserve">148.91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54.01</w:t>
            </w:r>
          </w:p>
        </w:tc>
        <w:tc>
          <w:tcPr>
            <w:tcW w:w="1160" w:type="dxa"/>
            <w:tcBorders/>
            <w:vAlign w:val="center"/>
          </w:tcPr>
          <w:p>
            <w:pPr>
              <w:jc w:val="right"/>
            </w:pPr>
            <w:r>
              <w:rPr>
                <w:rFonts w:ascii="宋体" w:eastAsia="宋体" w:hAnsi="宋体" w:cs="宋体"/>
                <w:b w:val="0"/>
                <w:i w:val="0"/>
                <w:color w:val="000000"/>
                <w:sz w:val="14"/>
              </w:rPr>
              <w:t xml:space="preserve">54.01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48.72</w:t>
            </w:r>
          </w:p>
        </w:tc>
        <w:tc>
          <w:tcPr>
            <w:tcW w:w="1160" w:type="dxa"/>
            <w:tcBorders/>
            <w:vAlign w:val="center"/>
          </w:tcPr>
          <w:p>
            <w:pPr>
              <w:jc w:val="right"/>
            </w:pPr>
            <w:r>
              <w:rPr>
                <w:rFonts w:ascii="宋体" w:eastAsia="宋体" w:hAnsi="宋体" w:cs="宋体"/>
                <w:b w:val="0"/>
                <w:i w:val="0"/>
                <w:color w:val="000000"/>
                <w:sz w:val="14"/>
              </w:rPr>
              <w:t xml:space="preserve">48.72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25.83</w:t>
            </w:r>
          </w:p>
        </w:tc>
        <w:tc>
          <w:tcPr>
            <w:tcW w:w="1160" w:type="dxa"/>
            <w:tcBorders/>
            <w:vAlign w:val="center"/>
          </w:tcPr>
          <w:p>
            <w:pPr>
              <w:jc w:val="right"/>
            </w:pPr>
            <w:r>
              <w:rPr>
                <w:rFonts w:ascii="宋体" w:eastAsia="宋体" w:hAnsi="宋体" w:cs="宋体"/>
                <w:b w:val="0"/>
                <w:i w:val="0"/>
                <w:color w:val="000000"/>
                <w:sz w:val="14"/>
              </w:rPr>
              <w:t xml:space="preserve">25.83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22.68</w:t>
            </w:r>
          </w:p>
        </w:tc>
        <w:tc>
          <w:tcPr>
            <w:tcW w:w="1160" w:type="dxa"/>
            <w:tcBorders/>
            <w:vAlign w:val="center"/>
          </w:tcPr>
          <w:p>
            <w:pPr>
              <w:jc w:val="right"/>
            </w:pPr>
            <w:r>
              <w:rPr>
                <w:rFonts w:ascii="宋体" w:eastAsia="宋体" w:hAnsi="宋体" w:cs="宋体"/>
                <w:b w:val="0"/>
                <w:i w:val="0"/>
                <w:color w:val="000000"/>
                <w:sz w:val="14"/>
              </w:rPr>
              <w:t xml:space="preserve">22.68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39.98</w:t>
            </w:r>
          </w:p>
        </w:tc>
        <w:tc>
          <w:tcPr>
            <w:tcW w:w="1160" w:type="dxa"/>
            <w:tcBorders/>
            <w:vAlign w:val="center"/>
          </w:tcPr>
          <w:p>
            <w:pPr>
              <w:jc w:val="right"/>
            </w:pPr>
            <w:r>
              <w:rPr>
                <w:rFonts w:ascii="宋体" w:eastAsia="宋体" w:hAnsi="宋体" w:cs="宋体"/>
                <w:b w:val="0"/>
                <w:i w:val="0"/>
                <w:color w:val="000000"/>
                <w:sz w:val="14"/>
              </w:rPr>
              <w:t xml:space="preserve">39.98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15.18</w:t>
            </w:r>
          </w:p>
        </w:tc>
        <w:tc>
          <w:tcPr>
            <w:tcW w:w="1160" w:type="dxa"/>
            <w:tcBorders/>
            <w:vAlign w:val="center"/>
          </w:tcPr>
          <w:p>
            <w:pPr>
              <w:jc w:val="right"/>
            </w:pPr>
            <w:r>
              <w:rPr>
                <w:rFonts w:ascii="宋体" w:eastAsia="宋体" w:hAnsi="宋体" w:cs="宋体"/>
                <w:b w:val="0"/>
                <w:i w:val="0"/>
                <w:color w:val="000000"/>
                <w:sz w:val="14"/>
              </w:rPr>
              <w:t xml:space="preserve">15.18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15.18</w:t>
            </w:r>
          </w:p>
        </w:tc>
        <w:tc>
          <w:tcPr>
            <w:tcW w:w="1160" w:type="dxa"/>
            <w:tcBorders/>
            <w:vAlign w:val="center"/>
          </w:tcPr>
          <w:p>
            <w:pPr>
              <w:jc w:val="right"/>
            </w:pPr>
            <w:r>
              <w:rPr>
                <w:rFonts w:ascii="宋体" w:eastAsia="宋体" w:hAnsi="宋体" w:cs="宋体"/>
                <w:b w:val="0"/>
                <w:i w:val="0"/>
                <w:color w:val="000000"/>
                <w:sz w:val="14"/>
              </w:rPr>
              <w:t xml:space="preserve">15.18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18.75</w:t>
            </w:r>
          </w:p>
        </w:tc>
        <w:tc>
          <w:tcPr>
            <w:tcW w:w="1160" w:type="dxa"/>
            <w:tcBorders/>
            <w:vAlign w:val="center"/>
          </w:tcPr>
          <w:p>
            <w:pPr>
              <w:jc w:val="right"/>
            </w:pPr>
            <w:r>
              <w:rPr>
                <w:rFonts w:ascii="宋体" w:eastAsia="宋体" w:hAnsi="宋体" w:cs="宋体"/>
                <w:b w:val="0"/>
                <w:i w:val="0"/>
                <w:color w:val="000000"/>
                <w:sz w:val="14"/>
              </w:rPr>
              <w:t xml:space="preserve">18.75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5.26</w:t>
            </w:r>
          </w:p>
        </w:tc>
        <w:tc>
          <w:tcPr>
            <w:tcW w:w="1160" w:type="dxa"/>
            <w:tcBorders/>
            <w:vAlign w:val="center"/>
          </w:tcPr>
          <w:p>
            <w:pPr>
              <w:jc w:val="right"/>
            </w:pPr>
            <w:r>
              <w:rPr>
                <w:rFonts w:ascii="宋体" w:eastAsia="宋体" w:hAnsi="宋体" w:cs="宋体"/>
                <w:b w:val="0"/>
                <w:i w:val="0"/>
                <w:color w:val="000000"/>
                <w:sz w:val="14"/>
              </w:rPr>
              <w:t xml:space="preserve">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127.69</w:t>
            </w:r>
          </w:p>
        </w:tc>
        <w:tc>
          <w:tcPr>
            <w:tcW w:w="1160" w:type="dxa"/>
            <w:tcBorders/>
            <w:vAlign w:val="center"/>
          </w:tcPr>
          <w:p>
            <w:pPr>
              <w:jc w:val="right"/>
            </w:pPr>
            <w:r>
              <w:rPr>
                <w:rFonts w:ascii="宋体" w:eastAsia="宋体" w:hAnsi="宋体" w:cs="宋体"/>
                <w:b w:val="0"/>
                <w:i w:val="0"/>
                <w:color w:val="000000"/>
                <w:sz w:val="14"/>
              </w:rPr>
              <w:t xml:space="preserve">127.69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127.69</w:t>
            </w:r>
          </w:p>
        </w:tc>
        <w:tc>
          <w:tcPr>
            <w:tcW w:w="1160" w:type="dxa"/>
            <w:tcBorders/>
            <w:vAlign w:val="center"/>
          </w:tcPr>
          <w:p>
            <w:pPr>
              <w:jc w:val="right"/>
            </w:pPr>
            <w:r>
              <w:rPr>
                <w:rFonts w:ascii="宋体" w:eastAsia="宋体" w:hAnsi="宋体" w:cs="宋体"/>
                <w:b w:val="0"/>
                <w:i w:val="0"/>
                <w:color w:val="000000"/>
                <w:sz w:val="14"/>
              </w:rPr>
              <w:t xml:space="preserve">127.69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124.44</w:t>
            </w:r>
          </w:p>
        </w:tc>
        <w:tc>
          <w:tcPr>
            <w:tcW w:w="1160" w:type="dxa"/>
            <w:tcBorders/>
            <w:vAlign w:val="center"/>
          </w:tcPr>
          <w:p>
            <w:pPr>
              <w:jc w:val="right"/>
            </w:pPr>
            <w:r>
              <w:rPr>
                <w:rFonts w:ascii="宋体" w:eastAsia="宋体" w:hAnsi="宋体" w:cs="宋体"/>
                <w:b w:val="0"/>
                <w:i w:val="0"/>
                <w:color w:val="000000"/>
                <w:sz w:val="14"/>
              </w:rPr>
              <w:t xml:space="preserve">124.44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3.25</w:t>
            </w:r>
          </w:p>
        </w:tc>
        <w:tc>
          <w:tcPr>
            <w:tcW w:w="1160" w:type="dxa"/>
            <w:tcBorders/>
            <w:vAlign w:val="center"/>
          </w:tcPr>
          <w:p>
            <w:pPr>
              <w:jc w:val="right"/>
            </w:pPr>
            <w:r>
              <w:rPr>
                <w:rFonts w:ascii="宋体" w:eastAsia="宋体" w:hAnsi="宋体" w:cs="宋体"/>
                <w:b w:val="0"/>
                <w:i w:val="0"/>
                <w:color w:val="000000"/>
                <w:sz w:val="14"/>
              </w:rPr>
              <w:t xml:space="preserve">3.25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jc w:val="right"/>
            </w:pPr>
            <w:r>
              <w:rPr>
                <w:rFonts w:ascii="宋体" w:eastAsia="宋体" w:hAnsi="宋体" w:cs="宋体"/>
                <w:b w:val="0"/>
                <w:i w:val="0"/>
                <w:color w:val="000000"/>
                <w:sz w:val="14"/>
              </w:rPr>
              <w:t xml:space="preserve">36.73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967.88</w:t>
            </w:r>
          </w:p>
        </w:tc>
        <w:tc>
          <w:tcPr>
            <w:tcW w:w="1120" w:type="dxa"/>
            <w:tcBorders/>
            <w:vAlign w:val="center"/>
          </w:tcPr>
          <w:p>
            <w:pPr>
              <w:jc w:val="right"/>
            </w:pPr>
            <w:r>
              <w:rPr>
                <w:rFonts w:ascii="宋体" w:eastAsia="宋体" w:hAnsi="宋体" w:cs="宋体"/>
                <w:b/>
                <w:i w:val="0"/>
                <w:color w:val="000000"/>
                <w:sz w:val="16"/>
              </w:rPr>
              <w:t xml:space="preserve">709.77</w:t>
            </w:r>
          </w:p>
        </w:tc>
        <w:tc>
          <w:tcPr>
            <w:tcW w:w="1120" w:type="dxa"/>
            <w:tcBorders/>
            <w:vAlign w:val="center"/>
          </w:tcPr>
          <w:p>
            <w:pPr>
              <w:jc w:val="right"/>
            </w:pPr>
            <w:r>
              <w:rPr>
                <w:rFonts w:ascii="宋体" w:eastAsia="宋体" w:hAnsi="宋体" w:cs="宋体"/>
                <w:b/>
                <w:i w:val="0"/>
                <w:color w:val="000000"/>
                <w:sz w:val="16"/>
              </w:rPr>
              <w:t xml:space="preserve">258.11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531.06</w:t>
            </w:r>
          </w:p>
        </w:tc>
        <w:tc>
          <w:tcPr>
            <w:tcW w:w="1120" w:type="dxa"/>
            <w:tcBorders/>
            <w:vAlign w:val="center"/>
          </w:tcPr>
          <w:p>
            <w:pPr>
              <w:jc w:val="right"/>
            </w:pPr>
            <w:r>
              <w:rPr>
                <w:rFonts w:ascii="宋体" w:eastAsia="宋体" w:hAnsi="宋体" w:cs="宋体"/>
                <w:b w:val="0"/>
                <w:i w:val="0"/>
                <w:color w:val="000000"/>
                <w:sz w:val="16"/>
              </w:rPr>
              <w:t xml:space="preserve">449.97</w:t>
            </w:r>
          </w:p>
        </w:tc>
        <w:tc>
          <w:tcPr>
            <w:tcW w:w="1120" w:type="dxa"/>
            <w:tcBorders/>
            <w:vAlign w:val="center"/>
          </w:tcPr>
          <w:p>
            <w:pPr>
              <w:jc w:val="right"/>
            </w:pPr>
            <w:r>
              <w:rPr>
                <w:rFonts w:ascii="宋体" w:eastAsia="宋体" w:hAnsi="宋体" w:cs="宋体"/>
                <w:b w:val="0"/>
                <w:i w:val="0"/>
                <w:color w:val="000000"/>
                <w:sz w:val="16"/>
              </w:rPr>
              <w:t xml:space="preserve">81.10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530.61</w:t>
            </w:r>
          </w:p>
        </w:tc>
        <w:tc>
          <w:tcPr>
            <w:tcW w:w="1120" w:type="dxa"/>
            <w:tcBorders/>
            <w:vAlign w:val="center"/>
          </w:tcPr>
          <w:p>
            <w:pPr>
              <w:jc w:val="right"/>
            </w:pPr>
            <w:r>
              <w:rPr>
                <w:rFonts w:ascii="宋体" w:eastAsia="宋体" w:hAnsi="宋体" w:cs="宋体"/>
                <w:b w:val="0"/>
                <w:i w:val="0"/>
                <w:color w:val="000000"/>
                <w:sz w:val="16"/>
              </w:rPr>
              <w:t xml:space="preserve">449.97</w:t>
            </w:r>
          </w:p>
        </w:tc>
        <w:tc>
          <w:tcPr>
            <w:tcW w:w="1120" w:type="dxa"/>
            <w:tcBorders/>
            <w:vAlign w:val="center"/>
          </w:tcPr>
          <w:p>
            <w:pPr>
              <w:jc w:val="right"/>
            </w:pPr>
            <w:r>
              <w:rPr>
                <w:rFonts w:ascii="宋体" w:eastAsia="宋体" w:hAnsi="宋体" w:cs="宋体"/>
                <w:b w:val="0"/>
                <w:i w:val="0"/>
                <w:color w:val="000000"/>
                <w:sz w:val="16"/>
              </w:rPr>
              <w:t xml:space="preserve">80.65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385.17</w:t>
            </w:r>
          </w:p>
        </w:tc>
        <w:tc>
          <w:tcPr>
            <w:tcW w:w="1120" w:type="dxa"/>
            <w:tcBorders/>
            <w:vAlign w:val="center"/>
          </w:tcPr>
          <w:p>
            <w:pPr>
              <w:jc w:val="right"/>
            </w:pPr>
            <w:r>
              <w:rPr>
                <w:rFonts w:ascii="宋体" w:eastAsia="宋体" w:hAnsi="宋体" w:cs="宋体"/>
                <w:b w:val="0"/>
                <w:i w:val="0"/>
                <w:color w:val="000000"/>
                <w:sz w:val="16"/>
              </w:rPr>
              <w:t xml:space="preserve">385.17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37.00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108.44</w:t>
            </w:r>
          </w:p>
        </w:tc>
        <w:tc>
          <w:tcPr>
            <w:tcW w:w="1120" w:type="dxa"/>
            <w:tcBorders/>
            <w:vAlign w:val="center"/>
          </w:tcPr>
          <w:p>
            <w:pPr>
              <w:jc w:val="right"/>
            </w:pPr>
            <w:r>
              <w:rPr>
                <w:rFonts w:ascii="宋体" w:eastAsia="宋体" w:hAnsi="宋体" w:cs="宋体"/>
                <w:b w:val="0"/>
                <w:i w:val="0"/>
                <w:color w:val="000000"/>
                <w:sz w:val="16"/>
              </w:rPr>
              <w:t xml:space="preserve">64.80</w:t>
            </w:r>
          </w:p>
        </w:tc>
        <w:tc>
          <w:tcPr>
            <w:tcW w:w="1120" w:type="dxa"/>
            <w:tcBorders/>
            <w:vAlign w:val="center"/>
          </w:tcPr>
          <w:p>
            <w:pPr>
              <w:jc w:val="right"/>
            </w:pPr>
            <w:r>
              <w:rPr>
                <w:rFonts w:ascii="宋体" w:eastAsia="宋体" w:hAnsi="宋体" w:cs="宋体"/>
                <w:b w:val="0"/>
                <w:i w:val="0"/>
                <w:color w:val="000000"/>
                <w:sz w:val="16"/>
              </w:rPr>
              <w:t xml:space="preserve">43.65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228.75</w:t>
            </w:r>
          </w:p>
        </w:tc>
        <w:tc>
          <w:tcPr>
            <w:tcW w:w="1120" w:type="dxa"/>
            <w:tcBorders/>
            <w:vAlign w:val="center"/>
          </w:tcPr>
          <w:p>
            <w:pPr>
              <w:jc w:val="right"/>
            </w:pPr>
            <w:r>
              <w:rPr>
                <w:rFonts w:ascii="宋体" w:eastAsia="宋体" w:hAnsi="宋体" w:cs="宋体"/>
                <w:b w:val="0"/>
                <w:i w:val="0"/>
                <w:color w:val="000000"/>
                <w:sz w:val="16"/>
              </w:rPr>
              <w:t xml:space="preserve">198.28</w:t>
            </w:r>
          </w:p>
        </w:tc>
        <w:tc>
          <w:tcPr>
            <w:tcW w:w="1120" w:type="dxa"/>
            <w:tcBorders/>
            <w:vAlign w:val="center"/>
          </w:tcPr>
          <w:p>
            <w:pPr>
              <w:jc w:val="right"/>
            </w:pPr>
            <w:r>
              <w:rPr>
                <w:rFonts w:ascii="宋体" w:eastAsia="宋体" w:hAnsi="宋体" w:cs="宋体"/>
                <w:b w:val="0"/>
                <w:i w:val="0"/>
                <w:color w:val="000000"/>
                <w:sz w:val="16"/>
              </w:rPr>
              <w:t xml:space="preserve">30.47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148.91</w:t>
            </w:r>
          </w:p>
        </w:tc>
        <w:tc>
          <w:tcPr>
            <w:tcW w:w="1120" w:type="dxa"/>
            <w:tcBorders/>
            <w:vAlign w:val="center"/>
          </w:tcPr>
          <w:p>
            <w:pPr>
              <w:jc w:val="right"/>
            </w:pPr>
            <w:r>
              <w:rPr>
                <w:rFonts w:ascii="宋体" w:eastAsia="宋体" w:hAnsi="宋体" w:cs="宋体"/>
                <w:b w:val="0"/>
                <w:i w:val="0"/>
                <w:color w:val="000000"/>
                <w:sz w:val="16"/>
              </w:rPr>
              <w:t xml:space="preserve">118.44</w:t>
            </w:r>
          </w:p>
        </w:tc>
        <w:tc>
          <w:tcPr>
            <w:tcW w:w="1120" w:type="dxa"/>
            <w:tcBorders/>
            <w:vAlign w:val="center"/>
          </w:tcPr>
          <w:p>
            <w:pPr>
              <w:jc w:val="right"/>
            </w:pPr>
            <w:r>
              <w:rPr>
                <w:rFonts w:ascii="宋体" w:eastAsia="宋体" w:hAnsi="宋体" w:cs="宋体"/>
                <w:b w:val="0"/>
                <w:i w:val="0"/>
                <w:color w:val="000000"/>
                <w:sz w:val="16"/>
              </w:rPr>
              <w:t xml:space="preserve">30.47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148.91</w:t>
            </w:r>
          </w:p>
        </w:tc>
        <w:tc>
          <w:tcPr>
            <w:tcW w:w="1120" w:type="dxa"/>
            <w:tcBorders/>
            <w:vAlign w:val="center"/>
          </w:tcPr>
          <w:p>
            <w:pPr>
              <w:jc w:val="right"/>
            </w:pPr>
            <w:r>
              <w:rPr>
                <w:rFonts w:ascii="宋体" w:eastAsia="宋体" w:hAnsi="宋体" w:cs="宋体"/>
                <w:b w:val="0"/>
                <w:i w:val="0"/>
                <w:color w:val="000000"/>
                <w:sz w:val="16"/>
              </w:rPr>
              <w:t xml:space="preserve">118.44</w:t>
            </w:r>
          </w:p>
        </w:tc>
        <w:tc>
          <w:tcPr>
            <w:tcW w:w="1120" w:type="dxa"/>
            <w:tcBorders/>
            <w:vAlign w:val="center"/>
          </w:tcPr>
          <w:p>
            <w:pPr>
              <w:jc w:val="right"/>
            </w:pPr>
            <w:r>
              <w:rPr>
                <w:rFonts w:ascii="宋体" w:eastAsia="宋体" w:hAnsi="宋体" w:cs="宋体"/>
                <w:b w:val="0"/>
                <w:i w:val="0"/>
                <w:color w:val="000000"/>
                <w:sz w:val="16"/>
              </w:rPr>
              <w:t xml:space="preserve">30.47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54.01</w:t>
            </w:r>
          </w:p>
        </w:tc>
        <w:tc>
          <w:tcPr>
            <w:tcW w:w="1120" w:type="dxa"/>
            <w:tcBorders/>
            <w:vAlign w:val="center"/>
          </w:tcPr>
          <w:p>
            <w:pPr>
              <w:jc w:val="right"/>
            </w:pPr>
            <w:r>
              <w:rPr>
                <w:rFonts w:ascii="宋体" w:eastAsia="宋体" w:hAnsi="宋体" w:cs="宋体"/>
                <w:b w:val="0"/>
                <w:i w:val="0"/>
                <w:color w:val="000000"/>
                <w:sz w:val="16"/>
              </w:rPr>
              <w:t xml:space="preserve">54.01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48.72</w:t>
            </w:r>
          </w:p>
        </w:tc>
        <w:tc>
          <w:tcPr>
            <w:tcW w:w="1120" w:type="dxa"/>
            <w:tcBorders/>
            <w:vAlign w:val="center"/>
          </w:tcPr>
          <w:p>
            <w:pPr>
              <w:jc w:val="right"/>
            </w:pPr>
            <w:r>
              <w:rPr>
                <w:rFonts w:ascii="宋体" w:eastAsia="宋体" w:hAnsi="宋体" w:cs="宋体"/>
                <w:b w:val="0"/>
                <w:i w:val="0"/>
                <w:color w:val="000000"/>
                <w:sz w:val="16"/>
              </w:rPr>
              <w:t xml:space="preserve">48.72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25.83</w:t>
            </w:r>
          </w:p>
        </w:tc>
        <w:tc>
          <w:tcPr>
            <w:tcW w:w="1120" w:type="dxa"/>
            <w:tcBorders/>
            <w:vAlign w:val="center"/>
          </w:tcPr>
          <w:p>
            <w:pPr>
              <w:jc w:val="right"/>
            </w:pPr>
            <w:r>
              <w:rPr>
                <w:rFonts w:ascii="宋体" w:eastAsia="宋体" w:hAnsi="宋体" w:cs="宋体"/>
                <w:b w:val="0"/>
                <w:i w:val="0"/>
                <w:color w:val="000000"/>
                <w:sz w:val="16"/>
              </w:rPr>
              <w:t xml:space="preserve">25.83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22.68</w:t>
            </w:r>
          </w:p>
        </w:tc>
        <w:tc>
          <w:tcPr>
            <w:tcW w:w="1120" w:type="dxa"/>
            <w:tcBorders/>
            <w:vAlign w:val="center"/>
          </w:tcPr>
          <w:p>
            <w:pPr>
              <w:jc w:val="right"/>
            </w:pPr>
            <w:r>
              <w:rPr>
                <w:rFonts w:ascii="宋体" w:eastAsia="宋体" w:hAnsi="宋体" w:cs="宋体"/>
                <w:b w:val="0"/>
                <w:i w:val="0"/>
                <w:color w:val="000000"/>
                <w:sz w:val="16"/>
              </w:rPr>
              <w:t xml:space="preserve">22.68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39.98</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jc w:val="right"/>
            </w:pPr>
            <w:r>
              <w:rPr>
                <w:rFonts w:ascii="宋体" w:eastAsia="宋体" w:hAnsi="宋体" w:cs="宋体"/>
                <w:b w:val="0"/>
                <w:i w:val="0"/>
                <w:color w:val="000000"/>
                <w:sz w:val="16"/>
              </w:rPr>
              <w:t xml:space="preserve">15.18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15.18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15.18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18.75</w:t>
            </w:r>
          </w:p>
        </w:tc>
        <w:tc>
          <w:tcPr>
            <w:tcW w:w="1120" w:type="dxa"/>
            <w:tcBorders/>
            <w:vAlign w:val="center"/>
          </w:tcPr>
          <w:p>
            <w:pPr>
              <w:jc w:val="right"/>
            </w:pPr>
            <w:r>
              <w:rPr>
                <w:rFonts w:ascii="宋体" w:eastAsia="宋体" w:hAnsi="宋体" w:cs="宋体"/>
                <w:b w:val="0"/>
                <w:i w:val="0"/>
                <w:color w:val="000000"/>
                <w:sz w:val="16"/>
              </w:rPr>
              <w:t xml:space="preserve">18.75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5.26</w:t>
            </w:r>
          </w:p>
        </w:tc>
        <w:tc>
          <w:tcPr>
            <w:tcW w:w="1120" w:type="dxa"/>
            <w:tcBorders/>
            <w:vAlign w:val="center"/>
          </w:tcPr>
          <w:p>
            <w:pPr>
              <w:jc w:val="right"/>
            </w:pPr>
            <w:r>
              <w:rPr>
                <w:rFonts w:ascii="宋体" w:eastAsia="宋体" w:hAnsi="宋体" w:cs="宋体"/>
                <w:b w:val="0"/>
                <w:i w:val="0"/>
                <w:color w:val="000000"/>
                <w:sz w:val="16"/>
              </w:rPr>
              <w:t xml:space="preserve">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127.69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127.69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124.44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3.25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jc w:val="right"/>
            </w:pPr>
            <w:r>
              <w:rPr>
                <w:rFonts w:ascii="宋体" w:eastAsia="宋体" w:hAnsi="宋体" w:cs="宋体"/>
                <w:b w:val="0"/>
                <w:i w:val="0"/>
                <w:color w:val="000000"/>
                <w:sz w:val="16"/>
              </w:rPr>
              <w:t xml:space="preserve">36.73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964.21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531.06</w:t>
            </w:r>
          </w:p>
        </w:tc>
        <w:tc>
          <w:tcPr>
            <w:tcW w:w="1100" w:type="dxa"/>
            <w:tcBorders/>
            <w:vAlign w:val="center"/>
          </w:tcPr>
          <w:p>
            <w:pPr>
              <w:jc w:val="right"/>
            </w:pPr>
            <w:r>
              <w:rPr>
                <w:rFonts w:ascii="宋体" w:eastAsia="宋体" w:hAnsi="宋体" w:cs="宋体"/>
                <w:b w:val="0"/>
                <w:i w:val="0"/>
                <w:color w:val="000000"/>
                <w:sz w:val="14"/>
              </w:rPr>
              <w:t xml:space="preserve">531.06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3.67</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228.75</w:t>
            </w:r>
          </w:p>
        </w:tc>
        <w:tc>
          <w:tcPr>
            <w:tcW w:w="1100" w:type="dxa"/>
            <w:tcBorders/>
            <w:vAlign w:val="center"/>
          </w:tcPr>
          <w:p>
            <w:pPr>
              <w:jc w:val="right"/>
            </w:pPr>
            <w:r>
              <w:rPr>
                <w:rFonts w:ascii="宋体" w:eastAsia="宋体" w:hAnsi="宋体" w:cs="宋体"/>
                <w:b w:val="0"/>
                <w:i w:val="0"/>
                <w:color w:val="000000"/>
                <w:sz w:val="14"/>
              </w:rPr>
              <w:t xml:space="preserve">228.75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39.97</w:t>
            </w:r>
          </w:p>
        </w:tc>
        <w:tc>
          <w:tcPr>
            <w:tcW w:w="1100" w:type="dxa"/>
            <w:tcBorders/>
            <w:vAlign w:val="center"/>
          </w:tcPr>
          <w:p>
            <w:pPr>
              <w:jc w:val="right"/>
            </w:pPr>
            <w:r>
              <w:rPr>
                <w:rFonts w:ascii="宋体" w:eastAsia="宋体" w:hAnsi="宋体" w:cs="宋体"/>
                <w:b w:val="0"/>
                <w:i w:val="0"/>
                <w:color w:val="000000"/>
                <w:sz w:val="14"/>
              </w:rPr>
              <w:t xml:space="preserve">39.97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127.69</w:t>
            </w:r>
          </w:p>
        </w:tc>
        <w:tc>
          <w:tcPr>
            <w:tcW w:w="1100" w:type="dxa"/>
            <w:tcBorders/>
            <w:vAlign w:val="center"/>
          </w:tcPr>
          <w:p>
            <w:pPr>
              <w:jc w:val="right"/>
            </w:pPr>
            <w:r>
              <w:rPr>
                <w:rFonts w:ascii="宋体" w:eastAsia="宋体" w:hAnsi="宋体" w:cs="宋体"/>
                <w:b w:val="0"/>
                <w:i w:val="0"/>
                <w:color w:val="000000"/>
                <w:sz w:val="14"/>
              </w:rPr>
              <w:t xml:space="preserve">127.69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36.73</w:t>
            </w:r>
          </w:p>
        </w:tc>
        <w:tc>
          <w:tcPr>
            <w:tcW w:w="1100" w:type="dxa"/>
            <w:tcBorders/>
            <w:vAlign w:val="center"/>
          </w:tcPr>
          <w:p>
            <w:pPr>
              <w:jc w:val="right"/>
            </w:pPr>
            <w:r>
              <w:rPr>
                <w:rFonts w:ascii="宋体" w:eastAsia="宋体" w:hAnsi="宋体" w:cs="宋体"/>
                <w:b w:val="0"/>
                <w:i w:val="0"/>
                <w:color w:val="000000"/>
                <w:sz w:val="14"/>
              </w:rPr>
              <w:t xml:space="preserve">36.73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3.67</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3.67</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967.88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967.88</w:t>
            </w:r>
          </w:p>
        </w:tc>
        <w:tc>
          <w:tcPr>
            <w:tcW w:w="1100" w:type="dxa"/>
            <w:tcBorders/>
            <w:vAlign w:val="center"/>
          </w:tcPr>
          <w:p>
            <w:pPr>
              <w:jc w:val="right"/>
            </w:pPr>
            <w:r>
              <w:rPr>
                <w:rFonts w:ascii="宋体" w:eastAsia="宋体" w:hAnsi="宋体" w:cs="宋体"/>
                <w:b w:val="0"/>
                <w:i w:val="0"/>
                <w:color w:val="000000"/>
                <w:sz w:val="14"/>
              </w:rPr>
              <w:t xml:space="preserve">964.21</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3.67</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967.88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967.88</w:t>
            </w:r>
          </w:p>
        </w:tc>
        <w:tc>
          <w:tcPr>
            <w:tcW w:w="1100" w:type="dxa"/>
            <w:tcBorders/>
            <w:vAlign w:val="center"/>
          </w:tcPr>
          <w:p>
            <w:pPr>
              <w:jc w:val="right"/>
            </w:pPr>
            <w:r>
              <w:rPr>
                <w:rFonts w:ascii="宋体" w:eastAsia="宋体" w:hAnsi="宋体" w:cs="宋体"/>
                <w:b w:val="0"/>
                <w:i w:val="0"/>
                <w:color w:val="000000"/>
                <w:sz w:val="14"/>
              </w:rPr>
              <w:t xml:space="preserve">964.21</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3.67</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964.21</w:t>
            </w:r>
          </w:p>
        </w:tc>
        <w:tc>
          <w:tcPr>
            <w:tcW w:w="1980" w:type="dxa"/>
            <w:tcBorders/>
            <w:vAlign w:val="center"/>
          </w:tcPr>
          <w:p>
            <w:pPr>
              <w:jc w:val="right"/>
            </w:pPr>
            <w:r>
              <w:rPr>
                <w:rFonts w:ascii="宋体" w:eastAsia="宋体" w:hAnsi="宋体" w:cs="宋体"/>
                <w:b/>
                <w:i w:val="0"/>
                <w:color w:val="000000"/>
                <w:sz w:val="20"/>
              </w:rPr>
              <w:t xml:space="preserve">709.77</w:t>
            </w:r>
          </w:p>
        </w:tc>
        <w:tc>
          <w:tcPr>
            <w:tcW w:w="1952" w:type="dxa"/>
            <w:tcBorders/>
            <w:vAlign w:val="center"/>
          </w:tcPr>
          <w:p>
            <w:pPr>
              <w:jc w:val="right"/>
            </w:pPr>
            <w:r>
              <w:rPr>
                <w:rFonts w:ascii="宋体" w:eastAsia="宋体" w:hAnsi="宋体" w:cs="宋体"/>
                <w:b/>
                <w:i w:val="0"/>
                <w:color w:val="000000"/>
                <w:sz w:val="20"/>
              </w:rPr>
              <w:t xml:space="preserve">254.44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531.06</w:t>
            </w:r>
          </w:p>
        </w:tc>
        <w:tc>
          <w:tcPr>
            <w:tcW w:w="1980" w:type="dxa"/>
            <w:tcBorders/>
            <w:vAlign w:val="center"/>
          </w:tcPr>
          <w:p>
            <w:pPr>
              <w:jc w:val="right"/>
            </w:pPr>
            <w:r>
              <w:rPr>
                <w:rFonts w:ascii="宋体" w:eastAsia="宋体" w:hAnsi="宋体" w:cs="宋体"/>
                <w:b w:val="0"/>
                <w:i w:val="0"/>
                <w:color w:val="000000"/>
                <w:sz w:val="20"/>
              </w:rPr>
              <w:t xml:space="preserve">449.97</w:t>
            </w:r>
          </w:p>
        </w:tc>
        <w:tc>
          <w:tcPr>
            <w:tcW w:w="1952" w:type="dxa"/>
            <w:tcBorders/>
            <w:vAlign w:val="center"/>
          </w:tcPr>
          <w:p>
            <w:pPr>
              <w:jc w:val="right"/>
            </w:pPr>
            <w:r>
              <w:rPr>
                <w:rFonts w:ascii="宋体" w:eastAsia="宋体" w:hAnsi="宋体" w:cs="宋体"/>
                <w:b w:val="0"/>
                <w:i w:val="0"/>
                <w:color w:val="000000"/>
                <w:sz w:val="20"/>
              </w:rPr>
              <w:t xml:space="preserve">81.10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530.61</w:t>
            </w:r>
          </w:p>
        </w:tc>
        <w:tc>
          <w:tcPr>
            <w:tcW w:w="1980" w:type="dxa"/>
            <w:tcBorders/>
            <w:vAlign w:val="center"/>
          </w:tcPr>
          <w:p>
            <w:pPr>
              <w:jc w:val="right"/>
            </w:pPr>
            <w:r>
              <w:rPr>
                <w:rFonts w:ascii="宋体" w:eastAsia="宋体" w:hAnsi="宋体" w:cs="宋体"/>
                <w:b w:val="0"/>
                <w:i w:val="0"/>
                <w:color w:val="000000"/>
                <w:sz w:val="20"/>
              </w:rPr>
              <w:t xml:space="preserve">449.97</w:t>
            </w:r>
          </w:p>
        </w:tc>
        <w:tc>
          <w:tcPr>
            <w:tcW w:w="1952" w:type="dxa"/>
            <w:tcBorders/>
            <w:vAlign w:val="center"/>
          </w:tcPr>
          <w:p>
            <w:pPr>
              <w:jc w:val="right"/>
            </w:pPr>
            <w:r>
              <w:rPr>
                <w:rFonts w:ascii="宋体" w:eastAsia="宋体" w:hAnsi="宋体" w:cs="宋体"/>
                <w:b w:val="0"/>
                <w:i w:val="0"/>
                <w:color w:val="000000"/>
                <w:sz w:val="20"/>
              </w:rPr>
              <w:t xml:space="preserve">80.65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385.17</w:t>
            </w:r>
          </w:p>
        </w:tc>
        <w:tc>
          <w:tcPr>
            <w:tcW w:w="1980" w:type="dxa"/>
            <w:tcBorders/>
            <w:vAlign w:val="center"/>
          </w:tcPr>
          <w:p>
            <w:pPr>
              <w:jc w:val="right"/>
            </w:pPr>
            <w:r>
              <w:rPr>
                <w:rFonts w:ascii="宋体" w:eastAsia="宋体" w:hAnsi="宋体" w:cs="宋体"/>
                <w:b w:val="0"/>
                <w:i w:val="0"/>
                <w:color w:val="000000"/>
                <w:sz w:val="20"/>
              </w:rPr>
              <w:t xml:space="preserve">385.17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37.00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108.44</w:t>
            </w:r>
          </w:p>
        </w:tc>
        <w:tc>
          <w:tcPr>
            <w:tcW w:w="1980" w:type="dxa"/>
            <w:tcBorders/>
            <w:vAlign w:val="center"/>
          </w:tcPr>
          <w:p>
            <w:pPr>
              <w:jc w:val="right"/>
            </w:pPr>
            <w:r>
              <w:rPr>
                <w:rFonts w:ascii="宋体" w:eastAsia="宋体" w:hAnsi="宋体" w:cs="宋体"/>
                <w:b w:val="0"/>
                <w:i w:val="0"/>
                <w:color w:val="000000"/>
                <w:sz w:val="20"/>
              </w:rPr>
              <w:t xml:space="preserve">64.80</w:t>
            </w:r>
          </w:p>
        </w:tc>
        <w:tc>
          <w:tcPr>
            <w:tcW w:w="1952" w:type="dxa"/>
            <w:tcBorders/>
            <w:vAlign w:val="center"/>
          </w:tcPr>
          <w:p>
            <w:pPr>
              <w:jc w:val="right"/>
            </w:pPr>
            <w:r>
              <w:rPr>
                <w:rFonts w:ascii="宋体" w:eastAsia="宋体" w:hAnsi="宋体" w:cs="宋体"/>
                <w:b w:val="0"/>
                <w:i w:val="0"/>
                <w:color w:val="000000"/>
                <w:sz w:val="20"/>
              </w:rPr>
              <w:t xml:space="preserve">43.65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228.75</w:t>
            </w:r>
          </w:p>
        </w:tc>
        <w:tc>
          <w:tcPr>
            <w:tcW w:w="1980" w:type="dxa"/>
            <w:tcBorders/>
            <w:vAlign w:val="center"/>
          </w:tcPr>
          <w:p>
            <w:pPr>
              <w:jc w:val="right"/>
            </w:pPr>
            <w:r>
              <w:rPr>
                <w:rFonts w:ascii="宋体" w:eastAsia="宋体" w:hAnsi="宋体" w:cs="宋体"/>
                <w:b w:val="0"/>
                <w:i w:val="0"/>
                <w:color w:val="000000"/>
                <w:sz w:val="20"/>
              </w:rPr>
              <w:t xml:space="preserve">198.28</w:t>
            </w:r>
          </w:p>
        </w:tc>
        <w:tc>
          <w:tcPr>
            <w:tcW w:w="1952" w:type="dxa"/>
            <w:tcBorders/>
            <w:vAlign w:val="center"/>
          </w:tcPr>
          <w:p>
            <w:pPr>
              <w:jc w:val="right"/>
            </w:pPr>
            <w:r>
              <w:rPr>
                <w:rFonts w:ascii="宋体" w:eastAsia="宋体" w:hAnsi="宋体" w:cs="宋体"/>
                <w:b w:val="0"/>
                <w:i w:val="0"/>
                <w:color w:val="000000"/>
                <w:sz w:val="20"/>
              </w:rPr>
              <w:t xml:space="preserve">30.47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148.91</w:t>
            </w:r>
          </w:p>
        </w:tc>
        <w:tc>
          <w:tcPr>
            <w:tcW w:w="1980" w:type="dxa"/>
            <w:tcBorders/>
            <w:vAlign w:val="center"/>
          </w:tcPr>
          <w:p>
            <w:pPr>
              <w:jc w:val="right"/>
            </w:pPr>
            <w:r>
              <w:rPr>
                <w:rFonts w:ascii="宋体" w:eastAsia="宋体" w:hAnsi="宋体" w:cs="宋体"/>
                <w:b w:val="0"/>
                <w:i w:val="0"/>
                <w:color w:val="000000"/>
                <w:sz w:val="20"/>
              </w:rPr>
              <w:t xml:space="preserve">118.44</w:t>
            </w:r>
          </w:p>
        </w:tc>
        <w:tc>
          <w:tcPr>
            <w:tcW w:w="1952" w:type="dxa"/>
            <w:tcBorders/>
            <w:vAlign w:val="center"/>
          </w:tcPr>
          <w:p>
            <w:pPr>
              <w:jc w:val="right"/>
            </w:pPr>
            <w:r>
              <w:rPr>
                <w:rFonts w:ascii="宋体" w:eastAsia="宋体" w:hAnsi="宋体" w:cs="宋体"/>
                <w:b w:val="0"/>
                <w:i w:val="0"/>
                <w:color w:val="000000"/>
                <w:sz w:val="20"/>
              </w:rPr>
              <w:t xml:space="preserve">30.47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148.91</w:t>
            </w:r>
          </w:p>
        </w:tc>
        <w:tc>
          <w:tcPr>
            <w:tcW w:w="1980" w:type="dxa"/>
            <w:tcBorders/>
            <w:vAlign w:val="center"/>
          </w:tcPr>
          <w:p>
            <w:pPr>
              <w:jc w:val="right"/>
            </w:pPr>
            <w:r>
              <w:rPr>
                <w:rFonts w:ascii="宋体" w:eastAsia="宋体" w:hAnsi="宋体" w:cs="宋体"/>
                <w:b w:val="0"/>
                <w:i w:val="0"/>
                <w:color w:val="000000"/>
                <w:sz w:val="20"/>
              </w:rPr>
              <w:t xml:space="preserve">118.44</w:t>
            </w:r>
          </w:p>
        </w:tc>
        <w:tc>
          <w:tcPr>
            <w:tcW w:w="1952" w:type="dxa"/>
            <w:tcBorders/>
            <w:vAlign w:val="center"/>
          </w:tcPr>
          <w:p>
            <w:pPr>
              <w:jc w:val="right"/>
            </w:pPr>
            <w:r>
              <w:rPr>
                <w:rFonts w:ascii="宋体" w:eastAsia="宋体" w:hAnsi="宋体" w:cs="宋体"/>
                <w:b w:val="0"/>
                <w:i w:val="0"/>
                <w:color w:val="000000"/>
                <w:sz w:val="20"/>
              </w:rPr>
              <w:t xml:space="preserve">30.47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54.01</w:t>
            </w:r>
          </w:p>
        </w:tc>
        <w:tc>
          <w:tcPr>
            <w:tcW w:w="1980" w:type="dxa"/>
            <w:tcBorders/>
            <w:vAlign w:val="center"/>
          </w:tcPr>
          <w:p>
            <w:pPr>
              <w:jc w:val="right"/>
            </w:pPr>
            <w:r>
              <w:rPr>
                <w:rFonts w:ascii="宋体" w:eastAsia="宋体" w:hAnsi="宋体" w:cs="宋体"/>
                <w:b w:val="0"/>
                <w:i w:val="0"/>
                <w:color w:val="000000"/>
                <w:sz w:val="20"/>
              </w:rPr>
              <w:t xml:space="preserve">54.01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48.72</w:t>
            </w:r>
          </w:p>
        </w:tc>
        <w:tc>
          <w:tcPr>
            <w:tcW w:w="1980" w:type="dxa"/>
            <w:tcBorders/>
            <w:vAlign w:val="center"/>
          </w:tcPr>
          <w:p>
            <w:pPr>
              <w:jc w:val="right"/>
            </w:pPr>
            <w:r>
              <w:rPr>
                <w:rFonts w:ascii="宋体" w:eastAsia="宋体" w:hAnsi="宋体" w:cs="宋体"/>
                <w:b w:val="0"/>
                <w:i w:val="0"/>
                <w:color w:val="000000"/>
                <w:sz w:val="20"/>
              </w:rPr>
              <w:t xml:space="preserve">48.72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25.83</w:t>
            </w:r>
          </w:p>
        </w:tc>
        <w:tc>
          <w:tcPr>
            <w:tcW w:w="1980" w:type="dxa"/>
            <w:tcBorders/>
            <w:vAlign w:val="center"/>
          </w:tcPr>
          <w:p>
            <w:pPr>
              <w:jc w:val="right"/>
            </w:pPr>
            <w:r>
              <w:rPr>
                <w:rFonts w:ascii="宋体" w:eastAsia="宋体" w:hAnsi="宋体" w:cs="宋体"/>
                <w:b w:val="0"/>
                <w:i w:val="0"/>
                <w:color w:val="000000"/>
                <w:sz w:val="20"/>
              </w:rPr>
              <w:t xml:space="preserve">25.83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22.68</w:t>
            </w:r>
          </w:p>
        </w:tc>
        <w:tc>
          <w:tcPr>
            <w:tcW w:w="1980" w:type="dxa"/>
            <w:tcBorders/>
            <w:vAlign w:val="center"/>
          </w:tcPr>
          <w:p>
            <w:pPr>
              <w:jc w:val="right"/>
            </w:pPr>
            <w:r>
              <w:rPr>
                <w:rFonts w:ascii="宋体" w:eastAsia="宋体" w:hAnsi="宋体" w:cs="宋体"/>
                <w:b w:val="0"/>
                <w:i w:val="0"/>
                <w:color w:val="000000"/>
                <w:sz w:val="20"/>
              </w:rPr>
              <w:t xml:space="preserve">22.68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39.98</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52" w:type="dxa"/>
            <w:tcBorders/>
            <w:vAlign w:val="center"/>
          </w:tcPr>
          <w:p>
            <w:pPr>
              <w:jc w:val="right"/>
            </w:pPr>
            <w:r>
              <w:rPr>
                <w:rFonts w:ascii="宋体" w:eastAsia="宋体" w:hAnsi="宋体" w:cs="宋体"/>
                <w:b w:val="0"/>
                <w:i w:val="0"/>
                <w:color w:val="000000"/>
                <w:sz w:val="20"/>
              </w:rPr>
              <w:t xml:space="preserve">15.18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15.18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15.18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18.75</w:t>
            </w:r>
          </w:p>
        </w:tc>
        <w:tc>
          <w:tcPr>
            <w:tcW w:w="1980" w:type="dxa"/>
            <w:tcBorders/>
            <w:vAlign w:val="center"/>
          </w:tcPr>
          <w:p>
            <w:pPr>
              <w:jc w:val="right"/>
            </w:pPr>
            <w:r>
              <w:rPr>
                <w:rFonts w:ascii="宋体" w:eastAsia="宋体" w:hAnsi="宋体" w:cs="宋体"/>
                <w:b w:val="0"/>
                <w:i w:val="0"/>
                <w:color w:val="000000"/>
                <w:sz w:val="20"/>
              </w:rPr>
              <w:t xml:space="preserve">18.75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5.26</w:t>
            </w:r>
          </w:p>
        </w:tc>
        <w:tc>
          <w:tcPr>
            <w:tcW w:w="1980" w:type="dxa"/>
            <w:tcBorders/>
            <w:vAlign w:val="center"/>
          </w:tcPr>
          <w:p>
            <w:pPr>
              <w:jc w:val="right"/>
            </w:pPr>
            <w:r>
              <w:rPr>
                <w:rFonts w:ascii="宋体" w:eastAsia="宋体" w:hAnsi="宋体" w:cs="宋体"/>
                <w:b w:val="0"/>
                <w:i w:val="0"/>
                <w:color w:val="000000"/>
                <w:sz w:val="20"/>
              </w:rPr>
              <w:t xml:space="preserve">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127.69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127.69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124.44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3.25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80" w:type="dxa"/>
            <w:tcBorders/>
            <w:vAlign w:val="center"/>
          </w:tcPr>
          <w:p>
            <w:pPr>
              <w:jc w:val="right"/>
            </w:pPr>
            <w:r>
              <w:rPr>
                <w:rFonts w:ascii="宋体" w:eastAsia="宋体" w:hAnsi="宋体" w:cs="宋体"/>
                <w:b w:val="0"/>
                <w:i w:val="0"/>
                <w:color w:val="000000"/>
                <w:sz w:val="20"/>
              </w:rPr>
              <w:t xml:space="preserve">36.73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407.70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269.15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140.23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65.11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78.31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4.81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78.02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1.81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2.82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48.72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36.62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0.15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18.56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35.74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5.26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36.73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15.48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8.05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5.29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25.83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1.44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6.79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15.20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67.45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438.82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270.96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3.67</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3.67</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3.67</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3.67</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3.67</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3.67</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3.67</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3.67</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rPr>
          <w:trHeight w:hRule="exact" w:val="849"/>
          <w:jc w:val="center"/>
        </w:trPr>
        <w:tc>
          <w:tcPr>
            <w:tcW w:w="1483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部门预算项目（政策）支出绩效运行监控表（2023年度）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8"/>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项目名称</w:t>
            </w:r>
          </w:p>
        </w:tc>
        <w:tc>
          <w:tcPr>
            <w:tcW w:w="1322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村人员经费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主管部门及代码</w:t>
            </w:r>
          </w:p>
        </w:tc>
        <w:tc>
          <w:tcPr>
            <w:tcW w:w="5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351辽宁省盘锦市兴隆台区兴盛街道办事处-211103000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351011辽宁省盘锦市兴隆台区兴盛街道办事处-211103000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项目预算资金（万元）</w:t>
            </w: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年初预算数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指标下达金额数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156.66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187.3413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73.74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39.36%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156.66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确保单位正常运转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保障工作正常运转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当期执行情况</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全年预计完成情况</w:t>
            </w:r>
          </w:p>
        </w:tc>
        <w:tc>
          <w:tcPr>
            <w:tcW w:w="442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完成目标可能性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确定能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有可能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完全不可能</w:t>
            </w:r>
          </w:p>
        </w:tc>
        <w:tc>
          <w:tcPr>
            <w:tcW w:w="19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产出指标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质量指标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正常运转率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时效指标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保障及时率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按标准保障率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86"/>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确保机关事业单位平稳运行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可持续影响指标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保障水平</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364"/>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机关事业单位干部群众满意度</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8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进一步规范资金管理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进一步加强预算项目管理，提升预算执行效率和效益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rPr>
          <w:trHeight w:hRule="exact" w:val="849"/>
          <w:jc w:val="center"/>
        </w:trPr>
        <w:tc>
          <w:tcPr>
            <w:tcW w:w="1483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部门预算项目（政策）支出绩效运行监控表（2023年度）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8"/>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项目名称</w:t>
            </w:r>
          </w:p>
        </w:tc>
        <w:tc>
          <w:tcPr>
            <w:tcW w:w="1322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社区运行经费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主管部门及代码</w:t>
            </w:r>
          </w:p>
        </w:tc>
        <w:tc>
          <w:tcPr>
            <w:tcW w:w="5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351辽宁省盘锦市兴隆台区兴盛街道办事处-211103000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351011辽宁省盘锦市兴隆台区兴盛街道办事处-211103000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项目预算资金（万元）</w:t>
            </w: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年初预算数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指标下达金额数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确保单位正常运转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保障工作正常运行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当期执行情况</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全年预计完成情况</w:t>
            </w:r>
          </w:p>
        </w:tc>
        <w:tc>
          <w:tcPr>
            <w:tcW w:w="442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完成目标可能性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确定能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有可能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完全不可能</w:t>
            </w:r>
          </w:p>
        </w:tc>
        <w:tc>
          <w:tcPr>
            <w:tcW w:w="19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产出指标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质量指标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正常运转率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时效指标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保障及时率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按标准保障率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86"/>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确保机关事业单位平稳运行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可持续影响指标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保障水平</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364"/>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机关事业单位干部群众满意度</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较好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8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进一步规范资金使用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进一步加强预算项目管理，提升预算执行效率和效益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814"/>
        <w:gridCol w:w="660"/>
        <w:gridCol w:w="660"/>
        <w:gridCol w:w="660"/>
        <w:gridCol w:w="660"/>
        <w:gridCol w:w="660"/>
        <w:gridCol w:w="660"/>
        <w:gridCol w:w="756"/>
        <w:gridCol w:w="660"/>
        <w:gridCol w:w="931"/>
        <w:gridCol w:w="931"/>
        <w:gridCol w:w="931"/>
        <w:gridCol w:w="931"/>
        <w:gridCol w:w="931"/>
        <w:gridCol w:w="660"/>
        <w:gridCol w:w="660"/>
        <w:gridCol w:w="660"/>
        <w:gridCol w:w="2017"/>
      </w:tblGrid>
      <w:tr>
        <w:trPr>
          <w:trHeight w:hRule="exact" w:val="293"/>
          <w:jc w:val="center"/>
        </w:trPr>
        <w:tc>
          <w:tcPr>
            <w:tcW w:w="14842"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1"/>
              </w:rPr>
              <w:t xml:space="preserve">部门（单位）整体绩效运行监控表（2023年）</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93"/>
          <w:jc w:val="center"/>
        </w:trPr>
        <w:tc>
          <w:tcPr>
            <w:tcW w:w="14842"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93"/>
          <w:jc w:val="center"/>
        </w:trPr>
        <w:tc>
          <w:tcPr>
            <w:tcW w:w="14842"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8"/>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351011辽宁省盘锦市兴隆台区兴盛街道办事处-211103000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部门（单位）整体支出情况（万元）</w:t>
            </w: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9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2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年度部门预算支出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9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364.92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2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年度任务</w:t>
            </w: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年初预算数</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执行数</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260.61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229.72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229.72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54.93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56.66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31.85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23.62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816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816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保障全体工作正常运行   保障质量 社会效益  </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能够较好的保障工作正常运行  保障质量 社会效益  ，完成年初绩效目标，工作保持良好。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9"/>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75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当期执行情况</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全年预计完成情况</w:t>
            </w:r>
          </w:p>
        </w:tc>
        <w:tc>
          <w:tcPr>
            <w:tcW w:w="465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完成目标可能性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r>
      <w:tr>
        <w:trPr>
          <w:trHeight w:hRule="exact" w:val="851"/>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确定能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有可能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完全不可能</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履职效能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重点工作履行情况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重点工作办结率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整体工作完成情况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工作质量达标率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工作完成及时率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总体工作完成率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基础管理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依法行政能力</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综合管理水平</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预算执行效率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预算调整率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结转结余变动率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管理效率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预算编制管理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预算绩效目标覆盖率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预算监督管理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预决算公开情况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预算收支管理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预算收入管理规范性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预算支出管理规范性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财务管理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内控制度有效性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资产管理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固定资产利用率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0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业务管理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政府采购管理违法违规行为发生次数</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运行成本</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成本控制成效</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“三公”经费变动率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在职人员控制率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社会效应</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政治效益</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推进依法治国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规范管理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服务对象满意度</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参保人员满意度</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129"/>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可持续性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体制机制改革</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建立制度规范档案管理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规范管理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8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w:t>
            </w: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资产系统进一步改善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建议核减下一年经费数额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建议削减低效、无效资金或结构调整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建议收回长期沉淀的资金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削减低效、无效资金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对部门（单位）的资金结构进行调整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收回部门（单位）长期沉淀的资金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557"/>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规范部门预算管理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提升部门预算执行效率和效益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预算执行进度缓慢,按规定调整下一年经费数额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削减低效、无效资金或结构调整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对部门（单位）的资金结构进行调整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收回长期沉淀的资金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513"/>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64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