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辽宁省盘锦市兴隆台区司法局（本级）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辽宁省盘锦市兴隆台区司法局（本级）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辽宁省盘锦市兴隆台区司法局（本级）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辽宁省盘锦市兴隆台区司法局（本级）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辽宁省盘锦市兴隆台区司法局（本级）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辽宁省盘锦市兴隆台区司法局（本级）概况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（一）承担全面依法治区重大问题的研究，协调有关方面提出全面依法治区中长期规划建议，负责有关重大决策问题部署督察工作。</w:t>
        <w:br/>
        <w:t xml:space="preserve">    （二）负责区政府、区政府办公室发布的行政规范性文件合法性审查。负责各街道办事处、区直部门行政规范性文件的备案审查工作。组织开展行政规范性文件的清理工作。</w:t>
        <w:br/>
        <w:t xml:space="preserve">    （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br/>
        <w:t xml:space="preserve">    （四）承担统筹推进法治政府建设的责任。指导、监督区政府各部门、各街道办事处依法行政工作，组织开展法治政府建设理论研究和宣传工作，负责综合协调行政执法，指导、监督各街道办事处、区直各部门行政执法工作。</w:t>
        <w:br/>
        <w:t xml:space="preserve">    （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br/>
        <w:t xml:space="preserve">    （六）负责社区矫正和刑满释放人员帮教安置工作。</w:t>
        <w:br/>
        <w:t xml:space="preserve">    （七）负责拟订公共法律服务体系建设具体规划并组织实施，统筹和布局城乡、区域法律服务资源，指导、监督公共法律服务中心建设，协调、监督律师、法律援助、司法鉴定、公证和基层法律服务管理工作。</w:t>
        <w:br/>
        <w:t xml:space="preserve">    （八）负责区政府法律顾问工作，对区政府作出的重大行政决策进行合法性审查，负责区政府法律事务咨询等工作。</w:t>
        <w:br/>
        <w:t xml:space="preserve">    （九）负责本系统服装和警车管理工作，指导、监督本系统财务、装备、设施、场所等保障工作。</w:t>
        <w:br/>
        <w:t xml:space="preserve">    （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br/>
        <w:t xml:space="preserve">    （十一）依照《安全生产法》和其他有关法律、法规的规定，部门职责范围内负责对行业、领域的安全生产工作实施监督管理。</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辽宁省盘锦市兴隆台区司法局（本级）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设置11个基层司法所，为区司法局派出机构，司法所实行区司法局和街道办事处双重管理，以区司法局管理为主的管理体制。主要负责指导管理和组织实施本辖区的司法行政各项业务工作。名称分别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曙光司法所；9、兴隆台区司法局欢喜岭司法所；10、兴隆台区司法局沈采司法所；11、兴隆台区司法局惠宾司法所。</w:t>
        <w:br/>
        <w:t xml:space="preserve">    2.下设副科级事业单位，盘锦市兴隆台区法律援助中心。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787.11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787.11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787.11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增加212.29万元，增长36.93%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部门项目增加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787.11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519.27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65.97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工资福利支出469.49万元；商品和服务支出44.02万元；对个人和家庭的补助5.77万元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267.84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34.03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主要包括社区矫正、基层司法、法律顾问等业务支出。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增加212.29万元，增长36.93%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部门项目增加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787.11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519.27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267.84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增加212.29万元，增长36.93%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部门项目增加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96.56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85.69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128.03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2023年度一般公共预算财政拨款支出787.11万元。按支出功能分类科目分，包括：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1.公共安全支出651.67万元，具体包括：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（1）公共安全支出（类）司法（款）行政运行（项）383.83万元,主要是工资和福利、商品和服务、对家庭及个人的补助等支出，完成年初预算的84.37%，决算数与年初预算数存在差异的主要原因是人员调转。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（2）公共安全支出（类）司法（款）基层司法业务（项）37.75万元,主要是专项业务费用等支出，完成年初预算的103.99%，决算数与年初预算数存在差异的主要原因是项目支出增加。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（3）公共安全支出（类）司法（款）普法宣传（项）11.66万元,主要是专项业务费用等支出，完成年初预算的129.56%，决算数与年初预算数存在差异的主要原因是项目支出增加。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（4）公共安全支出（类）司法（款）律师管理（项）96.81万元,主要是专项业务费用等支出，完成年初预算的107.57%，决算数与年初预算数存在差异的主要原因是项目支出增加。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（5）公共安全支出（类）司法（款）公共法律服务（项）15.00万元,主要是专项业务费用等支出，完成年初预算的30%，决算数与年初预算数存在差异的主要原因是项目支出减少。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（6）公共安全支出（类）司法（款）社区矫正（项）34.71万元,主要是专项业务费用等支出，完成年初预算的267%，决算数与年初预算数存在差异的主要原因是项目支出增加。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（7）公共安全支出（类）司法（款）其他司法支出（项）71.91万元,主要是专项业务费用等支出，完成年初预算的659.72%，决算数与年初预算数存在差异的主要原因是项目支出增加。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2.社会保障和就业支出72.70万元，具体包括：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（1）社会保障和就业支出（类）行政事业单位养老支出（款）行政单位离退休（项）4.28万元,主要是退休人员取暖费等支出，完成年初预算的0%，决算数与年初预算数存在差异的主要原因是年初没有预算。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39.73万元,主要是在职人员养老保险等支出，完成年初预算的62.19%，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27.21万元,主要是在职人员职业年金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（5）社会保障和就业支出（类）抚恤（款）伤残抚恤（项）1.48万元,主要是伤残抚恤等支出，完成年初预算的0%，决算数与年初预算数存在差异的主要原因是年初无预算。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（1）卫生健康支出（类）行政事业单位医疗（款）行政单位医疗（项）16.16万元,主要是在职人员医疗保险等支出，完成年初预算的64.46%，决算数与年初预算数存在差异的主要原因是按1.1倍计算预算数。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（2）卫生健康支出（类）行政事业单位医疗（款）公务员医疗补助（项）4.55万元,主要是公务员医疗补助等支出，完成年初预算的64.17%，决算数与年初预算数存在差异的主要原因是按1.1倍计算预算数。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0.97万元,主要是工伤保险等支出，完成年初预算的136.62%，决算数与年初预算数存在差异的主要原因是新增工伤保险年初无法计算具体数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4.住房保障支出41.05万元，具体包括：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（1）住房保障支出（类）住房改革支出（款）住房公积金（项）41.05万元,主要是在职人员公积金等支出，完成年初预算的81.11%，决算数与年初预算数存在差异的主要原因是按1.1倍计算预算数。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本单位无因公出国、无公务接待、无公务用车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519.28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475.26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44.02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44.02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比上年增加3.83万元，增长9.53%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办公费、印刷费、其他商品和服务支出较上年度增加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组织对1个单位开展整体绩效自评，涉及资金605.98万元，自评平均分100分。《部门（单位）整体绩效自评表》见附件。</w:t>
        <w:br/>
        <w:t xml:space="preserve">    部门评价情况。2023年我部门未涉及相关评价工作。</w:t>
        <w:br/>
        <w:t xml:space="preserve">    2.项目绩效自评结果。</w:t>
        <w:br/>
        <w:t xml:space="preserve">    本部门在2023年度省直部门决算中无项目绩效自评结果。</w:t>
        <w:br/>
        <w:t xml:space="preserve">    3.部门评价结果。</w:t>
        <w:br/>
        <w:t xml:space="preserve">    2023年度，盘锦市兴隆台区司法局未开展部门重点评价工作。</w:t>
        <w:br/>
        <w:t xml:space="preserve">    4.财政评价结果。</w:t>
        <w:br/>
        <w:t xml:space="preserve">    2023年度，兴隆台区财政部门总体意见为继续规范财政资金管理，提升部门预算执行率和效益。</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787.11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651.67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72.71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41.05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787.11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787.11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787.11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787.11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787.11</w:t>
            </w:r>
          </w:p>
        </w:tc>
        <w:tc>
          <w:tcPr>
            <w:tcW w:w="1160" w:type="dxa"/>
            <w:tcBorders/>
            <w:vAlign w:val="center"/>
          </w:tcPr>
          <w:p>
            <w:pPr>
              <w:jc w:val="right"/>
            </w:pPr>
            <w:r>
              <w:rPr>
                <w:rFonts w:ascii="宋体" w:eastAsia="宋体" w:hAnsi="宋体" w:cs="宋体"/>
                <w:b/>
                <w:i w:val="0"/>
                <w:color w:val="000000"/>
                <w:sz w:val="14"/>
              </w:rPr>
              <w:t xml:space="preserve">787.11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651.67</w:t>
            </w:r>
          </w:p>
        </w:tc>
        <w:tc>
          <w:tcPr>
            <w:tcW w:w="1160" w:type="dxa"/>
            <w:tcBorders/>
            <w:vAlign w:val="center"/>
          </w:tcPr>
          <w:p>
            <w:pPr>
              <w:jc w:val="right"/>
            </w:pPr>
            <w:r>
              <w:rPr>
                <w:rFonts w:ascii="宋体" w:eastAsia="宋体" w:hAnsi="宋体" w:cs="宋体"/>
                <w:b w:val="0"/>
                <w:i w:val="0"/>
                <w:color w:val="000000"/>
                <w:sz w:val="14"/>
              </w:rPr>
              <w:t xml:space="preserve">651.67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651.67</w:t>
            </w:r>
          </w:p>
        </w:tc>
        <w:tc>
          <w:tcPr>
            <w:tcW w:w="1160" w:type="dxa"/>
            <w:tcBorders/>
            <w:vAlign w:val="center"/>
          </w:tcPr>
          <w:p>
            <w:pPr>
              <w:jc w:val="right"/>
            </w:pPr>
            <w:r>
              <w:rPr>
                <w:rFonts w:ascii="宋体" w:eastAsia="宋体" w:hAnsi="宋体" w:cs="宋体"/>
                <w:b w:val="0"/>
                <w:i w:val="0"/>
                <w:color w:val="000000"/>
                <w:sz w:val="14"/>
              </w:rPr>
              <w:t xml:space="preserve">651.67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383.83</w:t>
            </w:r>
          </w:p>
        </w:tc>
        <w:tc>
          <w:tcPr>
            <w:tcW w:w="1160" w:type="dxa"/>
            <w:tcBorders/>
            <w:vAlign w:val="center"/>
          </w:tcPr>
          <w:p>
            <w:pPr>
              <w:jc w:val="right"/>
            </w:pPr>
            <w:r>
              <w:rPr>
                <w:rFonts w:ascii="宋体" w:eastAsia="宋体" w:hAnsi="宋体" w:cs="宋体"/>
                <w:b w:val="0"/>
                <w:i w:val="0"/>
                <w:color w:val="000000"/>
                <w:sz w:val="14"/>
              </w:rPr>
              <w:t xml:space="preserve">383.83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37.75</w:t>
            </w:r>
          </w:p>
        </w:tc>
        <w:tc>
          <w:tcPr>
            <w:tcW w:w="1160" w:type="dxa"/>
            <w:tcBorders/>
            <w:vAlign w:val="center"/>
          </w:tcPr>
          <w:p>
            <w:pPr>
              <w:jc w:val="right"/>
            </w:pPr>
            <w:r>
              <w:rPr>
                <w:rFonts w:ascii="宋体" w:eastAsia="宋体" w:hAnsi="宋体" w:cs="宋体"/>
                <w:b w:val="0"/>
                <w:i w:val="0"/>
                <w:color w:val="000000"/>
                <w:sz w:val="14"/>
              </w:rPr>
              <w:t xml:space="preserve">37.75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普法宣传</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jc w:val="right"/>
            </w:pPr>
            <w:r>
              <w:rPr>
                <w:rFonts w:ascii="宋体" w:eastAsia="宋体" w:hAnsi="宋体" w:cs="宋体"/>
                <w:b w:val="0"/>
                <w:i w:val="0"/>
                <w:color w:val="000000"/>
                <w:sz w:val="14"/>
              </w:rPr>
              <w:t xml:space="preserve">11.66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律师管理</w:t>
            </w:r>
          </w:p>
        </w:tc>
        <w:tc>
          <w:tcPr>
            <w:tcW w:w="1160" w:type="dxa"/>
            <w:tcBorders/>
            <w:vAlign w:val="center"/>
          </w:tcPr>
          <w:p>
            <w:pPr>
              <w:jc w:val="right"/>
            </w:pPr>
            <w:r>
              <w:rPr>
                <w:rFonts w:ascii="宋体" w:eastAsia="宋体" w:hAnsi="宋体" w:cs="宋体"/>
                <w:b w:val="0"/>
                <w:i w:val="0"/>
                <w:color w:val="000000"/>
                <w:sz w:val="14"/>
              </w:rPr>
              <w:t xml:space="preserve">96.81</w:t>
            </w:r>
          </w:p>
        </w:tc>
        <w:tc>
          <w:tcPr>
            <w:tcW w:w="1160" w:type="dxa"/>
            <w:tcBorders/>
            <w:vAlign w:val="center"/>
          </w:tcPr>
          <w:p>
            <w:pPr>
              <w:jc w:val="right"/>
            </w:pPr>
            <w:r>
              <w:rPr>
                <w:rFonts w:ascii="宋体" w:eastAsia="宋体" w:hAnsi="宋体" w:cs="宋体"/>
                <w:b w:val="0"/>
                <w:i w:val="0"/>
                <w:color w:val="000000"/>
                <w:sz w:val="14"/>
              </w:rPr>
              <w:t xml:space="preserve">96.81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公共法律服务</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社区矫正</w:t>
            </w:r>
          </w:p>
        </w:tc>
        <w:tc>
          <w:tcPr>
            <w:tcW w:w="1160" w:type="dxa"/>
            <w:tcBorders/>
            <w:vAlign w:val="center"/>
          </w:tcPr>
          <w:p>
            <w:pPr>
              <w:jc w:val="right"/>
            </w:pPr>
            <w:r>
              <w:rPr>
                <w:rFonts w:ascii="宋体" w:eastAsia="宋体" w:hAnsi="宋体" w:cs="宋体"/>
                <w:b w:val="0"/>
                <w:i w:val="0"/>
                <w:color w:val="000000"/>
                <w:sz w:val="14"/>
              </w:rPr>
              <w:t xml:space="preserve">34.71</w:t>
            </w:r>
          </w:p>
        </w:tc>
        <w:tc>
          <w:tcPr>
            <w:tcW w:w="1160" w:type="dxa"/>
            <w:tcBorders/>
            <w:vAlign w:val="center"/>
          </w:tcPr>
          <w:p>
            <w:pPr>
              <w:jc w:val="right"/>
            </w:pPr>
            <w:r>
              <w:rPr>
                <w:rFonts w:ascii="宋体" w:eastAsia="宋体" w:hAnsi="宋体" w:cs="宋体"/>
                <w:b w:val="0"/>
                <w:i w:val="0"/>
                <w:color w:val="000000"/>
                <w:sz w:val="14"/>
              </w:rPr>
              <w:t xml:space="preserve">34.71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其他司法支出</w:t>
            </w:r>
          </w:p>
        </w:tc>
        <w:tc>
          <w:tcPr>
            <w:tcW w:w="1160" w:type="dxa"/>
            <w:tcBorders/>
            <w:vAlign w:val="center"/>
          </w:tcPr>
          <w:p>
            <w:pPr>
              <w:jc w:val="right"/>
            </w:pPr>
            <w:r>
              <w:rPr>
                <w:rFonts w:ascii="宋体" w:eastAsia="宋体" w:hAnsi="宋体" w:cs="宋体"/>
                <w:b w:val="0"/>
                <w:i w:val="0"/>
                <w:color w:val="000000"/>
                <w:sz w:val="14"/>
              </w:rPr>
              <w:t xml:space="preserve">71.91</w:t>
            </w:r>
          </w:p>
        </w:tc>
        <w:tc>
          <w:tcPr>
            <w:tcW w:w="1160" w:type="dxa"/>
            <w:tcBorders/>
            <w:vAlign w:val="center"/>
          </w:tcPr>
          <w:p>
            <w:pPr>
              <w:jc w:val="right"/>
            </w:pPr>
            <w:r>
              <w:rPr>
                <w:rFonts w:ascii="宋体" w:eastAsia="宋体" w:hAnsi="宋体" w:cs="宋体"/>
                <w:b w:val="0"/>
                <w:i w:val="0"/>
                <w:color w:val="000000"/>
                <w:sz w:val="14"/>
              </w:rPr>
              <w:t xml:space="preserve">71.91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72.70</w:t>
            </w:r>
          </w:p>
        </w:tc>
        <w:tc>
          <w:tcPr>
            <w:tcW w:w="1160" w:type="dxa"/>
            <w:tcBorders/>
            <w:vAlign w:val="center"/>
          </w:tcPr>
          <w:p>
            <w:pPr>
              <w:jc w:val="right"/>
            </w:pPr>
            <w:r>
              <w:rPr>
                <w:rFonts w:ascii="宋体" w:eastAsia="宋体" w:hAnsi="宋体" w:cs="宋体"/>
                <w:b w:val="0"/>
                <w:i w:val="0"/>
                <w:color w:val="000000"/>
                <w:sz w:val="14"/>
              </w:rPr>
              <w:t xml:space="preserve">72.70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71.22</w:t>
            </w:r>
          </w:p>
        </w:tc>
        <w:tc>
          <w:tcPr>
            <w:tcW w:w="1160" w:type="dxa"/>
            <w:tcBorders/>
            <w:vAlign w:val="center"/>
          </w:tcPr>
          <w:p>
            <w:pPr>
              <w:jc w:val="right"/>
            </w:pPr>
            <w:r>
              <w:rPr>
                <w:rFonts w:ascii="宋体" w:eastAsia="宋体" w:hAnsi="宋体" w:cs="宋体"/>
                <w:b w:val="0"/>
                <w:i w:val="0"/>
                <w:color w:val="000000"/>
                <w:sz w:val="14"/>
              </w:rPr>
              <w:t xml:space="preserve">71.22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39.73</w:t>
            </w:r>
          </w:p>
        </w:tc>
        <w:tc>
          <w:tcPr>
            <w:tcW w:w="1160" w:type="dxa"/>
            <w:tcBorders/>
            <w:vAlign w:val="center"/>
          </w:tcPr>
          <w:p>
            <w:pPr>
              <w:jc w:val="right"/>
            </w:pPr>
            <w:r>
              <w:rPr>
                <w:rFonts w:ascii="宋体" w:eastAsia="宋体" w:hAnsi="宋体" w:cs="宋体"/>
                <w:b w:val="0"/>
                <w:i w:val="0"/>
                <w:color w:val="000000"/>
                <w:sz w:val="14"/>
              </w:rPr>
              <w:t xml:space="preserve">39.73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27.21</w:t>
            </w:r>
          </w:p>
        </w:tc>
        <w:tc>
          <w:tcPr>
            <w:tcW w:w="1160" w:type="dxa"/>
            <w:tcBorders/>
            <w:vAlign w:val="center"/>
          </w:tcPr>
          <w:p>
            <w:pPr>
              <w:jc w:val="right"/>
            </w:pPr>
            <w:r>
              <w:rPr>
                <w:rFonts w:ascii="宋体" w:eastAsia="宋体" w:hAnsi="宋体" w:cs="宋体"/>
                <w:b w:val="0"/>
                <w:i w:val="0"/>
                <w:color w:val="000000"/>
                <w:sz w:val="14"/>
              </w:rPr>
              <w:t xml:space="preserve">27.21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jc w:val="right"/>
            </w:pPr>
            <w:r>
              <w:rPr>
                <w:rFonts w:ascii="宋体" w:eastAsia="宋体" w:hAnsi="宋体" w:cs="宋体"/>
                <w:b w:val="0"/>
                <w:i w:val="0"/>
                <w:color w:val="000000"/>
                <w:sz w:val="14"/>
              </w:rPr>
              <w:t xml:space="preserve">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21.68</w:t>
            </w:r>
          </w:p>
        </w:tc>
        <w:tc>
          <w:tcPr>
            <w:tcW w:w="1160" w:type="dxa"/>
            <w:tcBorders/>
            <w:vAlign w:val="center"/>
          </w:tcPr>
          <w:p>
            <w:pPr>
              <w:jc w:val="right"/>
            </w:pPr>
            <w:r>
              <w:rPr>
                <w:rFonts w:ascii="宋体" w:eastAsia="宋体" w:hAnsi="宋体" w:cs="宋体"/>
                <w:b w:val="0"/>
                <w:i w:val="0"/>
                <w:color w:val="000000"/>
                <w:sz w:val="14"/>
              </w:rPr>
              <w:t xml:space="preserve">21.68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21.68</w:t>
            </w:r>
          </w:p>
        </w:tc>
        <w:tc>
          <w:tcPr>
            <w:tcW w:w="1160" w:type="dxa"/>
            <w:tcBorders/>
            <w:vAlign w:val="center"/>
          </w:tcPr>
          <w:p>
            <w:pPr>
              <w:jc w:val="right"/>
            </w:pPr>
            <w:r>
              <w:rPr>
                <w:rFonts w:ascii="宋体" w:eastAsia="宋体" w:hAnsi="宋体" w:cs="宋体"/>
                <w:b w:val="0"/>
                <w:i w:val="0"/>
                <w:color w:val="000000"/>
                <w:sz w:val="14"/>
              </w:rPr>
              <w:t xml:space="preserve">21.68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16.16</w:t>
            </w:r>
          </w:p>
        </w:tc>
        <w:tc>
          <w:tcPr>
            <w:tcW w:w="1160" w:type="dxa"/>
            <w:tcBorders/>
            <w:vAlign w:val="center"/>
          </w:tcPr>
          <w:p>
            <w:pPr>
              <w:jc w:val="right"/>
            </w:pPr>
            <w:r>
              <w:rPr>
                <w:rFonts w:ascii="宋体" w:eastAsia="宋体" w:hAnsi="宋体" w:cs="宋体"/>
                <w:b w:val="0"/>
                <w:i w:val="0"/>
                <w:color w:val="000000"/>
                <w:sz w:val="14"/>
              </w:rPr>
              <w:t xml:space="preserve">16.16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jc w:val="right"/>
            </w:pPr>
            <w:r>
              <w:rPr>
                <w:rFonts w:ascii="宋体" w:eastAsia="宋体" w:hAnsi="宋体" w:cs="宋体"/>
                <w:b w:val="0"/>
                <w:i w:val="0"/>
                <w:color w:val="000000"/>
                <w:sz w:val="14"/>
              </w:rPr>
              <w:t xml:space="preserve">41.05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787.11</w:t>
            </w:r>
          </w:p>
        </w:tc>
        <w:tc>
          <w:tcPr>
            <w:tcW w:w="1120" w:type="dxa"/>
            <w:tcBorders/>
            <w:vAlign w:val="center"/>
          </w:tcPr>
          <w:p>
            <w:pPr>
              <w:jc w:val="right"/>
            </w:pPr>
            <w:r>
              <w:rPr>
                <w:rFonts w:ascii="宋体" w:eastAsia="宋体" w:hAnsi="宋体" w:cs="宋体"/>
                <w:b/>
                <w:i w:val="0"/>
                <w:color w:val="000000"/>
                <w:sz w:val="16"/>
              </w:rPr>
              <w:t xml:space="preserve">519.27</w:t>
            </w:r>
          </w:p>
        </w:tc>
        <w:tc>
          <w:tcPr>
            <w:tcW w:w="1120" w:type="dxa"/>
            <w:tcBorders/>
            <w:vAlign w:val="center"/>
          </w:tcPr>
          <w:p>
            <w:pPr>
              <w:jc w:val="right"/>
            </w:pPr>
            <w:r>
              <w:rPr>
                <w:rFonts w:ascii="宋体" w:eastAsia="宋体" w:hAnsi="宋体" w:cs="宋体"/>
                <w:b/>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651.67</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jc w:val="right"/>
            </w:pPr>
            <w:r>
              <w:rPr>
                <w:rFonts w:ascii="宋体" w:eastAsia="宋体" w:hAnsi="宋体" w:cs="宋体"/>
                <w:b w:val="0"/>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651.67</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jc w:val="right"/>
            </w:pPr>
            <w:r>
              <w:rPr>
                <w:rFonts w:ascii="宋体" w:eastAsia="宋体" w:hAnsi="宋体" w:cs="宋体"/>
                <w:b w:val="0"/>
                <w:i w:val="0"/>
                <w:color w:val="000000"/>
                <w:sz w:val="16"/>
              </w:rPr>
              <w:t xml:space="preserve">267.84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jc w:val="right"/>
            </w:pPr>
            <w:r>
              <w:rPr>
                <w:rFonts w:ascii="宋体" w:eastAsia="宋体" w:hAnsi="宋体" w:cs="宋体"/>
                <w:b w:val="0"/>
                <w:i w:val="0"/>
                <w:color w:val="000000"/>
                <w:sz w:val="16"/>
              </w:rPr>
              <w:t xml:space="preserve">383.83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37.75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普法宣传</w:t>
            </w: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律师管理</w:t>
            </w:r>
          </w:p>
        </w:tc>
        <w:tc>
          <w:tcPr>
            <w:tcW w:w="1120" w:type="dxa"/>
            <w:tcBorders/>
            <w:vAlign w:val="center"/>
          </w:tcPr>
          <w:p>
            <w:pPr>
              <w:jc w:val="right"/>
            </w:pPr>
            <w:r>
              <w:rPr>
                <w:rFonts w:ascii="宋体" w:eastAsia="宋体" w:hAnsi="宋体" w:cs="宋体"/>
                <w:b w:val="0"/>
                <w:i w:val="0"/>
                <w:color w:val="000000"/>
                <w:sz w:val="16"/>
              </w:rPr>
              <w:t xml:space="preserve">96.81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96.81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公共法律服务</w:t>
            </w: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社区矫正</w:t>
            </w:r>
          </w:p>
        </w:tc>
        <w:tc>
          <w:tcPr>
            <w:tcW w:w="1120" w:type="dxa"/>
            <w:tcBorders/>
            <w:vAlign w:val="center"/>
          </w:tcPr>
          <w:p>
            <w:pPr>
              <w:jc w:val="right"/>
            </w:pPr>
            <w:r>
              <w:rPr>
                <w:rFonts w:ascii="宋体" w:eastAsia="宋体" w:hAnsi="宋体" w:cs="宋体"/>
                <w:b w:val="0"/>
                <w:i w:val="0"/>
                <w:color w:val="000000"/>
                <w:sz w:val="16"/>
              </w:rPr>
              <w:t xml:space="preserve">34.71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其他司法支出</w:t>
            </w:r>
          </w:p>
        </w:tc>
        <w:tc>
          <w:tcPr>
            <w:tcW w:w="1120" w:type="dxa"/>
            <w:tcBorders/>
            <w:vAlign w:val="center"/>
          </w:tcPr>
          <w:p>
            <w:pPr>
              <w:jc w:val="right"/>
            </w:pPr>
            <w:r>
              <w:rPr>
                <w:rFonts w:ascii="宋体" w:eastAsia="宋体" w:hAnsi="宋体" w:cs="宋体"/>
                <w:b w:val="0"/>
                <w:i w:val="0"/>
                <w:color w:val="000000"/>
                <w:sz w:val="16"/>
              </w:rPr>
              <w:t xml:space="preserve">71.91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71.91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72.70</w:t>
            </w:r>
          </w:p>
        </w:tc>
        <w:tc>
          <w:tcPr>
            <w:tcW w:w="1120" w:type="dxa"/>
            <w:tcBorders/>
            <w:vAlign w:val="center"/>
          </w:tcPr>
          <w:p>
            <w:pPr>
              <w:jc w:val="right"/>
            </w:pPr>
            <w:r>
              <w:rPr>
                <w:rFonts w:ascii="宋体" w:eastAsia="宋体" w:hAnsi="宋体" w:cs="宋体"/>
                <w:b w:val="0"/>
                <w:i w:val="0"/>
                <w:color w:val="000000"/>
                <w:sz w:val="16"/>
              </w:rPr>
              <w:t xml:space="preserve">72.70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71.22</w:t>
            </w:r>
          </w:p>
        </w:tc>
        <w:tc>
          <w:tcPr>
            <w:tcW w:w="1120" w:type="dxa"/>
            <w:tcBorders/>
            <w:vAlign w:val="center"/>
          </w:tcPr>
          <w:p>
            <w:pPr>
              <w:jc w:val="right"/>
            </w:pPr>
            <w:r>
              <w:rPr>
                <w:rFonts w:ascii="宋体" w:eastAsia="宋体" w:hAnsi="宋体" w:cs="宋体"/>
                <w:b w:val="0"/>
                <w:i w:val="0"/>
                <w:color w:val="000000"/>
                <w:sz w:val="16"/>
              </w:rPr>
              <w:t xml:space="preserve">71.22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39.73</w:t>
            </w:r>
          </w:p>
        </w:tc>
        <w:tc>
          <w:tcPr>
            <w:tcW w:w="1120" w:type="dxa"/>
            <w:tcBorders/>
            <w:vAlign w:val="center"/>
          </w:tcPr>
          <w:p>
            <w:pPr>
              <w:jc w:val="right"/>
            </w:pPr>
            <w:r>
              <w:rPr>
                <w:rFonts w:ascii="宋体" w:eastAsia="宋体" w:hAnsi="宋体" w:cs="宋体"/>
                <w:b w:val="0"/>
                <w:i w:val="0"/>
                <w:color w:val="000000"/>
                <w:sz w:val="16"/>
              </w:rPr>
              <w:t xml:space="preserve">39.73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27.21</w:t>
            </w:r>
          </w:p>
        </w:tc>
        <w:tc>
          <w:tcPr>
            <w:tcW w:w="1120" w:type="dxa"/>
            <w:tcBorders/>
            <w:vAlign w:val="center"/>
          </w:tcPr>
          <w:p>
            <w:pPr>
              <w:jc w:val="right"/>
            </w:pPr>
            <w:r>
              <w:rPr>
                <w:rFonts w:ascii="宋体" w:eastAsia="宋体" w:hAnsi="宋体" w:cs="宋体"/>
                <w:b w:val="0"/>
                <w:i w:val="0"/>
                <w:color w:val="000000"/>
                <w:sz w:val="16"/>
              </w:rPr>
              <w:t xml:space="preserve">27.21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jc w:val="right"/>
            </w:pPr>
            <w:r>
              <w:rPr>
                <w:rFonts w:ascii="宋体" w:eastAsia="宋体" w:hAnsi="宋体" w:cs="宋体"/>
                <w:b w:val="0"/>
                <w:i w:val="0"/>
                <w:color w:val="000000"/>
                <w:sz w:val="16"/>
              </w:rPr>
              <w:t xml:space="preserve">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21.68</w:t>
            </w:r>
          </w:p>
        </w:tc>
        <w:tc>
          <w:tcPr>
            <w:tcW w:w="1120" w:type="dxa"/>
            <w:tcBorders/>
            <w:vAlign w:val="center"/>
          </w:tcPr>
          <w:p>
            <w:pPr>
              <w:jc w:val="right"/>
            </w:pPr>
            <w:r>
              <w:rPr>
                <w:rFonts w:ascii="宋体" w:eastAsia="宋体" w:hAnsi="宋体" w:cs="宋体"/>
                <w:b w:val="0"/>
                <w:i w:val="0"/>
                <w:color w:val="000000"/>
                <w:sz w:val="16"/>
              </w:rPr>
              <w:t xml:space="preserve">21.68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21.68</w:t>
            </w:r>
          </w:p>
        </w:tc>
        <w:tc>
          <w:tcPr>
            <w:tcW w:w="1120" w:type="dxa"/>
            <w:tcBorders/>
            <w:vAlign w:val="center"/>
          </w:tcPr>
          <w:p>
            <w:pPr>
              <w:jc w:val="right"/>
            </w:pPr>
            <w:r>
              <w:rPr>
                <w:rFonts w:ascii="宋体" w:eastAsia="宋体" w:hAnsi="宋体" w:cs="宋体"/>
                <w:b w:val="0"/>
                <w:i w:val="0"/>
                <w:color w:val="000000"/>
                <w:sz w:val="16"/>
              </w:rPr>
              <w:t xml:space="preserve">21.68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16.16</w:t>
            </w:r>
          </w:p>
        </w:tc>
        <w:tc>
          <w:tcPr>
            <w:tcW w:w="1120" w:type="dxa"/>
            <w:tcBorders/>
            <w:vAlign w:val="center"/>
          </w:tcPr>
          <w:p>
            <w:pPr>
              <w:jc w:val="right"/>
            </w:pPr>
            <w:r>
              <w:rPr>
                <w:rFonts w:ascii="宋体" w:eastAsia="宋体" w:hAnsi="宋体" w:cs="宋体"/>
                <w:b w:val="0"/>
                <w:i w:val="0"/>
                <w:color w:val="000000"/>
                <w:sz w:val="16"/>
              </w:rPr>
              <w:t xml:space="preserve">16.16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jc w:val="right"/>
            </w:pPr>
            <w:r>
              <w:rPr>
                <w:rFonts w:ascii="宋体" w:eastAsia="宋体" w:hAnsi="宋体" w:cs="宋体"/>
                <w:b w:val="0"/>
                <w:i w:val="0"/>
                <w:color w:val="000000"/>
                <w:sz w:val="16"/>
              </w:rPr>
              <w:t xml:space="preserve">41.05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651.67</w:t>
            </w:r>
          </w:p>
        </w:tc>
        <w:tc>
          <w:tcPr>
            <w:tcW w:w="1100" w:type="dxa"/>
            <w:tcBorders/>
            <w:vAlign w:val="center"/>
          </w:tcPr>
          <w:p>
            <w:pPr>
              <w:jc w:val="right"/>
            </w:pPr>
            <w:r>
              <w:rPr>
                <w:rFonts w:ascii="宋体" w:eastAsia="宋体" w:hAnsi="宋体" w:cs="宋体"/>
                <w:b w:val="0"/>
                <w:i w:val="0"/>
                <w:color w:val="000000"/>
                <w:sz w:val="14"/>
              </w:rPr>
              <w:t xml:space="preserve">651.67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72.71</w:t>
            </w:r>
          </w:p>
        </w:tc>
        <w:tc>
          <w:tcPr>
            <w:tcW w:w="1100" w:type="dxa"/>
            <w:tcBorders/>
            <w:vAlign w:val="center"/>
          </w:tcPr>
          <w:p>
            <w:pPr>
              <w:jc w:val="right"/>
            </w:pPr>
            <w:r>
              <w:rPr>
                <w:rFonts w:ascii="宋体" w:eastAsia="宋体" w:hAnsi="宋体" w:cs="宋体"/>
                <w:b w:val="0"/>
                <w:i w:val="0"/>
                <w:color w:val="000000"/>
                <w:sz w:val="14"/>
              </w:rPr>
              <w:t xml:space="preserve">72.71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21.68</w:t>
            </w:r>
          </w:p>
        </w:tc>
        <w:tc>
          <w:tcPr>
            <w:tcW w:w="1100" w:type="dxa"/>
            <w:tcBorders/>
            <w:vAlign w:val="center"/>
          </w:tcPr>
          <w:p>
            <w:pPr>
              <w:jc w:val="right"/>
            </w:pPr>
            <w:r>
              <w:rPr>
                <w:rFonts w:ascii="宋体" w:eastAsia="宋体" w:hAnsi="宋体" w:cs="宋体"/>
                <w:b w:val="0"/>
                <w:i w:val="0"/>
                <w:color w:val="000000"/>
                <w:sz w:val="14"/>
              </w:rPr>
              <w:t xml:space="preserve">21.68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41.05</w:t>
            </w:r>
          </w:p>
        </w:tc>
        <w:tc>
          <w:tcPr>
            <w:tcW w:w="1100" w:type="dxa"/>
            <w:tcBorders/>
            <w:vAlign w:val="center"/>
          </w:tcPr>
          <w:p>
            <w:pPr>
              <w:jc w:val="right"/>
            </w:pPr>
            <w:r>
              <w:rPr>
                <w:rFonts w:ascii="宋体" w:eastAsia="宋体" w:hAnsi="宋体" w:cs="宋体"/>
                <w:b w:val="0"/>
                <w:i w:val="0"/>
                <w:color w:val="000000"/>
                <w:sz w:val="14"/>
              </w:rPr>
              <w:t xml:space="preserve">41.05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1100" w:type="dxa"/>
            <w:tcBorders/>
            <w:vAlign w:val="center"/>
          </w:tcPr>
          <w:p>
            <w:pPr>
              <w:jc w:val="right"/>
            </w:pPr>
            <w:r>
              <w:rPr>
                <w:rFonts w:ascii="宋体" w:eastAsia="宋体" w:hAnsi="宋体" w:cs="宋体"/>
                <w:b w:val="0"/>
                <w:i w:val="0"/>
                <w:color w:val="000000"/>
                <w:sz w:val="14"/>
              </w:rPr>
              <w:t xml:space="preserve">787.11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787.11</w:t>
            </w:r>
          </w:p>
        </w:tc>
        <w:tc>
          <w:tcPr>
            <w:tcW w:w="1980" w:type="dxa"/>
            <w:tcBorders/>
            <w:vAlign w:val="center"/>
          </w:tcPr>
          <w:p>
            <w:pPr>
              <w:jc w:val="right"/>
            </w:pPr>
            <w:r>
              <w:rPr>
                <w:rFonts w:ascii="宋体" w:eastAsia="宋体" w:hAnsi="宋体" w:cs="宋体"/>
                <w:b/>
                <w:i w:val="0"/>
                <w:color w:val="000000"/>
                <w:sz w:val="20"/>
              </w:rPr>
              <w:t xml:space="preserve">519.27</w:t>
            </w:r>
          </w:p>
        </w:tc>
        <w:tc>
          <w:tcPr>
            <w:tcW w:w="1952" w:type="dxa"/>
            <w:tcBorders/>
            <w:vAlign w:val="center"/>
          </w:tcPr>
          <w:p>
            <w:pPr>
              <w:jc w:val="right"/>
            </w:pPr>
            <w:r>
              <w:rPr>
                <w:rFonts w:ascii="宋体" w:eastAsia="宋体" w:hAnsi="宋体" w:cs="宋体"/>
                <w:b/>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651.67</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52" w:type="dxa"/>
            <w:tcBorders/>
            <w:vAlign w:val="center"/>
          </w:tcPr>
          <w:p>
            <w:pPr>
              <w:jc w:val="right"/>
            </w:pPr>
            <w:r>
              <w:rPr>
                <w:rFonts w:ascii="宋体" w:eastAsia="宋体" w:hAnsi="宋体" w:cs="宋体"/>
                <w:b w:val="0"/>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651.67</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52" w:type="dxa"/>
            <w:tcBorders/>
            <w:vAlign w:val="center"/>
          </w:tcPr>
          <w:p>
            <w:pPr>
              <w:jc w:val="right"/>
            </w:pPr>
            <w:r>
              <w:rPr>
                <w:rFonts w:ascii="宋体" w:eastAsia="宋体" w:hAnsi="宋体" w:cs="宋体"/>
                <w:b w:val="0"/>
                <w:i w:val="0"/>
                <w:color w:val="000000"/>
                <w:sz w:val="20"/>
              </w:rPr>
              <w:t xml:space="preserve">267.84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80" w:type="dxa"/>
            <w:tcBorders/>
            <w:vAlign w:val="center"/>
          </w:tcPr>
          <w:p>
            <w:pPr>
              <w:jc w:val="right"/>
            </w:pPr>
            <w:r>
              <w:rPr>
                <w:rFonts w:ascii="宋体" w:eastAsia="宋体" w:hAnsi="宋体" w:cs="宋体"/>
                <w:b w:val="0"/>
                <w:i w:val="0"/>
                <w:color w:val="000000"/>
                <w:sz w:val="20"/>
              </w:rPr>
              <w:t xml:space="preserve">383.83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37.75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普法宣传</w:t>
            </w:r>
          </w:p>
        </w:tc>
        <w:tc>
          <w:tcPr>
            <w:tcW w:w="1980" w:type="dxa"/>
            <w:tcBorders/>
            <w:vAlign w:val="center"/>
          </w:tcPr>
          <w:p>
            <w:pPr>
              <w:jc w:val="right"/>
            </w:pPr>
            <w:r>
              <w:rPr>
                <w:rFonts w:ascii="宋体" w:eastAsia="宋体" w:hAnsi="宋体" w:cs="宋体"/>
                <w:b w:val="0"/>
                <w:i w:val="0"/>
                <w:color w:val="000000"/>
                <w:sz w:val="20"/>
              </w:rPr>
              <w:t xml:space="preserve">11.66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律师管理</w:t>
            </w:r>
          </w:p>
        </w:tc>
        <w:tc>
          <w:tcPr>
            <w:tcW w:w="1980" w:type="dxa"/>
            <w:tcBorders/>
            <w:vAlign w:val="center"/>
          </w:tcPr>
          <w:p>
            <w:pPr>
              <w:jc w:val="right"/>
            </w:pPr>
            <w:r>
              <w:rPr>
                <w:rFonts w:ascii="宋体" w:eastAsia="宋体" w:hAnsi="宋体" w:cs="宋体"/>
                <w:b w:val="0"/>
                <w:i w:val="0"/>
                <w:color w:val="000000"/>
                <w:sz w:val="20"/>
              </w:rPr>
              <w:t xml:space="preserve">96.81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96.81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公共法律服务</w:t>
            </w:r>
          </w:p>
        </w:tc>
        <w:tc>
          <w:tcPr>
            <w:tcW w:w="1980" w:type="dxa"/>
            <w:tcBorders/>
            <w:vAlign w:val="center"/>
          </w:tcPr>
          <w:p>
            <w:pPr>
              <w:jc w:val="right"/>
            </w:pPr>
            <w:r>
              <w:rPr>
                <w:rFonts w:ascii="宋体" w:eastAsia="宋体" w:hAnsi="宋体" w:cs="宋体"/>
                <w:b w:val="0"/>
                <w:i w:val="0"/>
                <w:color w:val="000000"/>
                <w:sz w:val="20"/>
              </w:rPr>
              <w:t xml:space="preserve">15.00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社区矫正</w:t>
            </w:r>
          </w:p>
        </w:tc>
        <w:tc>
          <w:tcPr>
            <w:tcW w:w="1980" w:type="dxa"/>
            <w:tcBorders/>
            <w:vAlign w:val="center"/>
          </w:tcPr>
          <w:p>
            <w:pPr>
              <w:jc w:val="right"/>
            </w:pPr>
            <w:r>
              <w:rPr>
                <w:rFonts w:ascii="宋体" w:eastAsia="宋体" w:hAnsi="宋体" w:cs="宋体"/>
                <w:b w:val="0"/>
                <w:i w:val="0"/>
                <w:color w:val="000000"/>
                <w:sz w:val="20"/>
              </w:rPr>
              <w:t xml:space="preserve">34.71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其他司法支出</w:t>
            </w:r>
          </w:p>
        </w:tc>
        <w:tc>
          <w:tcPr>
            <w:tcW w:w="1980" w:type="dxa"/>
            <w:tcBorders/>
            <w:vAlign w:val="center"/>
          </w:tcPr>
          <w:p>
            <w:pPr>
              <w:jc w:val="right"/>
            </w:pPr>
            <w:r>
              <w:rPr>
                <w:rFonts w:ascii="宋体" w:eastAsia="宋体" w:hAnsi="宋体" w:cs="宋体"/>
                <w:b w:val="0"/>
                <w:i w:val="0"/>
                <w:color w:val="000000"/>
                <w:sz w:val="20"/>
              </w:rPr>
              <w:t xml:space="preserve">71.91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71.91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72.70</w:t>
            </w:r>
          </w:p>
        </w:tc>
        <w:tc>
          <w:tcPr>
            <w:tcW w:w="1980" w:type="dxa"/>
            <w:tcBorders/>
            <w:vAlign w:val="center"/>
          </w:tcPr>
          <w:p>
            <w:pPr>
              <w:jc w:val="right"/>
            </w:pPr>
            <w:r>
              <w:rPr>
                <w:rFonts w:ascii="宋体" w:eastAsia="宋体" w:hAnsi="宋体" w:cs="宋体"/>
                <w:b w:val="0"/>
                <w:i w:val="0"/>
                <w:color w:val="000000"/>
                <w:sz w:val="20"/>
              </w:rPr>
              <w:t xml:space="preserve">72.70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71.22</w:t>
            </w:r>
          </w:p>
        </w:tc>
        <w:tc>
          <w:tcPr>
            <w:tcW w:w="1980" w:type="dxa"/>
            <w:tcBorders/>
            <w:vAlign w:val="center"/>
          </w:tcPr>
          <w:p>
            <w:pPr>
              <w:jc w:val="right"/>
            </w:pPr>
            <w:r>
              <w:rPr>
                <w:rFonts w:ascii="宋体" w:eastAsia="宋体" w:hAnsi="宋体" w:cs="宋体"/>
                <w:b w:val="0"/>
                <w:i w:val="0"/>
                <w:color w:val="000000"/>
                <w:sz w:val="20"/>
              </w:rPr>
              <w:t xml:space="preserve">71.22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39.73</w:t>
            </w:r>
          </w:p>
        </w:tc>
        <w:tc>
          <w:tcPr>
            <w:tcW w:w="1980" w:type="dxa"/>
            <w:tcBorders/>
            <w:vAlign w:val="center"/>
          </w:tcPr>
          <w:p>
            <w:pPr>
              <w:jc w:val="right"/>
            </w:pPr>
            <w:r>
              <w:rPr>
                <w:rFonts w:ascii="宋体" w:eastAsia="宋体" w:hAnsi="宋体" w:cs="宋体"/>
                <w:b w:val="0"/>
                <w:i w:val="0"/>
                <w:color w:val="000000"/>
                <w:sz w:val="20"/>
              </w:rPr>
              <w:t xml:space="preserve">39.73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27.21</w:t>
            </w:r>
          </w:p>
        </w:tc>
        <w:tc>
          <w:tcPr>
            <w:tcW w:w="1980" w:type="dxa"/>
            <w:tcBorders/>
            <w:vAlign w:val="center"/>
          </w:tcPr>
          <w:p>
            <w:pPr>
              <w:jc w:val="right"/>
            </w:pPr>
            <w:r>
              <w:rPr>
                <w:rFonts w:ascii="宋体" w:eastAsia="宋体" w:hAnsi="宋体" w:cs="宋体"/>
                <w:b w:val="0"/>
                <w:i w:val="0"/>
                <w:color w:val="000000"/>
                <w:sz w:val="20"/>
              </w:rPr>
              <w:t xml:space="preserve">27.21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80" w:type="dxa"/>
            <w:tcBorders/>
            <w:vAlign w:val="center"/>
          </w:tcPr>
          <w:p>
            <w:pPr>
              <w:jc w:val="right"/>
            </w:pPr>
            <w:r>
              <w:rPr>
                <w:rFonts w:ascii="宋体" w:eastAsia="宋体" w:hAnsi="宋体" w:cs="宋体"/>
                <w:b w:val="0"/>
                <w:i w:val="0"/>
                <w:color w:val="000000"/>
                <w:sz w:val="20"/>
              </w:rPr>
              <w:t xml:space="preserve">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21.68</w:t>
            </w:r>
          </w:p>
        </w:tc>
        <w:tc>
          <w:tcPr>
            <w:tcW w:w="1980" w:type="dxa"/>
            <w:tcBorders/>
            <w:vAlign w:val="center"/>
          </w:tcPr>
          <w:p>
            <w:pPr>
              <w:jc w:val="right"/>
            </w:pPr>
            <w:r>
              <w:rPr>
                <w:rFonts w:ascii="宋体" w:eastAsia="宋体" w:hAnsi="宋体" w:cs="宋体"/>
                <w:b w:val="0"/>
                <w:i w:val="0"/>
                <w:color w:val="000000"/>
                <w:sz w:val="20"/>
              </w:rPr>
              <w:t xml:space="preserve">21.68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21.68</w:t>
            </w:r>
          </w:p>
        </w:tc>
        <w:tc>
          <w:tcPr>
            <w:tcW w:w="1980" w:type="dxa"/>
            <w:tcBorders/>
            <w:vAlign w:val="center"/>
          </w:tcPr>
          <w:p>
            <w:pPr>
              <w:jc w:val="right"/>
            </w:pPr>
            <w:r>
              <w:rPr>
                <w:rFonts w:ascii="宋体" w:eastAsia="宋体" w:hAnsi="宋体" w:cs="宋体"/>
                <w:b w:val="0"/>
                <w:i w:val="0"/>
                <w:color w:val="000000"/>
                <w:sz w:val="20"/>
              </w:rPr>
              <w:t xml:space="preserve">21.68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16.16</w:t>
            </w:r>
          </w:p>
        </w:tc>
        <w:tc>
          <w:tcPr>
            <w:tcW w:w="1980" w:type="dxa"/>
            <w:tcBorders/>
            <w:vAlign w:val="center"/>
          </w:tcPr>
          <w:p>
            <w:pPr>
              <w:jc w:val="right"/>
            </w:pPr>
            <w:r>
              <w:rPr>
                <w:rFonts w:ascii="宋体" w:eastAsia="宋体" w:hAnsi="宋体" w:cs="宋体"/>
                <w:b w:val="0"/>
                <w:i w:val="0"/>
                <w:color w:val="000000"/>
                <w:sz w:val="20"/>
              </w:rPr>
              <w:t xml:space="preserve">16.16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80" w:type="dxa"/>
            <w:tcBorders/>
            <w:vAlign w:val="center"/>
          </w:tcPr>
          <w:p>
            <w:pPr>
              <w:jc w:val="right"/>
            </w:pPr>
            <w:r>
              <w:rPr>
                <w:rFonts w:ascii="宋体" w:eastAsia="宋体" w:hAnsi="宋体" w:cs="宋体"/>
                <w:b w:val="0"/>
                <w:i w:val="0"/>
                <w:color w:val="000000"/>
                <w:sz w:val="20"/>
              </w:rPr>
              <w:t xml:space="preserve">41.05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469.49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44.02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134.10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125.34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71.14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9.24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39.73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27.21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15.94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4.55</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41.05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5.77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4.28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9.12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21.87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475.26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44.02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316011辽宁省盘锦市兴隆台区司法局-211103000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605.98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605.98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68.4894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428.632675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428.63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扎实推进法治宣传教育常态化开展。建立全区普法责任单位名单，确保每个单位、街道有专人负责法治宣传工作。认真落实“八五”普法工作任务，调动各街道、单位、司法所力量，深入开展“法律七进”法治宣传活动。在原有法治文化建设基础上，结合我区实际，打造法治文化公园、长廊等，推动基层普法宣传氛围。加强新媒体普法力度和创新性，利用普法微视频、短句、情景剧等形式，提高群众关注度及认知度。</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全面提升法治政府建设水平。继续为政府及其部门提供专业的法律咨询，为政府决策提供法律保障。进一步落实“三项制度”工作，完善相关配套制度，加强全区执法单位执法过程的合法性。做好执法人员培训工作。加强我区行政复议机构硬件和队伍建设。加大督促行政机关负责人出庭应诉工作力度。强化合法性审核工作标准，切实做好实质性审查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切实提升公共法律服务水平。扎实推进矛盾纠纷排查化解，坚持和发展好新时代“枫桥经验”。继续指导全区各级调解组织和调解员积极作为，深入开展矛盾纠纷排查专项活动，集中排查化解重点领域和典型突出的矛盾纠纷。建立完善纠纷信息收集、研判机制，综合运用矛盾纠纷源头预防、排查预警、调解化解等工作措施，做到防范在源头、化解在基层，努力营造安全稳定的社会环境。</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四）稳步提高维护社会稳定成效。根据省司法厅社区矫正培训内容，围绕日常监管和档案管理，对各司法所社区矫正助理员和辅警进行业务培训。联合心理咨询机构，面向社区矫正对象开展有针对性的体验式心理辅导。加强刑满释放人员衔接管理，落实管控责任，各司法所强化与辖区派出所、各社区（村）的沟通联动机制，在刑满释放人员核查、帮教方面加强交流，及时掌握刑释人员的行踪动态和就业、生活动向，持续开展跟踪教育帮扶。</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（一）以建设法治兴隆为主导，切实营造良好法治环境。</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1.全力承接好区委法治建设办公室日常工作。2.切实增强法治宣传教育实效。3.扎实推进普法示范点及“法律明白人”培养工作。4.推进法律援助民生工程。</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（二）以推进平安建设为主题，切实提高维稳能力。</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1.稳步推进常态化矛盾纠纷排查化解工作。2.严格落实特殊人群管控机制，切实维护社会安全稳定。</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（三）以加强依法行政为保障，夯实法治政府建设基础。</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1.切实加强行政执法监督。2.严格规范性文件合法性审核工作3.扎实做好行政应诉和行政复议工作。4.加强律师管理和法律服务所管理工作。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有利于保护公民合法权利、尊重和保障人权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有效保障</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推进依法治国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稳步推进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提供法律咨询数量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人民调解案件数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3204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服刑人员信息核查率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社区矫正人数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142</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176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法律援助案件办结率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安置帮教率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再犯罪减低率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法律援助办案质量满意度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法律援助资格确定满意度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建议进一步提升预算执行效率和效益。建议进一步提升预算执行效率和效益。建议进一步提升预算执行效率和效益。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378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