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辽宁省盘锦市兴隆台区退役军人局(本级)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辽宁省盘锦市兴隆台区退役军人局(本级)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辽宁省盘锦市兴隆台区退役军人局(本级)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辽宁省盘锦市兴隆台区退役军人局(本级)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辽宁省盘锦市兴隆台区退役军人局(本级)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辽宁省盘锦市兴隆台区退役军人局(本级)概况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（一）贯彻落实关于退役军人思想政治、管理保障和安 置优抚等工作的政策措施，褒扬彰显退役军人为党、国家和人民牺牲奉献的精神风范和价值导向。</w:t>
        <w:br/>
        <w:t xml:space="preserve">        （二）负责军队转业干部、复员干部、离休退休干部、 退役士兵和无军籍退休退职职工的移交安置工作和自主择 业、就业退役军人服务管理工作。</w:t>
        <w:br/>
        <w:t xml:space="preserve">        （三）组织指导退役军人教育培训工作，协调扶持退役 军人和随军随调家属就业创业。</w:t>
        <w:br/>
        <w:t xml:space="preserve">        （四）根据国家退役军人特殊保障政策，会同有关部门 制定我区落实措施办法并组织落实。</w:t>
        <w:br/>
        <w:t xml:space="preserve">        （五）组织协调落实移交地方的离休退休军人，符合条 件的其他退役军人和无军籍退休退职职工的住房保障工作, 以及退役军人医疗保障、社会保险等待遇保障工作。</w:t>
        <w:br/>
        <w:t xml:space="preserve">        （六）组织开展伤病残退役军人服务管理和抚恤工作， 落实退役军人医疗、疗养、养老等机构的规划政策，拟订机 构规划并组织实施。承担不适宜继续服役的伤病残军人相关 工作。</w:t>
        <w:br/>
        <w:t xml:space="preserve">        （七）负责现役军人、退役军人、军队文职人员和军属 优待、抚恤等工作，落实国家关于国民党抗战老兵等有关人 员优待政策。</w:t>
        <w:br/>
        <w:t xml:space="preserve">        （八）负责烈士及退役军人荣誉奖励、军人公墓管理维 护、纪念活动等工作，依法承担英雄烈士保护相关工作，审 核拟列入区重点保护单位的烈士纪念建筑物名录，承办烈士 纪念设施保护事宜，总结表彰和宣扬退役军人、退役军人工 作单位和个人先进典型事迹。</w:t>
        <w:br/>
        <w:t xml:space="preserve">        （九）监督检查退役军人相关法律法规和政策措施的落 实，组织开展退役军人权益维护和有关人员的帮扶援助工 作。</w:t>
        <w:br/>
        <w:t xml:space="preserve">        （十）组织指导全区拥军优属工作。承担区双拥工作领 导小组和区军队转业干部安置工作领导小组的日常工作。组 织指导军供服务保障工作。</w:t>
        <w:br/>
        <w:t xml:space="preserve">        （十一）完成区委、区政府的其他任务。</w:t>
        <w:br/>
        <w:t xml:space="preserve">        （十二）职能转变。盘锦市兴隆台区退役军人事务局应 加强退役军人思想政治工作和服务保障体系建设，建立健全 集中统一、职责清晰的退役军人管理保障体制，协调各方力 量更好为军人军属服务，维护军人军属合法权益，让军人成 为全社会尊崇的职业，褒扬彰显退役军人为党、国家和人民 牺牲奉献的精神风范和价值导向，更好地为增强部队战斗力 和凝聚力做好组织保障。</w:t>
        <w:br/>
        <w:t xml:space="preserve">        退役军人事务局于2019年1月22日成立，根据主要职责内设3个科室。</w:t>
        <w:br/>
        <w:t xml:space="preserve">        （一）综合办公室</w:t>
        <w:br/>
        <w:t xml:space="preserve">        负责机关日常运转，承担党建、纪检、信息、安全、保密、政务公开等工作。</w:t>
        <w:br/>
        <w:t xml:space="preserve">        （二）优抚股。负责现役军人、革命伤残军人、复原军人、带病回乡退伍军人、参战、参试人员、农村籍退役士兵、老烈士子女和烈属、因公牺牲军人家属、病故军人家属的优待、抚恤、补助工作；负责国家机关工作人员伤亡抚恤工作；负责参战人员的评残工作；申报和褒扬革命烈士；负责组织开展拥军优属活动。</w:t>
        <w:br/>
        <w:t xml:space="preserve">        （三）移交安置股。负责全区退伍义务兵、转业士官、复员干部的接收安置工作；负责对符合政府安排工作条件的退役士兵（士官）资格审查和工作安置以及退役军人荣誉奖励工作；负责承接区人力资源和社会保障局的军队转业干部安置服务职能，负责军队转业干部的接收安置服务工作，承担军队离退休和转业干部的管理服务，指导军队转业干部教育培训工作，负责退役士兵的就业创业指导，承担区双拥工作领导小组办公室的日常工作。</w:t>
        <w:br/>
        <w:t xml:space="preserve">        下属二级单位如下：</w:t>
        <w:br/>
        <w:t xml:space="preserve">        盘锦市兴隆台区退役军人服务中心</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辽宁省盘锦市兴隆台区退役军人局(本级)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纳入盘锦市兴隆台区退役军人事务局2023年部门决算编制范围的二级预算单位包括：盘锦市兴隆台区退役军人服务中心（局和中心各自体现决算，本单位决算不体现中心。）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2404.67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2404.67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2404.67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增加523.02万元，增长27.80%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现役人员优待金和退役安置人员增加%0A二是优抚对象人员较多每年都安标准调表。%0A三是退役军人事务服务中心人员绩效与局里统一发放%0A四是军队移交政府的离退休人员安置按月发放%0A五是发放保障对象死亡抚恤</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2404.67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183.47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工资福利支出177.39万元；商品和服务支出5.84万元；对个人和家庭的补助0.24万元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2221.20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主要包括（其中：伤残抚恤1093.24万元，义务兵优待618.54万元，退役士兵安置192.39万元，其他优抚支出23.17万元，临时救助1.37万元，  一般行政管理事务49.88万元。优抚对象医疗22.87万元，信访维稳经费4.3万元，军休干部一次性抚恤金168.41万元，军队移交政府的离退休人员安置47.04万元。）等业务支出。等业务支出。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增加523.23万元，增长27.81%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现役人员优待金和退役安置人员增加。二是优抚对象人员较多每年都安标准调表。三是退役军人事务服务中心人员绩效与局里统一发放。四是军队移交政府的离退休人员安置按月发放。五是发放保障对象死亡抚恤。</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减少0.22万元，降低100.00%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一是去年结转已退回国库</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2404.67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183.47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2221.20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增加523.23万元，增长27.81%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现役人员优待金和退役安置人员增加。二是优抚对象人员较多每年都安标准调表。三是退役军人事务服务中心人员绩效与局里统一发放。四是军队移交政府的离退休人员安置按月发放。五是发放保障对象死亡抚恤。</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321.17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293.69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323.67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2023年度一般公共预算财政拨款支出2404.67万元。按支出功能分类科目分，包括：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（1）一般公共服务支出（类）政府办公厅（室）及相关机构事务（款）信访事务（项）4.30万元,主要是北京信访维稳等支出，完成年初预算的0%，决算数与年初预算数存在差异的主要原因是追加，年初没有预算。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2.社会保障和就业支出2369.61万元，具体包括：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（1）社会保障和就业支出（类）行政事业单位养老支出（款）行政单位离退休（项）0.24万元,主要是退休人员取暖费等支出，完成年初预算的100%，决算数与年初预算数存在差异的主要原因是预算与决算无差额。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5.76万元,主要是在职人员养老保险等支出，完成年初预算的88.62%，决算数与年初预算数存在差异的主要原因是按1.1倍计算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5.26万元,主要是退休人员虚账做实等支出，完成年初预算的0%，决算数与年初预算数存在差异的主要原因是追加，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（4）社会保障和就业支出（类）行政事业单位养老支出（款）其他行政事业单位养老支出（项）0.00万元,主要是无等支出，完成年初预算的0%，决算数与年初预算数存在差异的主要原因是无预算支出。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（5）社会保障和就业支出（类）抚恤（款）死亡抚恤（项）168.41万元,主要是军休干部死亡一次抚恤金等支出，完成年初预算的0%，决算数与年初预算数存在差异的主要原因是追加，年初没有预算。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1093.24万元,主要是优抚抚恤补助等支出，完成年初预算的2018.91%，决算数与年初预算数存在差异的主要原因是年初预算按要求做本级部分，上级承担大部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义务兵优待（项）618.54万元,主要是发放义务兵家庭优待金等支出，完成年初预算的188.58%，决算数与年初预算数存在差异的主要原因是年初预算按要求做本级部分，此款项应本级与上级共同承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其他优抚支出（项）23.17万元,主要是发放企业军转干部生活补助、取暖费、软件服务费、派驻北京人员工资经费和随军家属生活补助等支出，完成年初预算的88.09%，决算数与年初预算数存在差异的主要原因是随军家属人数和金额无法确定，企业军转干部调标标准无法确定预算数额预计较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退役安置（款）退役士兵安置（项）192.39万元,主要是发放退役士兵一次经济性补助等支出，完成年初预算的128.26%，决算数与年初预算数存在差异的主要原因是年初预算按要求做本级部分，此款项应本级与上级共同承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退役安置（款）军队移交政府的离退休人员安置（项）47.04万元,主要是发放无军籍退休职工工资等支出，完成年初预算的0%，决算数与年初预算数存在差异的主要原因是年初预算按要求做本级部分，此款项由上级全部承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（11）社会保障和就业支出（类）临时救助（款）临时救助支出（项）1.37万元,主要是价格临时补贴等支出，完成年初预算的0%，决算数与年初预算数存在差异的主要原因是追加，年初没有预算。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退役军人管理事务（款）行政运行（项）164.31万元,主要是人员经费和日常公用经费等支出，完成年初预算的263.02%，决算数与年初预算数存在差异的主要原因是退役军人事务服务中心退役士兵在职人员22年绩效剩余部分在局里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退役军人管理事务（款）一般行政管理事务（项）49.88万元,主要是待安置期间保险、待安置期间生活补助、优抚工作经费、双拥经费、就业创业、八一慰问、9.30烈士公祭日、困难退役军人帮扶。等支出，完成年初预算的46.27%，决算数与年初预算数存在差异的主要原因是待安置期间保险和待安置期间生活补助人数与金额基数无法确定按最大基数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3.卫生健康支出25.83万元，具体包括：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（1）卫生健康支出（类）行政事业单位医疗（款）行政单位医疗（项）2.21万元,主要是在职人员医疗保险等支出，完成年初预算的88.05%，决算数与年初预算数存在差异的主要原因是按1.1倍计算预算数。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（2）卫生健康支出（类）行政事业单位医疗（款）公务员医疗补助（项）0.62万元,主要是公务员医疗补助等支出，完成年初预算的87.32%，决算数与年初预算数存在差异的主要原因是按1.1倍计算预算数。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0.13万元,主要是工伤保险等支出，完成年初预算的162.5%，决算数与年初预算数存在差异的主要原因是新加工伤保险年初无法计算具体数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优抚对象医疗（款）优抚对象医疗补助（项）22.87万元,主要是为优抚对象和一至六级残疾军人缴纳保险，和按比例报销医药费用等支出，完成年初预算的114.35%，决算数与年初预算数存在差异的主要原因是年初预算按要求做本级部分，以上级款项为主。</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（1）住房保障支出（类）住房改革支出（款）住房公积金（项）4.93万元,主要是缴纳在职人员公积金等支出，完成年初预算的92.50%，决算数与年初预算数存在差异的主要原因是按1.1倍计算预算数。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本单位无因公出国、无公务接待、无公务用车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183.47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177.63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5.84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5.84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比上年减少0.38万元，降低6.11%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办公经费压缩10%和公务员车补减少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根据预算绩效管理要求，盘锦市兴隆台区退役军人事务局组织开展部门（单位）整体绩效自评工作，涉及资金62.47万元，其中财政拨款资金62.47万元，自评得分100分。</w:t>
        <w:br/>
        <w:t xml:space="preserve">    详见附件《部门（单位）整体绩效自评表》。</w:t>
        <w:br/>
        <w:t xml:space="preserve">    2.项目绩效自评情况</w:t>
        <w:br/>
        <w:t xml:space="preserve">    2023年度，盘锦市兴隆台区退役军人事务局对本部门（单位）14个项目开展项目绩效自评工作，涉及资金686.25万元，其中财政拨款资金686.25万元，自评覆盖率（开展绩效自评的项目数/年初批复绩效目标的项目数*100%）达到100%，自评平均分（开展绩效自评的项目分数总和/开展绩效自评的项目数）78.39分。</w:t>
        <w:br/>
        <w:t xml:space="preserve">    详见附件《预算项目（政策）绩效自评表》。</w:t>
        <w:br/>
        <w:t xml:space="preserve">    3.部门重点评价情况</w:t>
        <w:br/>
        <w:t xml:space="preserve">    2023年度，盘锦市兴隆台区退役军人事务局未开展部门重点评价工作。</w:t>
        <w:br/>
        <w:t xml:space="preserve">    4.财政重点评价情况</w:t>
        <w:br/>
        <w:t xml:space="preserve">    2023年度，兴隆台区财政局未对盘锦市兴隆台区退役军人事务局的项目开展财政重点评价工作。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待安置期间退役士兵：是指符合国家安置规定的退役士兵，在待安置期间产生的保险和生活补助。</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2,404.67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4.30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2,369.60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2,404.67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2,404.67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2,404.67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2,404.67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2,404.67</w:t>
            </w:r>
          </w:p>
        </w:tc>
        <w:tc>
          <w:tcPr>
            <w:tcW w:w="1160" w:type="dxa"/>
            <w:tcBorders/>
            <w:vAlign w:val="center"/>
          </w:tcPr>
          <w:p>
            <w:pPr>
              <w:jc w:val="right"/>
            </w:pPr>
            <w:r>
              <w:rPr>
                <w:rFonts w:ascii="宋体" w:eastAsia="宋体" w:hAnsi="宋体" w:cs="宋体"/>
                <w:b/>
                <w:i w:val="0"/>
                <w:color w:val="000000"/>
                <w:sz w:val="14"/>
              </w:rPr>
              <w:t xml:space="preserve">2,404.67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2,369.61</w:t>
            </w:r>
          </w:p>
        </w:tc>
        <w:tc>
          <w:tcPr>
            <w:tcW w:w="1160" w:type="dxa"/>
            <w:tcBorders/>
            <w:vAlign w:val="center"/>
          </w:tcPr>
          <w:p>
            <w:pPr>
              <w:jc w:val="right"/>
            </w:pPr>
            <w:r>
              <w:rPr>
                <w:rFonts w:ascii="宋体" w:eastAsia="宋体" w:hAnsi="宋体" w:cs="宋体"/>
                <w:b w:val="0"/>
                <w:i w:val="0"/>
                <w:color w:val="000000"/>
                <w:sz w:val="14"/>
              </w:rPr>
              <w:t xml:space="preserve">2,369.61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11.26</w:t>
            </w:r>
          </w:p>
        </w:tc>
        <w:tc>
          <w:tcPr>
            <w:tcW w:w="1160" w:type="dxa"/>
            <w:tcBorders/>
            <w:vAlign w:val="center"/>
          </w:tcPr>
          <w:p>
            <w:pPr>
              <w:jc w:val="right"/>
            </w:pPr>
            <w:r>
              <w:rPr>
                <w:rFonts w:ascii="宋体" w:eastAsia="宋体" w:hAnsi="宋体" w:cs="宋体"/>
                <w:b w:val="0"/>
                <w:i w:val="0"/>
                <w:color w:val="000000"/>
                <w:sz w:val="14"/>
              </w:rPr>
              <w:t xml:space="preserve">11.26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5.76</w:t>
            </w:r>
          </w:p>
        </w:tc>
        <w:tc>
          <w:tcPr>
            <w:tcW w:w="1160" w:type="dxa"/>
            <w:tcBorders/>
            <w:vAlign w:val="center"/>
          </w:tcPr>
          <w:p>
            <w:pPr>
              <w:jc w:val="right"/>
            </w:pPr>
            <w:r>
              <w:rPr>
                <w:rFonts w:ascii="宋体" w:eastAsia="宋体" w:hAnsi="宋体" w:cs="宋体"/>
                <w:b w:val="0"/>
                <w:i w:val="0"/>
                <w:color w:val="000000"/>
                <w:sz w:val="14"/>
              </w:rPr>
              <w:t xml:space="preserve">5.76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5.26</w:t>
            </w:r>
          </w:p>
        </w:tc>
        <w:tc>
          <w:tcPr>
            <w:tcW w:w="1160" w:type="dxa"/>
            <w:tcBorders/>
            <w:vAlign w:val="center"/>
          </w:tcPr>
          <w:p>
            <w:pPr>
              <w:jc w:val="right"/>
            </w:pPr>
            <w:r>
              <w:rPr>
                <w:rFonts w:ascii="宋体" w:eastAsia="宋体" w:hAnsi="宋体" w:cs="宋体"/>
                <w:b w:val="0"/>
                <w:i w:val="0"/>
                <w:color w:val="000000"/>
                <w:sz w:val="14"/>
              </w:rPr>
              <w:t xml:space="preserve">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1,903.36</w:t>
            </w:r>
          </w:p>
        </w:tc>
        <w:tc>
          <w:tcPr>
            <w:tcW w:w="1160" w:type="dxa"/>
            <w:tcBorders/>
            <w:vAlign w:val="center"/>
          </w:tcPr>
          <w:p>
            <w:pPr>
              <w:jc w:val="right"/>
            </w:pPr>
            <w:r>
              <w:rPr>
                <w:rFonts w:ascii="宋体" w:eastAsia="宋体" w:hAnsi="宋体" w:cs="宋体"/>
                <w:b w:val="0"/>
                <w:i w:val="0"/>
                <w:color w:val="000000"/>
                <w:sz w:val="14"/>
              </w:rPr>
              <w:t xml:space="preserve">1,903.36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168.41</w:t>
            </w:r>
          </w:p>
        </w:tc>
        <w:tc>
          <w:tcPr>
            <w:tcW w:w="1160" w:type="dxa"/>
            <w:tcBorders/>
            <w:vAlign w:val="center"/>
          </w:tcPr>
          <w:p>
            <w:pPr>
              <w:jc w:val="right"/>
            </w:pPr>
            <w:r>
              <w:rPr>
                <w:rFonts w:ascii="宋体" w:eastAsia="宋体" w:hAnsi="宋体" w:cs="宋体"/>
                <w:b w:val="0"/>
                <w:i w:val="0"/>
                <w:color w:val="000000"/>
                <w:sz w:val="14"/>
              </w:rPr>
              <w:t xml:space="preserve">168.41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1,093.24</w:t>
            </w:r>
          </w:p>
        </w:tc>
        <w:tc>
          <w:tcPr>
            <w:tcW w:w="1160" w:type="dxa"/>
            <w:tcBorders/>
            <w:vAlign w:val="center"/>
          </w:tcPr>
          <w:p>
            <w:pPr>
              <w:jc w:val="right"/>
            </w:pPr>
            <w:r>
              <w:rPr>
                <w:rFonts w:ascii="宋体" w:eastAsia="宋体" w:hAnsi="宋体" w:cs="宋体"/>
                <w:b w:val="0"/>
                <w:i w:val="0"/>
                <w:color w:val="000000"/>
                <w:sz w:val="14"/>
              </w:rPr>
              <w:t xml:space="preserve">1,093.24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618.54</w:t>
            </w:r>
          </w:p>
        </w:tc>
        <w:tc>
          <w:tcPr>
            <w:tcW w:w="1160" w:type="dxa"/>
            <w:tcBorders/>
            <w:vAlign w:val="center"/>
          </w:tcPr>
          <w:p>
            <w:pPr>
              <w:jc w:val="right"/>
            </w:pPr>
            <w:r>
              <w:rPr>
                <w:rFonts w:ascii="宋体" w:eastAsia="宋体" w:hAnsi="宋体" w:cs="宋体"/>
                <w:b w:val="0"/>
                <w:i w:val="0"/>
                <w:color w:val="000000"/>
                <w:sz w:val="14"/>
              </w:rPr>
              <w:t xml:space="preserve">618.54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23.17</w:t>
            </w:r>
          </w:p>
        </w:tc>
        <w:tc>
          <w:tcPr>
            <w:tcW w:w="1160" w:type="dxa"/>
            <w:tcBorders/>
            <w:vAlign w:val="center"/>
          </w:tcPr>
          <w:p>
            <w:pPr>
              <w:jc w:val="right"/>
            </w:pPr>
            <w:r>
              <w:rPr>
                <w:rFonts w:ascii="宋体" w:eastAsia="宋体" w:hAnsi="宋体" w:cs="宋体"/>
                <w:b w:val="0"/>
                <w:i w:val="0"/>
                <w:color w:val="000000"/>
                <w:sz w:val="14"/>
              </w:rPr>
              <w:t xml:space="preserve">23.17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239.43</w:t>
            </w:r>
          </w:p>
        </w:tc>
        <w:tc>
          <w:tcPr>
            <w:tcW w:w="1160" w:type="dxa"/>
            <w:tcBorders/>
            <w:vAlign w:val="center"/>
          </w:tcPr>
          <w:p>
            <w:pPr>
              <w:jc w:val="right"/>
            </w:pPr>
            <w:r>
              <w:rPr>
                <w:rFonts w:ascii="宋体" w:eastAsia="宋体" w:hAnsi="宋体" w:cs="宋体"/>
                <w:b w:val="0"/>
                <w:i w:val="0"/>
                <w:color w:val="000000"/>
                <w:sz w:val="14"/>
              </w:rPr>
              <w:t xml:space="preserve">239.43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192.39</w:t>
            </w:r>
          </w:p>
        </w:tc>
        <w:tc>
          <w:tcPr>
            <w:tcW w:w="1160" w:type="dxa"/>
            <w:tcBorders/>
            <w:vAlign w:val="center"/>
          </w:tcPr>
          <w:p>
            <w:pPr>
              <w:jc w:val="right"/>
            </w:pPr>
            <w:r>
              <w:rPr>
                <w:rFonts w:ascii="宋体" w:eastAsia="宋体" w:hAnsi="宋体" w:cs="宋体"/>
                <w:b w:val="0"/>
                <w:i w:val="0"/>
                <w:color w:val="000000"/>
                <w:sz w:val="14"/>
              </w:rPr>
              <w:t xml:space="preserve">192.39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军队移交政府的离退休人员安置</w:t>
            </w:r>
          </w:p>
        </w:tc>
        <w:tc>
          <w:tcPr>
            <w:tcW w:w="1160" w:type="dxa"/>
            <w:tcBorders/>
            <w:vAlign w:val="center"/>
          </w:tcPr>
          <w:p>
            <w:pPr>
              <w:jc w:val="right"/>
            </w:pPr>
            <w:r>
              <w:rPr>
                <w:rFonts w:ascii="宋体" w:eastAsia="宋体" w:hAnsi="宋体" w:cs="宋体"/>
                <w:b w:val="0"/>
                <w:i w:val="0"/>
                <w:color w:val="000000"/>
                <w:sz w:val="14"/>
              </w:rPr>
              <w:t xml:space="preserve">47.04</w:t>
            </w:r>
          </w:p>
        </w:tc>
        <w:tc>
          <w:tcPr>
            <w:tcW w:w="1160" w:type="dxa"/>
            <w:tcBorders/>
            <w:vAlign w:val="center"/>
          </w:tcPr>
          <w:p>
            <w:pPr>
              <w:jc w:val="right"/>
            </w:pPr>
            <w:r>
              <w:rPr>
                <w:rFonts w:ascii="宋体" w:eastAsia="宋体" w:hAnsi="宋体" w:cs="宋体"/>
                <w:b w:val="0"/>
                <w:i w:val="0"/>
                <w:color w:val="000000"/>
                <w:sz w:val="14"/>
              </w:rPr>
              <w:t xml:space="preserve">47.04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退役军人管理事务</w:t>
            </w:r>
          </w:p>
        </w:tc>
        <w:tc>
          <w:tcPr>
            <w:tcW w:w="1160" w:type="dxa"/>
            <w:tcBorders/>
            <w:vAlign w:val="center"/>
          </w:tcPr>
          <w:p>
            <w:pPr>
              <w:jc w:val="right"/>
            </w:pPr>
            <w:r>
              <w:rPr>
                <w:rFonts w:ascii="宋体" w:eastAsia="宋体" w:hAnsi="宋体" w:cs="宋体"/>
                <w:b w:val="0"/>
                <w:i w:val="0"/>
                <w:color w:val="000000"/>
                <w:sz w:val="14"/>
              </w:rPr>
              <w:t xml:space="preserve">214.19</w:t>
            </w:r>
          </w:p>
        </w:tc>
        <w:tc>
          <w:tcPr>
            <w:tcW w:w="1160" w:type="dxa"/>
            <w:tcBorders/>
            <w:vAlign w:val="center"/>
          </w:tcPr>
          <w:p>
            <w:pPr>
              <w:jc w:val="right"/>
            </w:pPr>
            <w:r>
              <w:rPr>
                <w:rFonts w:ascii="宋体" w:eastAsia="宋体" w:hAnsi="宋体" w:cs="宋体"/>
                <w:b w:val="0"/>
                <w:i w:val="0"/>
                <w:color w:val="000000"/>
                <w:sz w:val="14"/>
              </w:rPr>
              <w:t xml:space="preserve">214.19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164.31</w:t>
            </w:r>
          </w:p>
        </w:tc>
        <w:tc>
          <w:tcPr>
            <w:tcW w:w="1160" w:type="dxa"/>
            <w:tcBorders/>
            <w:vAlign w:val="center"/>
          </w:tcPr>
          <w:p>
            <w:pPr>
              <w:jc w:val="right"/>
            </w:pPr>
            <w:r>
              <w:rPr>
                <w:rFonts w:ascii="宋体" w:eastAsia="宋体" w:hAnsi="宋体" w:cs="宋体"/>
                <w:b w:val="0"/>
                <w:i w:val="0"/>
                <w:color w:val="000000"/>
                <w:sz w:val="14"/>
              </w:rPr>
              <w:t xml:space="preserve">164.31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49.88</w:t>
            </w:r>
          </w:p>
        </w:tc>
        <w:tc>
          <w:tcPr>
            <w:tcW w:w="1160" w:type="dxa"/>
            <w:tcBorders/>
            <w:vAlign w:val="center"/>
          </w:tcPr>
          <w:p>
            <w:pPr>
              <w:jc w:val="right"/>
            </w:pPr>
            <w:r>
              <w:rPr>
                <w:rFonts w:ascii="宋体" w:eastAsia="宋体" w:hAnsi="宋体" w:cs="宋体"/>
                <w:b w:val="0"/>
                <w:i w:val="0"/>
                <w:color w:val="000000"/>
                <w:sz w:val="14"/>
              </w:rPr>
              <w:t xml:space="preserve">49.88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25.83</w:t>
            </w:r>
          </w:p>
        </w:tc>
        <w:tc>
          <w:tcPr>
            <w:tcW w:w="1160" w:type="dxa"/>
            <w:tcBorders/>
            <w:vAlign w:val="center"/>
          </w:tcPr>
          <w:p>
            <w:pPr>
              <w:jc w:val="right"/>
            </w:pPr>
            <w:r>
              <w:rPr>
                <w:rFonts w:ascii="宋体" w:eastAsia="宋体" w:hAnsi="宋体" w:cs="宋体"/>
                <w:b w:val="0"/>
                <w:i w:val="0"/>
                <w:color w:val="000000"/>
                <w:sz w:val="14"/>
              </w:rPr>
              <w:t xml:space="preserve">25.83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2.96</w:t>
            </w:r>
          </w:p>
        </w:tc>
        <w:tc>
          <w:tcPr>
            <w:tcW w:w="1160" w:type="dxa"/>
            <w:tcBorders/>
            <w:vAlign w:val="center"/>
          </w:tcPr>
          <w:p>
            <w:pPr>
              <w:jc w:val="right"/>
            </w:pPr>
            <w:r>
              <w:rPr>
                <w:rFonts w:ascii="宋体" w:eastAsia="宋体" w:hAnsi="宋体" w:cs="宋体"/>
                <w:b w:val="0"/>
                <w:i w:val="0"/>
                <w:color w:val="000000"/>
                <w:sz w:val="14"/>
              </w:rPr>
              <w:t xml:space="preserve">2.96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2.21</w:t>
            </w:r>
          </w:p>
        </w:tc>
        <w:tc>
          <w:tcPr>
            <w:tcW w:w="1160" w:type="dxa"/>
            <w:tcBorders/>
            <w:vAlign w:val="center"/>
          </w:tcPr>
          <w:p>
            <w:pPr>
              <w:jc w:val="right"/>
            </w:pPr>
            <w:r>
              <w:rPr>
                <w:rFonts w:ascii="宋体" w:eastAsia="宋体" w:hAnsi="宋体" w:cs="宋体"/>
                <w:b w:val="0"/>
                <w:i w:val="0"/>
                <w:color w:val="000000"/>
                <w:sz w:val="14"/>
              </w:rPr>
              <w:t xml:space="preserve">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优抚对象医疗补助</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2,404.67</w:t>
            </w:r>
          </w:p>
        </w:tc>
        <w:tc>
          <w:tcPr>
            <w:tcW w:w="1120" w:type="dxa"/>
            <w:tcBorders/>
            <w:vAlign w:val="center"/>
          </w:tcPr>
          <w:p>
            <w:pPr>
              <w:jc w:val="right"/>
            </w:pPr>
            <w:r>
              <w:rPr>
                <w:rFonts w:ascii="宋体" w:eastAsia="宋体" w:hAnsi="宋体" w:cs="宋体"/>
                <w:b/>
                <w:i w:val="0"/>
                <w:color w:val="000000"/>
                <w:sz w:val="16"/>
              </w:rPr>
              <w:t xml:space="preserve">183.47</w:t>
            </w:r>
          </w:p>
        </w:tc>
        <w:tc>
          <w:tcPr>
            <w:tcW w:w="1120" w:type="dxa"/>
            <w:tcBorders/>
            <w:vAlign w:val="center"/>
          </w:tcPr>
          <w:p>
            <w:pPr>
              <w:jc w:val="right"/>
            </w:pPr>
            <w:r>
              <w:rPr>
                <w:rFonts w:ascii="宋体" w:eastAsia="宋体" w:hAnsi="宋体" w:cs="宋体"/>
                <w:b/>
                <w:i w:val="0"/>
                <w:color w:val="000000"/>
                <w:sz w:val="16"/>
              </w:rPr>
              <w:t xml:space="preserve">2,221.20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2,369.61</w:t>
            </w:r>
          </w:p>
        </w:tc>
        <w:tc>
          <w:tcPr>
            <w:tcW w:w="1120" w:type="dxa"/>
            <w:tcBorders/>
            <w:vAlign w:val="center"/>
          </w:tcPr>
          <w:p>
            <w:pPr>
              <w:jc w:val="right"/>
            </w:pPr>
            <w:r>
              <w:rPr>
                <w:rFonts w:ascii="宋体" w:eastAsia="宋体" w:hAnsi="宋体" w:cs="宋体"/>
                <w:b w:val="0"/>
                <w:i w:val="0"/>
                <w:color w:val="000000"/>
                <w:sz w:val="16"/>
              </w:rPr>
              <w:t xml:space="preserve">175.57</w:t>
            </w:r>
          </w:p>
        </w:tc>
        <w:tc>
          <w:tcPr>
            <w:tcW w:w="1120" w:type="dxa"/>
            <w:tcBorders/>
            <w:vAlign w:val="center"/>
          </w:tcPr>
          <w:p>
            <w:pPr>
              <w:jc w:val="right"/>
            </w:pPr>
            <w:r>
              <w:rPr>
                <w:rFonts w:ascii="宋体" w:eastAsia="宋体" w:hAnsi="宋体" w:cs="宋体"/>
                <w:b w:val="0"/>
                <w:i w:val="0"/>
                <w:color w:val="000000"/>
                <w:sz w:val="16"/>
              </w:rPr>
              <w:t xml:space="preserve">2,194.04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11.26</w:t>
            </w:r>
          </w:p>
        </w:tc>
        <w:tc>
          <w:tcPr>
            <w:tcW w:w="1120" w:type="dxa"/>
            <w:tcBorders/>
            <w:vAlign w:val="center"/>
          </w:tcPr>
          <w:p>
            <w:pPr>
              <w:jc w:val="right"/>
            </w:pPr>
            <w:r>
              <w:rPr>
                <w:rFonts w:ascii="宋体" w:eastAsia="宋体" w:hAnsi="宋体" w:cs="宋体"/>
                <w:b w:val="0"/>
                <w:i w:val="0"/>
                <w:color w:val="000000"/>
                <w:sz w:val="16"/>
              </w:rPr>
              <w:t xml:space="preserve">11.26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5.76</w:t>
            </w:r>
          </w:p>
        </w:tc>
        <w:tc>
          <w:tcPr>
            <w:tcW w:w="1120" w:type="dxa"/>
            <w:tcBorders/>
            <w:vAlign w:val="center"/>
          </w:tcPr>
          <w:p>
            <w:pPr>
              <w:jc w:val="right"/>
            </w:pPr>
            <w:r>
              <w:rPr>
                <w:rFonts w:ascii="宋体" w:eastAsia="宋体" w:hAnsi="宋体" w:cs="宋体"/>
                <w:b w:val="0"/>
                <w:i w:val="0"/>
                <w:color w:val="000000"/>
                <w:sz w:val="16"/>
              </w:rPr>
              <w:t xml:space="preserve">5.76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5.26</w:t>
            </w:r>
          </w:p>
        </w:tc>
        <w:tc>
          <w:tcPr>
            <w:tcW w:w="1120" w:type="dxa"/>
            <w:tcBorders/>
            <w:vAlign w:val="center"/>
          </w:tcPr>
          <w:p>
            <w:pPr>
              <w:jc w:val="right"/>
            </w:pPr>
            <w:r>
              <w:rPr>
                <w:rFonts w:ascii="宋体" w:eastAsia="宋体" w:hAnsi="宋体" w:cs="宋体"/>
                <w:b w:val="0"/>
                <w:i w:val="0"/>
                <w:color w:val="000000"/>
                <w:sz w:val="16"/>
              </w:rPr>
              <w:t xml:space="preserve">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1,903.36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1,903.36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168.41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168.41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1,093.24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1,093.24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618.54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618.54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23.17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239.43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239.43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192.39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军队移交政府的离退休人员安置</w:t>
            </w:r>
          </w:p>
        </w:tc>
        <w:tc>
          <w:tcPr>
            <w:tcW w:w="1120" w:type="dxa"/>
            <w:tcBorders/>
            <w:vAlign w:val="center"/>
          </w:tcPr>
          <w:p>
            <w:pPr>
              <w:jc w:val="right"/>
            </w:pPr>
            <w:r>
              <w:rPr>
                <w:rFonts w:ascii="宋体" w:eastAsia="宋体" w:hAnsi="宋体" w:cs="宋体"/>
                <w:b w:val="0"/>
                <w:i w:val="0"/>
                <w:color w:val="000000"/>
                <w:sz w:val="16"/>
              </w:rPr>
              <w:t xml:space="preserve">47.04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退役军人管理事务</w:t>
            </w:r>
          </w:p>
        </w:tc>
        <w:tc>
          <w:tcPr>
            <w:tcW w:w="1120" w:type="dxa"/>
            <w:tcBorders/>
            <w:vAlign w:val="center"/>
          </w:tcPr>
          <w:p>
            <w:pPr>
              <w:jc w:val="right"/>
            </w:pPr>
            <w:r>
              <w:rPr>
                <w:rFonts w:ascii="宋体" w:eastAsia="宋体" w:hAnsi="宋体" w:cs="宋体"/>
                <w:b w:val="0"/>
                <w:i w:val="0"/>
                <w:color w:val="000000"/>
                <w:sz w:val="16"/>
              </w:rPr>
              <w:t xml:space="preserve">214.19</w:t>
            </w:r>
          </w:p>
        </w:tc>
        <w:tc>
          <w:tcPr>
            <w:tcW w:w="1120" w:type="dxa"/>
            <w:tcBorders/>
            <w:vAlign w:val="center"/>
          </w:tcPr>
          <w:p>
            <w:pPr>
              <w:jc w:val="right"/>
            </w:pPr>
            <w:r>
              <w:rPr>
                <w:rFonts w:ascii="宋体" w:eastAsia="宋体" w:hAnsi="宋体" w:cs="宋体"/>
                <w:b w:val="0"/>
                <w:i w:val="0"/>
                <w:color w:val="000000"/>
                <w:sz w:val="16"/>
              </w:rPr>
              <w:t xml:space="preserve">164.31</w:t>
            </w:r>
          </w:p>
        </w:tc>
        <w:tc>
          <w:tcPr>
            <w:tcW w:w="1120" w:type="dxa"/>
            <w:tcBorders/>
            <w:vAlign w:val="center"/>
          </w:tcPr>
          <w:p>
            <w:pPr>
              <w:jc w:val="right"/>
            </w:pPr>
            <w:r>
              <w:rPr>
                <w:rFonts w:ascii="宋体" w:eastAsia="宋体" w:hAnsi="宋体" w:cs="宋体"/>
                <w:b w:val="0"/>
                <w:i w:val="0"/>
                <w:color w:val="000000"/>
                <w:sz w:val="16"/>
              </w:rPr>
              <w:t xml:space="preserve">49.88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164.31</w:t>
            </w:r>
          </w:p>
        </w:tc>
        <w:tc>
          <w:tcPr>
            <w:tcW w:w="1120" w:type="dxa"/>
            <w:tcBorders/>
            <w:vAlign w:val="center"/>
          </w:tcPr>
          <w:p>
            <w:pPr>
              <w:jc w:val="right"/>
            </w:pPr>
            <w:r>
              <w:rPr>
                <w:rFonts w:ascii="宋体" w:eastAsia="宋体" w:hAnsi="宋体" w:cs="宋体"/>
                <w:b w:val="0"/>
                <w:i w:val="0"/>
                <w:color w:val="000000"/>
                <w:sz w:val="16"/>
              </w:rPr>
              <w:t xml:space="preserve">164.31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49.88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49.88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25.83</w:t>
            </w:r>
          </w:p>
        </w:tc>
        <w:tc>
          <w:tcPr>
            <w:tcW w:w="1120" w:type="dxa"/>
            <w:tcBorders/>
            <w:vAlign w:val="center"/>
          </w:tcPr>
          <w:p>
            <w:pPr>
              <w:jc w:val="right"/>
            </w:pPr>
            <w:r>
              <w:rPr>
                <w:rFonts w:ascii="宋体" w:eastAsia="宋体" w:hAnsi="宋体" w:cs="宋体"/>
                <w:b w:val="0"/>
                <w:i w:val="0"/>
                <w:color w:val="000000"/>
                <w:sz w:val="16"/>
              </w:rPr>
              <w:t xml:space="preserve">2.96</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2.96</w:t>
            </w:r>
          </w:p>
        </w:tc>
        <w:tc>
          <w:tcPr>
            <w:tcW w:w="1120" w:type="dxa"/>
            <w:tcBorders/>
            <w:vAlign w:val="center"/>
          </w:tcPr>
          <w:p>
            <w:pPr>
              <w:jc w:val="right"/>
            </w:pPr>
            <w:r>
              <w:rPr>
                <w:rFonts w:ascii="宋体" w:eastAsia="宋体" w:hAnsi="宋体" w:cs="宋体"/>
                <w:b w:val="0"/>
                <w:i w:val="0"/>
                <w:color w:val="000000"/>
                <w:sz w:val="16"/>
              </w:rPr>
              <w:t xml:space="preserve">2.96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2.21</w:t>
            </w:r>
          </w:p>
        </w:tc>
        <w:tc>
          <w:tcPr>
            <w:tcW w:w="1120" w:type="dxa"/>
            <w:tcBorders/>
            <w:vAlign w:val="center"/>
          </w:tcPr>
          <w:p>
            <w:pPr>
              <w:jc w:val="right"/>
            </w:pPr>
            <w:r>
              <w:rPr>
                <w:rFonts w:ascii="宋体" w:eastAsia="宋体" w:hAnsi="宋体" w:cs="宋体"/>
                <w:b w:val="0"/>
                <w:i w:val="0"/>
                <w:color w:val="000000"/>
                <w:sz w:val="16"/>
              </w:rPr>
              <w:t xml:space="preserve">2.21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优抚对象医疗补助</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2,404.67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4.30</w:t>
            </w:r>
          </w:p>
        </w:tc>
        <w:tc>
          <w:tcPr>
            <w:tcW w:w="1100" w:type="dxa"/>
            <w:tcBorders/>
            <w:vAlign w:val="center"/>
          </w:tcPr>
          <w:p>
            <w:pPr>
              <w:jc w:val="right"/>
            </w:pPr>
            <w:r>
              <w:rPr>
                <w:rFonts w:ascii="宋体" w:eastAsia="宋体" w:hAnsi="宋体" w:cs="宋体"/>
                <w:b w:val="0"/>
                <w:i w:val="0"/>
                <w:color w:val="000000"/>
                <w:sz w:val="14"/>
              </w:rPr>
              <w:t xml:space="preserve">4.30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2,369.60</w:t>
            </w:r>
          </w:p>
        </w:tc>
        <w:tc>
          <w:tcPr>
            <w:tcW w:w="1100" w:type="dxa"/>
            <w:tcBorders/>
            <w:vAlign w:val="center"/>
          </w:tcPr>
          <w:p>
            <w:pPr>
              <w:jc w:val="right"/>
            </w:pPr>
            <w:r>
              <w:rPr>
                <w:rFonts w:ascii="宋体" w:eastAsia="宋体" w:hAnsi="宋体" w:cs="宋体"/>
                <w:b w:val="0"/>
                <w:i w:val="0"/>
                <w:color w:val="000000"/>
                <w:sz w:val="14"/>
              </w:rPr>
              <w:t xml:space="preserve">2,369.60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25.83</w:t>
            </w:r>
          </w:p>
        </w:tc>
        <w:tc>
          <w:tcPr>
            <w:tcW w:w="1100" w:type="dxa"/>
            <w:tcBorders/>
            <w:vAlign w:val="center"/>
          </w:tcPr>
          <w:p>
            <w:pPr>
              <w:jc w:val="right"/>
            </w:pPr>
            <w:r>
              <w:rPr>
                <w:rFonts w:ascii="宋体" w:eastAsia="宋体" w:hAnsi="宋体" w:cs="宋体"/>
                <w:b w:val="0"/>
                <w:i w:val="0"/>
                <w:color w:val="000000"/>
                <w:sz w:val="14"/>
              </w:rPr>
              <w:t xml:space="preserve">25.83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4.93</w:t>
            </w:r>
          </w:p>
        </w:tc>
        <w:tc>
          <w:tcPr>
            <w:tcW w:w="1100" w:type="dxa"/>
            <w:tcBorders/>
            <w:vAlign w:val="center"/>
          </w:tcPr>
          <w:p>
            <w:pPr>
              <w:jc w:val="right"/>
            </w:pPr>
            <w:r>
              <w:rPr>
                <w:rFonts w:ascii="宋体" w:eastAsia="宋体" w:hAnsi="宋体" w:cs="宋体"/>
                <w:b w:val="0"/>
                <w:i w:val="0"/>
                <w:color w:val="000000"/>
                <w:sz w:val="14"/>
              </w:rPr>
              <w:t xml:space="preserve">4.93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2,404.67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2,404.67</w:t>
            </w:r>
          </w:p>
        </w:tc>
        <w:tc>
          <w:tcPr>
            <w:tcW w:w="1100" w:type="dxa"/>
            <w:tcBorders/>
            <w:vAlign w:val="center"/>
          </w:tcPr>
          <w:p>
            <w:pPr>
              <w:jc w:val="right"/>
            </w:pPr>
            <w:r>
              <w:rPr>
                <w:rFonts w:ascii="宋体" w:eastAsia="宋体" w:hAnsi="宋体" w:cs="宋体"/>
                <w:b w:val="0"/>
                <w:i w:val="0"/>
                <w:color w:val="000000"/>
                <w:sz w:val="14"/>
              </w:rPr>
              <w:t xml:space="preserve">2,404.67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2,404.67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2,404.67</w:t>
            </w:r>
          </w:p>
        </w:tc>
        <w:tc>
          <w:tcPr>
            <w:tcW w:w="1100" w:type="dxa"/>
            <w:tcBorders/>
            <w:vAlign w:val="center"/>
          </w:tcPr>
          <w:p>
            <w:pPr>
              <w:jc w:val="right"/>
            </w:pPr>
            <w:r>
              <w:rPr>
                <w:rFonts w:ascii="宋体" w:eastAsia="宋体" w:hAnsi="宋体" w:cs="宋体"/>
                <w:b w:val="0"/>
                <w:i w:val="0"/>
                <w:color w:val="000000"/>
                <w:sz w:val="14"/>
              </w:rPr>
              <w:t xml:space="preserve">2,404.67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2,404.67</w:t>
            </w:r>
          </w:p>
        </w:tc>
        <w:tc>
          <w:tcPr>
            <w:tcW w:w="1980" w:type="dxa"/>
            <w:tcBorders/>
            <w:vAlign w:val="center"/>
          </w:tcPr>
          <w:p>
            <w:pPr>
              <w:jc w:val="right"/>
            </w:pPr>
            <w:r>
              <w:rPr>
                <w:rFonts w:ascii="宋体" w:eastAsia="宋体" w:hAnsi="宋体" w:cs="宋体"/>
                <w:b/>
                <w:i w:val="0"/>
                <w:color w:val="000000"/>
                <w:sz w:val="20"/>
              </w:rPr>
              <w:t xml:space="preserve">183.47</w:t>
            </w:r>
          </w:p>
        </w:tc>
        <w:tc>
          <w:tcPr>
            <w:tcW w:w="1952" w:type="dxa"/>
            <w:tcBorders/>
            <w:vAlign w:val="center"/>
          </w:tcPr>
          <w:p>
            <w:pPr>
              <w:jc w:val="right"/>
            </w:pPr>
            <w:r>
              <w:rPr>
                <w:rFonts w:ascii="宋体" w:eastAsia="宋体" w:hAnsi="宋体" w:cs="宋体"/>
                <w:b/>
                <w:i w:val="0"/>
                <w:color w:val="000000"/>
                <w:sz w:val="20"/>
              </w:rPr>
              <w:t xml:space="preserve">2,221.20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2,369.61</w:t>
            </w:r>
          </w:p>
        </w:tc>
        <w:tc>
          <w:tcPr>
            <w:tcW w:w="1980" w:type="dxa"/>
            <w:tcBorders/>
            <w:vAlign w:val="center"/>
          </w:tcPr>
          <w:p>
            <w:pPr>
              <w:jc w:val="right"/>
            </w:pPr>
            <w:r>
              <w:rPr>
                <w:rFonts w:ascii="宋体" w:eastAsia="宋体" w:hAnsi="宋体" w:cs="宋体"/>
                <w:b w:val="0"/>
                <w:i w:val="0"/>
                <w:color w:val="000000"/>
                <w:sz w:val="20"/>
              </w:rPr>
              <w:t xml:space="preserve">175.57</w:t>
            </w:r>
          </w:p>
        </w:tc>
        <w:tc>
          <w:tcPr>
            <w:tcW w:w="1952" w:type="dxa"/>
            <w:tcBorders/>
            <w:vAlign w:val="center"/>
          </w:tcPr>
          <w:p>
            <w:pPr>
              <w:jc w:val="right"/>
            </w:pPr>
            <w:r>
              <w:rPr>
                <w:rFonts w:ascii="宋体" w:eastAsia="宋体" w:hAnsi="宋体" w:cs="宋体"/>
                <w:b w:val="0"/>
                <w:i w:val="0"/>
                <w:color w:val="000000"/>
                <w:sz w:val="20"/>
              </w:rPr>
              <w:t xml:space="preserve">2,194.04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11.26</w:t>
            </w:r>
          </w:p>
        </w:tc>
        <w:tc>
          <w:tcPr>
            <w:tcW w:w="1980" w:type="dxa"/>
            <w:tcBorders/>
            <w:vAlign w:val="center"/>
          </w:tcPr>
          <w:p>
            <w:pPr>
              <w:jc w:val="right"/>
            </w:pPr>
            <w:r>
              <w:rPr>
                <w:rFonts w:ascii="宋体" w:eastAsia="宋体" w:hAnsi="宋体" w:cs="宋体"/>
                <w:b w:val="0"/>
                <w:i w:val="0"/>
                <w:color w:val="000000"/>
                <w:sz w:val="20"/>
              </w:rPr>
              <w:t xml:space="preserve">11.26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5.76</w:t>
            </w:r>
          </w:p>
        </w:tc>
        <w:tc>
          <w:tcPr>
            <w:tcW w:w="1980" w:type="dxa"/>
            <w:tcBorders/>
            <w:vAlign w:val="center"/>
          </w:tcPr>
          <w:p>
            <w:pPr>
              <w:jc w:val="right"/>
            </w:pPr>
            <w:r>
              <w:rPr>
                <w:rFonts w:ascii="宋体" w:eastAsia="宋体" w:hAnsi="宋体" w:cs="宋体"/>
                <w:b w:val="0"/>
                <w:i w:val="0"/>
                <w:color w:val="000000"/>
                <w:sz w:val="20"/>
              </w:rPr>
              <w:t xml:space="preserve">5.76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5.26</w:t>
            </w:r>
          </w:p>
        </w:tc>
        <w:tc>
          <w:tcPr>
            <w:tcW w:w="1980" w:type="dxa"/>
            <w:tcBorders/>
            <w:vAlign w:val="center"/>
          </w:tcPr>
          <w:p>
            <w:pPr>
              <w:jc w:val="right"/>
            </w:pPr>
            <w:r>
              <w:rPr>
                <w:rFonts w:ascii="宋体" w:eastAsia="宋体" w:hAnsi="宋体" w:cs="宋体"/>
                <w:b w:val="0"/>
                <w:i w:val="0"/>
                <w:color w:val="000000"/>
                <w:sz w:val="20"/>
              </w:rPr>
              <w:t xml:space="preserve">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1,903.36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1,903.36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168.41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168.41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1,093.24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1,093.24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618.54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618.54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23.17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239.43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239.43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192.39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192.39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军队移交政府的离退休人员安置</w:t>
            </w:r>
          </w:p>
        </w:tc>
        <w:tc>
          <w:tcPr>
            <w:tcW w:w="1980" w:type="dxa"/>
            <w:tcBorders/>
            <w:vAlign w:val="center"/>
          </w:tcPr>
          <w:p>
            <w:pPr>
              <w:jc w:val="right"/>
            </w:pPr>
            <w:r>
              <w:rPr>
                <w:rFonts w:ascii="宋体" w:eastAsia="宋体" w:hAnsi="宋体" w:cs="宋体"/>
                <w:b w:val="0"/>
                <w:i w:val="0"/>
                <w:color w:val="000000"/>
                <w:sz w:val="20"/>
              </w:rPr>
              <w:t xml:space="preserve">47.04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退役军人管理事务</w:t>
            </w:r>
          </w:p>
        </w:tc>
        <w:tc>
          <w:tcPr>
            <w:tcW w:w="1980" w:type="dxa"/>
            <w:tcBorders/>
            <w:vAlign w:val="center"/>
          </w:tcPr>
          <w:p>
            <w:pPr>
              <w:jc w:val="right"/>
            </w:pPr>
            <w:r>
              <w:rPr>
                <w:rFonts w:ascii="宋体" w:eastAsia="宋体" w:hAnsi="宋体" w:cs="宋体"/>
                <w:b w:val="0"/>
                <w:i w:val="0"/>
                <w:color w:val="000000"/>
                <w:sz w:val="20"/>
              </w:rPr>
              <w:t xml:space="preserve">214.19</w:t>
            </w:r>
          </w:p>
        </w:tc>
        <w:tc>
          <w:tcPr>
            <w:tcW w:w="1980" w:type="dxa"/>
            <w:tcBorders/>
            <w:vAlign w:val="center"/>
          </w:tcPr>
          <w:p>
            <w:pPr>
              <w:jc w:val="right"/>
            </w:pPr>
            <w:r>
              <w:rPr>
                <w:rFonts w:ascii="宋体" w:eastAsia="宋体" w:hAnsi="宋体" w:cs="宋体"/>
                <w:b w:val="0"/>
                <w:i w:val="0"/>
                <w:color w:val="000000"/>
                <w:sz w:val="20"/>
              </w:rPr>
              <w:t xml:space="preserve">164.31</w:t>
            </w:r>
          </w:p>
        </w:tc>
        <w:tc>
          <w:tcPr>
            <w:tcW w:w="1952" w:type="dxa"/>
            <w:tcBorders/>
            <w:vAlign w:val="center"/>
          </w:tcPr>
          <w:p>
            <w:pPr>
              <w:jc w:val="right"/>
            </w:pPr>
            <w:r>
              <w:rPr>
                <w:rFonts w:ascii="宋体" w:eastAsia="宋体" w:hAnsi="宋体" w:cs="宋体"/>
                <w:b w:val="0"/>
                <w:i w:val="0"/>
                <w:color w:val="000000"/>
                <w:sz w:val="20"/>
              </w:rPr>
              <w:t xml:space="preserve">49.88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164.31</w:t>
            </w:r>
          </w:p>
        </w:tc>
        <w:tc>
          <w:tcPr>
            <w:tcW w:w="1980" w:type="dxa"/>
            <w:tcBorders/>
            <w:vAlign w:val="center"/>
          </w:tcPr>
          <w:p>
            <w:pPr>
              <w:jc w:val="right"/>
            </w:pPr>
            <w:r>
              <w:rPr>
                <w:rFonts w:ascii="宋体" w:eastAsia="宋体" w:hAnsi="宋体" w:cs="宋体"/>
                <w:b w:val="0"/>
                <w:i w:val="0"/>
                <w:color w:val="000000"/>
                <w:sz w:val="20"/>
              </w:rPr>
              <w:t xml:space="preserve">164.31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49.88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49.88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25.83</w:t>
            </w:r>
          </w:p>
        </w:tc>
        <w:tc>
          <w:tcPr>
            <w:tcW w:w="1980" w:type="dxa"/>
            <w:tcBorders/>
            <w:vAlign w:val="center"/>
          </w:tcPr>
          <w:p>
            <w:pPr>
              <w:jc w:val="right"/>
            </w:pPr>
            <w:r>
              <w:rPr>
                <w:rFonts w:ascii="宋体" w:eastAsia="宋体" w:hAnsi="宋体" w:cs="宋体"/>
                <w:b w:val="0"/>
                <w:i w:val="0"/>
                <w:color w:val="000000"/>
                <w:sz w:val="20"/>
              </w:rPr>
              <w:t xml:space="preserve">2.96</w:t>
            </w:r>
          </w:p>
        </w:tc>
        <w:tc>
          <w:tcPr>
            <w:tcW w:w="1952" w:type="dxa"/>
            <w:tcBorders/>
            <w:vAlign w:val="center"/>
          </w:tcPr>
          <w:p>
            <w:pPr>
              <w:jc w:val="right"/>
            </w:pPr>
            <w:r>
              <w:rPr>
                <w:rFonts w:ascii="宋体" w:eastAsia="宋体" w:hAnsi="宋体" w:cs="宋体"/>
                <w:b w:val="0"/>
                <w:i w:val="0"/>
                <w:color w:val="000000"/>
                <w:sz w:val="20"/>
              </w:rPr>
              <w:t xml:space="preserve">22.87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2.96</w:t>
            </w:r>
          </w:p>
        </w:tc>
        <w:tc>
          <w:tcPr>
            <w:tcW w:w="1980" w:type="dxa"/>
            <w:tcBorders/>
            <w:vAlign w:val="center"/>
          </w:tcPr>
          <w:p>
            <w:pPr>
              <w:jc w:val="right"/>
            </w:pPr>
            <w:r>
              <w:rPr>
                <w:rFonts w:ascii="宋体" w:eastAsia="宋体" w:hAnsi="宋体" w:cs="宋体"/>
                <w:b w:val="0"/>
                <w:i w:val="0"/>
                <w:color w:val="000000"/>
                <w:sz w:val="20"/>
              </w:rPr>
              <w:t xml:space="preserve">2.96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2.21</w:t>
            </w:r>
          </w:p>
        </w:tc>
        <w:tc>
          <w:tcPr>
            <w:tcW w:w="1980" w:type="dxa"/>
            <w:tcBorders/>
            <w:vAlign w:val="center"/>
          </w:tcPr>
          <w:p>
            <w:pPr>
              <w:jc w:val="right"/>
            </w:pPr>
            <w:r>
              <w:rPr>
                <w:rFonts w:ascii="宋体" w:eastAsia="宋体" w:hAnsi="宋体" w:cs="宋体"/>
                <w:b w:val="0"/>
                <w:i w:val="0"/>
                <w:color w:val="000000"/>
                <w:sz w:val="20"/>
              </w:rPr>
              <w:t xml:space="preserve">2.21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优抚对象医疗补助</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177.39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5.84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18.08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1.75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12.65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127.74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5.76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5.26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2.18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0.62</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4.93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3.12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177.63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5.84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单位：辽宁省盘锦市兴隆台区退役军人局(本级)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339011盘锦市兴隆台区退役军人事务局-211103000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127.1994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2.423528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53.549606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保障本单位正常运行，保障优抚对象、现役军人和退役军人的补助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保障本单位正常运行，保障优抚对象、现役军人和退役军人的补助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离退休人员满意率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社会民众满意度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持续发展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进一步加强对绩效自评结果的应用，将绩效自评结果作为预算安排，调整完善政策和改进管理的重要依据。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扶贫帮扶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31.25%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按计划完成帮扶工作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扶贫济困活动次数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资金使用合规率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34.125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军转干部补助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92.32%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按年初计划完成军转干部发放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企业军转干部各类补助金额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企业军转干部各类补助经费标准达标率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99.23</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困难企业军转干部取暖费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61.47%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按年初计划完成发放困难企业军转干部取暖费。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资金保障范围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17.14736364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烈士公祭日经费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67.4%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按年初计划保障烈士公祭日活动开展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回访慰问数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活动参与人数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17.74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软件服务费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完成退役军人和优抚对象的统计调查。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完成退役军人和优抚对象的统计调查。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安置建档立卡贫困人口数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开展统计调查项目数量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业务系统运行稳定率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为移交地方的军队转业、离退休干部做好安置服务保障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双拥工作经费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38.79%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按年初计划完成双拥工作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34.87943</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随军家属补助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30.27%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34.02714286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退役安置补助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1126.28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792.74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70.39%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完成退役军人安置生活补助和现役军人优待金的发放</w:t>
            </w:r>
          </w:p>
          <w:p>
            <w:pPr>
              <w:snapToGrid w:val="0"/>
              <w:spacing w:before="0" w:beforeAutospacing="0" w:after="0" w:afterAutospacing="0" w:line="240" w:lineRule="auto"/>
              <w:jc w:val="left"/>
              <w:rPr/>
            </w:pPr>
            <w:r>
              <w:rPr>
                <w:rFonts w:ascii="宋体" w:eastAsia="宋体" w:hAnsi="宋体" w:cs="宋体"/>
                <w:b w:val="0"/>
                <w:i w:val="0"/>
                <w:color w:val="000000"/>
                <w:sz w:val="19"/>
              </w:rPr>
              <w:t xml:space="preserve">完成退役军人安置生活补助和现役军人优待金的发放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按计划完成退役军人安置生活补助和现役军人优待金的发放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补助无军籍职工人数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补助自助就业军人数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经费足额拨付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补助资金下达及时率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残疾义务兵补贴标准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退役士兵经济补助资金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改善退役军人经济条件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落实无军籍职工各项待遇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保障军队建设需要</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发放补助资金逐年增长率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8.03856914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退役士兵创业活动经费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按年初计划为退役士兵创业就业开展招聘</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发布就业信息数量的完成率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车辆保养率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17.86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退役士兵带安置期间养老保险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22.35%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按辽退役军人发[2020]28号文件执行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按年初计划完成退役待安置人员保险接续工作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发放退役经费的退役运动员人数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服务功能数量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服务用户规模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信件送达率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公诉率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办公自动化等系统运维合格率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成果质量达标率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自主择业退役金发放及时率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退役士兵经济补助标准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退役士兵经济补助资金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退役士兵经经济补助资金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做好退役军人各项保障待遇发放工作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改善退役军人经济条件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退役军人待遇保障率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工作人员满意度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服务群体满意度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33.23489667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优抚对象抚恤补助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1133.83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1039.16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91.65%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完成全年优抚对象的抚恤金和优抚对象部分生活补助的发放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按年初计划完成优抚对象抚恤金和优抚对象补助的发放。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经费足额拨付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优抚对象抚恤补助资金及时拨付率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优抚对象补助标准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优抚对象家庭和谐稳定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优抚对象待遇提高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优抚对象生活情况改善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优抚家庭满意度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99.17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优抚工作经费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45.94%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按年初计划完成优抚工作经费的使用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优抚对象抚恤补助标准按规定执行率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35.59396667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走访慰问金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26.91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96.09%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按年初计划完成八一走访慰问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回访慰问数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慰问师以上部队数量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地方配套资金到位率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慰问品合格率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99.61</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613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