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辽宁省盘锦市大洼三角洲开发区管理委员会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辽宁省盘锦市大洼三角洲开发区管理委员会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辽宁省盘锦市大洼三角洲开发区管理委员会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辽宁省盘锦市大洼三角洲开发区管理委员会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辽宁省盘锦市大洼三角洲开发区管理委员会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辽宁省盘锦市大洼三角洲开发区管理委员会概况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代政府行使管理、经营区域内从事农业、水产等权利。一由政府部门授予三角洲管理委员会行使区域内土地经营管理权；二是执行农业综合开发方针政策，制定区域内政策和规章制度；三是编制区域内总体规划和年度计划及具体实施方案；四是管理区域内农业综合开发，经营农、林、牧、副、鱼业生产；五是组织征收、管理和上级一般财政预算资金，管理和合理使用各项资金。</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辽宁省盘锦市大洼三角洲开发区管理委员会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盘锦市大洼三角洲开发区管理委员会本级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646.51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75.57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11.69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75.57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570.94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88.31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主要是自收人员工资等收入。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减少105.94万元，降低14.08%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人员退休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646.51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75.57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11.69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工资福利支出73.84万元；对个人和家庭的补助1.73万元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570.94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主要包括自收自支人员工资等业务支出。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减少105.94万元，降低14.08%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人员退休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75.57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75.57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减少142.33万元，降低65.32%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人员退休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100.01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100.01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2023年度一般公共预算财政拨款支出75.57万元。按支出功能分类科目分，包括：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1.社会保障和就业支出9.87万元，具体包括：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（1）社会保障和就业支出（类）行政事业单位养老支出（款）事业单位离退休（项）1.73万元,主要是退休人员取暖费等支出，完成年初预算的100%，决算数与年初预算数存在差异的主要原因是无差别。</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8.14万元,主要是在职人员养老保险等支出，完成年初预算的98.8%，决算数与年初预算数存在差异的主要原因是测算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2.卫生健康支出3.44万元，具体包括：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（1）卫生健康支出（类）行政事业单位医疗（款）事业单位医疗（项）3.37万元,主要是在职人员医疗保险等支出，完成年初预算的93.35%，决算数与年初预算数存在差异的主要原因是9测算差异。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（2）卫生健康支出（类）行政事业单位医疗（款）其他行政事业单位医疗支出（项）0.07万元,主要是在职人员大额医疗等支出，完成年初预算的100%，决算数与年初预算数存在差异的主要原因是无差异。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3.农林水支出56.01万元，具体包括：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（1）农林水支出（类）农业农村（款）事业运行（项）56.01万元,主要是在职人员工资等支出，完成年初预算的91.93%，决算数与年初预算数存在差异的主要原因是测算差异。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（1）住房保障支出（类）住房改革支出（款）住房公积金（项）6.25万元,主要是在职人员住房公积金等支出，完成年初预算的98.89%，决算数与年初预算数存在差异的主要原因是测算差异。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75.57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75.57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无支出</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无支出</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无支出</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1、预算管理</w:t>
        <w:br/>
        <w:t xml:space="preserve">    单位不断强化预算意识，实行部门综合预算管理，形成以单位领导支持、主管财务科室牵头、其他科室密切配合的工作格局，保证预算编制质量。结合单位业务情况，进行科学合理分配细化，单位预算经批复后，跟踪预算执行进度，及时组织收入，科学合理安排支出，降低预算支出的波动幅度。严格执行项目支出预算，积极组织项目实施，对于达到政府采购标准的项目支出，明确规定采购项目的采购期限，督促尽快组织实施采购计划。加强对预算执行过程的控制和结果的反馈，对预算执行差异及时分析成因和影响，并及时向领导和相关科室进行反馈，以采取措施纠正执行偏差，促进预算目标的全面完成。</w:t>
        <w:br/>
        <w:t xml:space="preserve">    2、内控管理</w:t>
        <w:br/>
        <w:t xml:space="preserve">    健全完善内控制度，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建立单位内控监督约束机制，让单位纪检、审计、业务部门参与到资金使用监督环节，确保资金安全、合理、有效使用，最大限度发挥财政资金使用效益。</w:t>
        <w:br/>
        <w:t xml:space="preserve">    3、资产管理</w:t>
        <w:br/>
        <w:t xml:space="preserve">    一是加强会计核算工作。严格执行现行固定资产管理制度，对购入的固定资产、收到的捐赠资产等及时入账，并按照数量、金额登记明细账，编制固定资产卡片，确保账面上能真实、完整的反映单位的固定资产情况，并结合本单位的实际情况，完善固定资产管理制度。二是加强程序管理。对纳入政府采购目录范围内的资产采购，必须报政府采购中心进行政府采购；未纳入政府采购目录范围内的资产采购，采用其他形式采购。未纳入预算的固定资产，不得随意采购，确需急用，必须经相关部门批准。三是加强内部监督。定期或不定期的对固定资产进行抽查。检查固定资产的购置、领用、处置等程序是否合规，账实是否相符等，防止国有资产的流失。</w:t>
        <w:br/>
        <w:t xml:space="preserve">    4、绩效管理</w:t>
        <w:br/>
        <w:t xml:space="preserve">    单位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目前单位绩效评价结果还停留在反映情况、找问题、提建议层面，评价结果和预算安排有机结合的机制尚未真正建立。</w:t>
        <w:br/>
        <w:t xml:space="preserve">    5、人才队伍建设</w:t>
        <w:br/>
        <w:t xml:space="preserve">    一是领导高度重视，工作落实到位。为进一步做好专业技术人才工作，切实加强对专业技术人才工作的领导，单位把专业技术人才工作列入重要议事日程，形成了主要领导直接抓，分管副职具体抓，综合科室具体负责的良好局面，确保了专业技术人才工作高效有序开展。二是注重培训，提高干部队伍素质。积极组织开展专业技术人员业务技能培训工作，切实推进实施专业技术人员知识更新工程，大力提升专业技术人员的职业道德与履职能力。</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16.农林水支出：反应用于农业事业单位基本支出，事业单位设施、系统运行与资产维护等方面的支出。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75.57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jc w:val="right"/>
            </w:pPr>
            <w:r>
              <w:rPr>
                <w:rFonts w:ascii="宋体" w:eastAsia="宋体" w:hAnsi="宋体" w:cs="宋体"/>
                <w:b w:val="0"/>
                <w:i w:val="0"/>
                <w:color w:val="000000"/>
                <w:sz w:val="18"/>
              </w:rPr>
              <w:t xml:space="preserve">570.94</w:t>
            </w: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626.95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646.51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646.51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646.51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646.51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646.51</w:t>
            </w:r>
          </w:p>
        </w:tc>
        <w:tc>
          <w:tcPr>
            <w:tcW w:w="1160" w:type="dxa"/>
            <w:tcBorders/>
            <w:vAlign w:val="center"/>
          </w:tcPr>
          <w:p>
            <w:pPr>
              <w:jc w:val="right"/>
            </w:pPr>
            <w:r>
              <w:rPr>
                <w:rFonts w:ascii="宋体" w:eastAsia="宋体" w:hAnsi="宋体" w:cs="宋体"/>
                <w:b/>
                <w:i w:val="0"/>
                <w:color w:val="000000"/>
                <w:sz w:val="14"/>
              </w:rPr>
              <w:t xml:space="preserve">75.57</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570.94</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1.73</w:t>
            </w:r>
          </w:p>
        </w:tc>
        <w:tc>
          <w:tcPr>
            <w:tcW w:w="1160" w:type="dxa"/>
            <w:tcBorders/>
            <w:vAlign w:val="center"/>
          </w:tcPr>
          <w:p>
            <w:pPr>
              <w:jc w:val="right"/>
            </w:pPr>
            <w:r>
              <w:rPr>
                <w:rFonts w:ascii="宋体" w:eastAsia="宋体" w:hAnsi="宋体" w:cs="宋体"/>
                <w:b w:val="0"/>
                <w:i w:val="0"/>
                <w:color w:val="000000"/>
                <w:sz w:val="14"/>
              </w:rPr>
              <w:t xml:space="preserve">1.73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8.14</w:t>
            </w:r>
          </w:p>
        </w:tc>
        <w:tc>
          <w:tcPr>
            <w:tcW w:w="1160" w:type="dxa"/>
            <w:tcBorders/>
            <w:vAlign w:val="center"/>
          </w:tcPr>
          <w:p>
            <w:pPr>
              <w:jc w:val="right"/>
            </w:pPr>
            <w:r>
              <w:rPr>
                <w:rFonts w:ascii="宋体" w:eastAsia="宋体" w:hAnsi="宋体" w:cs="宋体"/>
                <w:b w:val="0"/>
                <w:i w:val="0"/>
                <w:color w:val="000000"/>
                <w:sz w:val="14"/>
              </w:rPr>
              <w:t xml:space="preserve">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3.44</w:t>
            </w:r>
          </w:p>
        </w:tc>
        <w:tc>
          <w:tcPr>
            <w:tcW w:w="1160" w:type="dxa"/>
            <w:tcBorders/>
            <w:vAlign w:val="center"/>
          </w:tcPr>
          <w:p>
            <w:pPr>
              <w:jc w:val="right"/>
            </w:pPr>
            <w:r>
              <w:rPr>
                <w:rFonts w:ascii="宋体" w:eastAsia="宋体" w:hAnsi="宋体" w:cs="宋体"/>
                <w:b w:val="0"/>
                <w:i w:val="0"/>
                <w:color w:val="000000"/>
                <w:sz w:val="14"/>
              </w:rPr>
              <w:t xml:space="preserve">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3.44</w:t>
            </w:r>
          </w:p>
        </w:tc>
        <w:tc>
          <w:tcPr>
            <w:tcW w:w="1160" w:type="dxa"/>
            <w:tcBorders/>
            <w:vAlign w:val="center"/>
          </w:tcPr>
          <w:p>
            <w:pPr>
              <w:jc w:val="right"/>
            </w:pPr>
            <w:r>
              <w:rPr>
                <w:rFonts w:ascii="宋体" w:eastAsia="宋体" w:hAnsi="宋体" w:cs="宋体"/>
                <w:b w:val="0"/>
                <w:i w:val="0"/>
                <w:color w:val="000000"/>
                <w:sz w:val="14"/>
              </w:rPr>
              <w:t xml:space="preserve">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3.37</w:t>
            </w:r>
          </w:p>
        </w:tc>
        <w:tc>
          <w:tcPr>
            <w:tcW w:w="1160" w:type="dxa"/>
            <w:tcBorders/>
            <w:vAlign w:val="center"/>
          </w:tcPr>
          <w:p>
            <w:pPr>
              <w:jc w:val="right"/>
            </w:pPr>
            <w:r>
              <w:rPr>
                <w:rFonts w:ascii="宋体" w:eastAsia="宋体" w:hAnsi="宋体" w:cs="宋体"/>
                <w:b w:val="0"/>
                <w:i w:val="0"/>
                <w:color w:val="000000"/>
                <w:sz w:val="14"/>
              </w:rPr>
              <w:t xml:space="preserve">3.37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626.95</w:t>
            </w:r>
          </w:p>
        </w:tc>
        <w:tc>
          <w:tcPr>
            <w:tcW w:w="1160" w:type="dxa"/>
            <w:tcBorders/>
            <w:vAlign w:val="center"/>
          </w:tcPr>
          <w:p>
            <w:pPr>
              <w:jc w:val="right"/>
            </w:pPr>
            <w:r>
              <w:rPr>
                <w:rFonts w:ascii="宋体" w:eastAsia="宋体" w:hAnsi="宋体" w:cs="宋体"/>
                <w:b w:val="0"/>
                <w:i w:val="0"/>
                <w:color w:val="000000"/>
                <w:sz w:val="14"/>
              </w:rPr>
              <w:t xml:space="preserve">56.01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570.94</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626.95</w:t>
            </w:r>
          </w:p>
        </w:tc>
        <w:tc>
          <w:tcPr>
            <w:tcW w:w="1160" w:type="dxa"/>
            <w:tcBorders/>
            <w:vAlign w:val="center"/>
          </w:tcPr>
          <w:p>
            <w:pPr>
              <w:jc w:val="right"/>
            </w:pPr>
            <w:r>
              <w:rPr>
                <w:rFonts w:ascii="宋体" w:eastAsia="宋体" w:hAnsi="宋体" w:cs="宋体"/>
                <w:b w:val="0"/>
                <w:i w:val="0"/>
                <w:color w:val="000000"/>
                <w:sz w:val="14"/>
              </w:rPr>
              <w:t xml:space="preserve">56.01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570.94</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626.95</w:t>
            </w:r>
          </w:p>
        </w:tc>
        <w:tc>
          <w:tcPr>
            <w:tcW w:w="1160" w:type="dxa"/>
            <w:tcBorders/>
            <w:vAlign w:val="center"/>
          </w:tcPr>
          <w:p>
            <w:pPr>
              <w:jc w:val="right"/>
            </w:pPr>
            <w:r>
              <w:rPr>
                <w:rFonts w:ascii="宋体" w:eastAsia="宋体" w:hAnsi="宋体" w:cs="宋体"/>
                <w:b w:val="0"/>
                <w:i w:val="0"/>
                <w:color w:val="000000"/>
                <w:sz w:val="14"/>
              </w:rPr>
              <w:t xml:space="preserve">56.01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570.94</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6.25</w:t>
            </w:r>
          </w:p>
        </w:tc>
        <w:tc>
          <w:tcPr>
            <w:tcW w:w="1160" w:type="dxa"/>
            <w:tcBorders/>
            <w:vAlign w:val="center"/>
          </w:tcPr>
          <w:p>
            <w:pPr>
              <w:jc w:val="right"/>
            </w:pPr>
            <w:r>
              <w:rPr>
                <w:rFonts w:ascii="宋体" w:eastAsia="宋体" w:hAnsi="宋体" w:cs="宋体"/>
                <w:b w:val="0"/>
                <w:i w:val="0"/>
                <w:color w:val="000000"/>
                <w:sz w:val="14"/>
              </w:rPr>
              <w:t xml:space="preserve">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6.25</w:t>
            </w:r>
          </w:p>
        </w:tc>
        <w:tc>
          <w:tcPr>
            <w:tcW w:w="1160" w:type="dxa"/>
            <w:tcBorders/>
            <w:vAlign w:val="center"/>
          </w:tcPr>
          <w:p>
            <w:pPr>
              <w:jc w:val="right"/>
            </w:pPr>
            <w:r>
              <w:rPr>
                <w:rFonts w:ascii="宋体" w:eastAsia="宋体" w:hAnsi="宋体" w:cs="宋体"/>
                <w:b w:val="0"/>
                <w:i w:val="0"/>
                <w:color w:val="000000"/>
                <w:sz w:val="14"/>
              </w:rPr>
              <w:t xml:space="preserve">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6.25</w:t>
            </w:r>
          </w:p>
        </w:tc>
        <w:tc>
          <w:tcPr>
            <w:tcW w:w="1160" w:type="dxa"/>
            <w:tcBorders/>
            <w:vAlign w:val="center"/>
          </w:tcPr>
          <w:p>
            <w:pPr>
              <w:jc w:val="right"/>
            </w:pPr>
            <w:r>
              <w:rPr>
                <w:rFonts w:ascii="宋体" w:eastAsia="宋体" w:hAnsi="宋体" w:cs="宋体"/>
                <w:b w:val="0"/>
                <w:i w:val="0"/>
                <w:color w:val="000000"/>
                <w:sz w:val="14"/>
              </w:rPr>
              <w:t xml:space="preserve">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646.51</w:t>
            </w:r>
          </w:p>
        </w:tc>
        <w:tc>
          <w:tcPr>
            <w:tcW w:w="1120" w:type="dxa"/>
            <w:tcBorders/>
            <w:vAlign w:val="center"/>
          </w:tcPr>
          <w:p>
            <w:pPr>
              <w:jc w:val="right"/>
            </w:pPr>
            <w:r>
              <w:rPr>
                <w:rFonts w:ascii="宋体" w:eastAsia="宋体" w:hAnsi="宋体" w:cs="宋体"/>
                <w:b/>
                <w:i w:val="0"/>
                <w:color w:val="000000"/>
                <w:sz w:val="16"/>
              </w:rPr>
              <w:t xml:space="preserve">75.57</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570.94</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8.14</w:t>
            </w:r>
          </w:p>
        </w:tc>
        <w:tc>
          <w:tcPr>
            <w:tcW w:w="1120" w:type="dxa"/>
            <w:tcBorders/>
            <w:vAlign w:val="center"/>
          </w:tcPr>
          <w:p>
            <w:pPr>
              <w:jc w:val="right"/>
            </w:pPr>
            <w:r>
              <w:rPr>
                <w:rFonts w:ascii="宋体" w:eastAsia="宋体" w:hAnsi="宋体" w:cs="宋体"/>
                <w:b w:val="0"/>
                <w:i w:val="0"/>
                <w:color w:val="000000"/>
                <w:sz w:val="16"/>
              </w:rPr>
              <w:t xml:space="preserve">8.14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3.44</w:t>
            </w:r>
          </w:p>
        </w:tc>
        <w:tc>
          <w:tcPr>
            <w:tcW w:w="1120" w:type="dxa"/>
            <w:tcBorders/>
            <w:vAlign w:val="center"/>
          </w:tcPr>
          <w:p>
            <w:pPr>
              <w:jc w:val="right"/>
            </w:pPr>
            <w:r>
              <w:rPr>
                <w:rFonts w:ascii="宋体" w:eastAsia="宋体" w:hAnsi="宋体" w:cs="宋体"/>
                <w:b w:val="0"/>
                <w:i w:val="0"/>
                <w:color w:val="000000"/>
                <w:sz w:val="16"/>
              </w:rPr>
              <w:t xml:space="preserve">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3.44</w:t>
            </w:r>
          </w:p>
        </w:tc>
        <w:tc>
          <w:tcPr>
            <w:tcW w:w="1120" w:type="dxa"/>
            <w:tcBorders/>
            <w:vAlign w:val="center"/>
          </w:tcPr>
          <w:p>
            <w:pPr>
              <w:jc w:val="right"/>
            </w:pPr>
            <w:r>
              <w:rPr>
                <w:rFonts w:ascii="宋体" w:eastAsia="宋体" w:hAnsi="宋体" w:cs="宋体"/>
                <w:b w:val="0"/>
                <w:i w:val="0"/>
                <w:color w:val="000000"/>
                <w:sz w:val="16"/>
              </w:rPr>
              <w:t xml:space="preserve">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3.37</w:t>
            </w:r>
          </w:p>
        </w:tc>
        <w:tc>
          <w:tcPr>
            <w:tcW w:w="1120" w:type="dxa"/>
            <w:tcBorders/>
            <w:vAlign w:val="center"/>
          </w:tcPr>
          <w:p>
            <w:pPr>
              <w:jc w:val="right"/>
            </w:pPr>
            <w:r>
              <w:rPr>
                <w:rFonts w:ascii="宋体" w:eastAsia="宋体" w:hAnsi="宋体" w:cs="宋体"/>
                <w:b w:val="0"/>
                <w:i w:val="0"/>
                <w:color w:val="000000"/>
                <w:sz w:val="16"/>
              </w:rPr>
              <w:t xml:space="preserve">3.37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626.95</w:t>
            </w:r>
          </w:p>
        </w:tc>
        <w:tc>
          <w:tcPr>
            <w:tcW w:w="1120" w:type="dxa"/>
            <w:tcBorders/>
            <w:vAlign w:val="center"/>
          </w:tcPr>
          <w:p>
            <w:pPr>
              <w:jc w:val="right"/>
            </w:pPr>
            <w:r>
              <w:rPr>
                <w:rFonts w:ascii="宋体" w:eastAsia="宋体" w:hAnsi="宋体" w:cs="宋体"/>
                <w:b w:val="0"/>
                <w:i w:val="0"/>
                <w:color w:val="000000"/>
                <w:sz w:val="16"/>
              </w:rPr>
              <w:t xml:space="preserve">56.01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570.94</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626.95</w:t>
            </w:r>
          </w:p>
        </w:tc>
        <w:tc>
          <w:tcPr>
            <w:tcW w:w="1120" w:type="dxa"/>
            <w:tcBorders/>
            <w:vAlign w:val="center"/>
          </w:tcPr>
          <w:p>
            <w:pPr>
              <w:jc w:val="right"/>
            </w:pPr>
            <w:r>
              <w:rPr>
                <w:rFonts w:ascii="宋体" w:eastAsia="宋体" w:hAnsi="宋体" w:cs="宋体"/>
                <w:b w:val="0"/>
                <w:i w:val="0"/>
                <w:color w:val="000000"/>
                <w:sz w:val="16"/>
              </w:rPr>
              <w:t xml:space="preserve">56.01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570.94</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626.95</w:t>
            </w:r>
          </w:p>
        </w:tc>
        <w:tc>
          <w:tcPr>
            <w:tcW w:w="1120" w:type="dxa"/>
            <w:tcBorders/>
            <w:vAlign w:val="center"/>
          </w:tcPr>
          <w:p>
            <w:pPr>
              <w:jc w:val="right"/>
            </w:pPr>
            <w:r>
              <w:rPr>
                <w:rFonts w:ascii="宋体" w:eastAsia="宋体" w:hAnsi="宋体" w:cs="宋体"/>
                <w:b w:val="0"/>
                <w:i w:val="0"/>
                <w:color w:val="000000"/>
                <w:sz w:val="16"/>
              </w:rPr>
              <w:t xml:space="preserve">56.01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570.94</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6.25</w:t>
            </w:r>
          </w:p>
        </w:tc>
        <w:tc>
          <w:tcPr>
            <w:tcW w:w="1120" w:type="dxa"/>
            <w:tcBorders/>
            <w:vAlign w:val="center"/>
          </w:tcPr>
          <w:p>
            <w:pPr>
              <w:jc w:val="right"/>
            </w:pPr>
            <w:r>
              <w:rPr>
                <w:rFonts w:ascii="宋体" w:eastAsia="宋体" w:hAnsi="宋体" w:cs="宋体"/>
                <w:b w:val="0"/>
                <w:i w:val="0"/>
                <w:color w:val="000000"/>
                <w:sz w:val="16"/>
              </w:rPr>
              <w:t xml:space="preserve">6.25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6.25</w:t>
            </w:r>
          </w:p>
        </w:tc>
        <w:tc>
          <w:tcPr>
            <w:tcW w:w="1120" w:type="dxa"/>
            <w:tcBorders/>
            <w:vAlign w:val="center"/>
          </w:tcPr>
          <w:p>
            <w:pPr>
              <w:jc w:val="right"/>
            </w:pPr>
            <w:r>
              <w:rPr>
                <w:rFonts w:ascii="宋体" w:eastAsia="宋体" w:hAnsi="宋体" w:cs="宋体"/>
                <w:b w:val="0"/>
                <w:i w:val="0"/>
                <w:color w:val="000000"/>
                <w:sz w:val="16"/>
              </w:rPr>
              <w:t xml:space="preserve">6.25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6.25</w:t>
            </w:r>
          </w:p>
        </w:tc>
        <w:tc>
          <w:tcPr>
            <w:tcW w:w="1120" w:type="dxa"/>
            <w:tcBorders/>
            <w:vAlign w:val="center"/>
          </w:tcPr>
          <w:p>
            <w:pPr>
              <w:jc w:val="right"/>
            </w:pPr>
            <w:r>
              <w:rPr>
                <w:rFonts w:ascii="宋体" w:eastAsia="宋体" w:hAnsi="宋体" w:cs="宋体"/>
                <w:b w:val="0"/>
                <w:i w:val="0"/>
                <w:color w:val="000000"/>
                <w:sz w:val="16"/>
              </w:rPr>
              <w:t xml:space="preserve">6.25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75.57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9.87</w:t>
            </w:r>
          </w:p>
        </w:tc>
        <w:tc>
          <w:tcPr>
            <w:tcW w:w="1100" w:type="dxa"/>
            <w:tcBorders/>
            <w:vAlign w:val="center"/>
          </w:tcPr>
          <w:p>
            <w:pPr>
              <w:jc w:val="right"/>
            </w:pPr>
            <w:r>
              <w:rPr>
                <w:rFonts w:ascii="宋体" w:eastAsia="宋体" w:hAnsi="宋体" w:cs="宋体"/>
                <w:b w:val="0"/>
                <w:i w:val="0"/>
                <w:color w:val="000000"/>
                <w:sz w:val="14"/>
              </w:rPr>
              <w:t xml:space="preserve">9.87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3.44</w:t>
            </w:r>
          </w:p>
        </w:tc>
        <w:tc>
          <w:tcPr>
            <w:tcW w:w="1100" w:type="dxa"/>
            <w:tcBorders/>
            <w:vAlign w:val="center"/>
          </w:tcPr>
          <w:p>
            <w:pPr>
              <w:jc w:val="right"/>
            </w:pPr>
            <w:r>
              <w:rPr>
                <w:rFonts w:ascii="宋体" w:eastAsia="宋体" w:hAnsi="宋体" w:cs="宋体"/>
                <w:b w:val="0"/>
                <w:i w:val="0"/>
                <w:color w:val="000000"/>
                <w:sz w:val="14"/>
              </w:rPr>
              <w:t xml:space="preserve">3.44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56.01</w:t>
            </w:r>
          </w:p>
        </w:tc>
        <w:tc>
          <w:tcPr>
            <w:tcW w:w="1100" w:type="dxa"/>
            <w:tcBorders/>
            <w:vAlign w:val="center"/>
          </w:tcPr>
          <w:p>
            <w:pPr>
              <w:jc w:val="right"/>
            </w:pPr>
            <w:r>
              <w:rPr>
                <w:rFonts w:ascii="宋体" w:eastAsia="宋体" w:hAnsi="宋体" w:cs="宋体"/>
                <w:b w:val="0"/>
                <w:i w:val="0"/>
                <w:color w:val="000000"/>
                <w:sz w:val="14"/>
              </w:rPr>
              <w:t xml:space="preserve">56.01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6.25</w:t>
            </w:r>
          </w:p>
        </w:tc>
        <w:tc>
          <w:tcPr>
            <w:tcW w:w="1100" w:type="dxa"/>
            <w:tcBorders/>
            <w:vAlign w:val="center"/>
          </w:tcPr>
          <w:p>
            <w:pPr>
              <w:jc w:val="right"/>
            </w:pPr>
            <w:r>
              <w:rPr>
                <w:rFonts w:ascii="宋体" w:eastAsia="宋体" w:hAnsi="宋体" w:cs="宋体"/>
                <w:b w:val="0"/>
                <w:i w:val="0"/>
                <w:color w:val="000000"/>
                <w:sz w:val="14"/>
              </w:rPr>
              <w:t xml:space="preserve">6.25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75.57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75.57</w:t>
            </w:r>
          </w:p>
        </w:tc>
        <w:tc>
          <w:tcPr>
            <w:tcW w:w="1100" w:type="dxa"/>
            <w:tcBorders/>
            <w:vAlign w:val="center"/>
          </w:tcPr>
          <w:p>
            <w:pPr>
              <w:jc w:val="right"/>
            </w:pPr>
            <w:r>
              <w:rPr>
                <w:rFonts w:ascii="宋体" w:eastAsia="宋体" w:hAnsi="宋体" w:cs="宋体"/>
                <w:b w:val="0"/>
                <w:i w:val="0"/>
                <w:color w:val="000000"/>
                <w:sz w:val="14"/>
              </w:rPr>
              <w:t xml:space="preserve">75.57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75.57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75.57</w:t>
            </w:r>
          </w:p>
        </w:tc>
        <w:tc>
          <w:tcPr>
            <w:tcW w:w="1100" w:type="dxa"/>
            <w:tcBorders/>
            <w:vAlign w:val="center"/>
          </w:tcPr>
          <w:p>
            <w:pPr>
              <w:jc w:val="right"/>
            </w:pPr>
            <w:r>
              <w:rPr>
                <w:rFonts w:ascii="宋体" w:eastAsia="宋体" w:hAnsi="宋体" w:cs="宋体"/>
                <w:b w:val="0"/>
                <w:i w:val="0"/>
                <w:color w:val="000000"/>
                <w:sz w:val="14"/>
              </w:rPr>
              <w:t xml:space="preserve">75.57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75.57</w:t>
            </w:r>
          </w:p>
        </w:tc>
        <w:tc>
          <w:tcPr>
            <w:tcW w:w="1980" w:type="dxa"/>
            <w:tcBorders/>
            <w:vAlign w:val="center"/>
          </w:tcPr>
          <w:p>
            <w:pPr>
              <w:jc w:val="right"/>
            </w:pPr>
            <w:r>
              <w:rPr>
                <w:rFonts w:ascii="宋体" w:eastAsia="宋体" w:hAnsi="宋体" w:cs="宋体"/>
                <w:b/>
                <w:i w:val="0"/>
                <w:color w:val="000000"/>
                <w:sz w:val="20"/>
              </w:rPr>
              <w:t xml:space="preserve">75.57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9.87</w:t>
            </w:r>
          </w:p>
        </w:tc>
        <w:tc>
          <w:tcPr>
            <w:tcW w:w="1980" w:type="dxa"/>
            <w:tcBorders/>
            <w:vAlign w:val="center"/>
          </w:tcPr>
          <w:p>
            <w:pPr>
              <w:jc w:val="right"/>
            </w:pPr>
            <w:r>
              <w:rPr>
                <w:rFonts w:ascii="宋体" w:eastAsia="宋体" w:hAnsi="宋体" w:cs="宋体"/>
                <w:b w:val="0"/>
                <w:i w:val="0"/>
                <w:color w:val="000000"/>
                <w:sz w:val="20"/>
              </w:rPr>
              <w:t xml:space="preserve">9.87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9.87</w:t>
            </w:r>
          </w:p>
        </w:tc>
        <w:tc>
          <w:tcPr>
            <w:tcW w:w="1980" w:type="dxa"/>
            <w:tcBorders/>
            <w:vAlign w:val="center"/>
          </w:tcPr>
          <w:p>
            <w:pPr>
              <w:jc w:val="right"/>
            </w:pPr>
            <w:r>
              <w:rPr>
                <w:rFonts w:ascii="宋体" w:eastAsia="宋体" w:hAnsi="宋体" w:cs="宋体"/>
                <w:b w:val="0"/>
                <w:i w:val="0"/>
                <w:color w:val="000000"/>
                <w:sz w:val="20"/>
              </w:rPr>
              <w:t xml:space="preserve">9.87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1.73</w:t>
            </w:r>
          </w:p>
        </w:tc>
        <w:tc>
          <w:tcPr>
            <w:tcW w:w="1980" w:type="dxa"/>
            <w:tcBorders/>
            <w:vAlign w:val="center"/>
          </w:tcPr>
          <w:p>
            <w:pPr>
              <w:jc w:val="right"/>
            </w:pPr>
            <w:r>
              <w:rPr>
                <w:rFonts w:ascii="宋体" w:eastAsia="宋体" w:hAnsi="宋体" w:cs="宋体"/>
                <w:b w:val="0"/>
                <w:i w:val="0"/>
                <w:color w:val="000000"/>
                <w:sz w:val="20"/>
              </w:rPr>
              <w:t xml:space="preserve">1.73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8.14</w:t>
            </w:r>
          </w:p>
        </w:tc>
        <w:tc>
          <w:tcPr>
            <w:tcW w:w="1980" w:type="dxa"/>
            <w:tcBorders/>
            <w:vAlign w:val="center"/>
          </w:tcPr>
          <w:p>
            <w:pPr>
              <w:jc w:val="right"/>
            </w:pPr>
            <w:r>
              <w:rPr>
                <w:rFonts w:ascii="宋体" w:eastAsia="宋体" w:hAnsi="宋体" w:cs="宋体"/>
                <w:b w:val="0"/>
                <w:i w:val="0"/>
                <w:color w:val="000000"/>
                <w:sz w:val="20"/>
              </w:rPr>
              <w:t xml:space="preserve">8.14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3.44</w:t>
            </w:r>
          </w:p>
        </w:tc>
        <w:tc>
          <w:tcPr>
            <w:tcW w:w="1980" w:type="dxa"/>
            <w:tcBorders/>
            <w:vAlign w:val="center"/>
          </w:tcPr>
          <w:p>
            <w:pPr>
              <w:jc w:val="right"/>
            </w:pPr>
            <w:r>
              <w:rPr>
                <w:rFonts w:ascii="宋体" w:eastAsia="宋体" w:hAnsi="宋体" w:cs="宋体"/>
                <w:b w:val="0"/>
                <w:i w:val="0"/>
                <w:color w:val="000000"/>
                <w:sz w:val="20"/>
              </w:rPr>
              <w:t xml:space="preserve">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3.44</w:t>
            </w:r>
          </w:p>
        </w:tc>
        <w:tc>
          <w:tcPr>
            <w:tcW w:w="1980" w:type="dxa"/>
            <w:tcBorders/>
            <w:vAlign w:val="center"/>
          </w:tcPr>
          <w:p>
            <w:pPr>
              <w:jc w:val="right"/>
            </w:pPr>
            <w:r>
              <w:rPr>
                <w:rFonts w:ascii="宋体" w:eastAsia="宋体" w:hAnsi="宋体" w:cs="宋体"/>
                <w:b w:val="0"/>
                <w:i w:val="0"/>
                <w:color w:val="000000"/>
                <w:sz w:val="20"/>
              </w:rPr>
              <w:t xml:space="preserve">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3.37</w:t>
            </w:r>
          </w:p>
        </w:tc>
        <w:tc>
          <w:tcPr>
            <w:tcW w:w="1980" w:type="dxa"/>
            <w:tcBorders/>
            <w:vAlign w:val="center"/>
          </w:tcPr>
          <w:p>
            <w:pPr>
              <w:jc w:val="right"/>
            </w:pPr>
            <w:r>
              <w:rPr>
                <w:rFonts w:ascii="宋体" w:eastAsia="宋体" w:hAnsi="宋体" w:cs="宋体"/>
                <w:b w:val="0"/>
                <w:i w:val="0"/>
                <w:color w:val="000000"/>
                <w:sz w:val="20"/>
              </w:rPr>
              <w:t xml:space="preserve">3.37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56.01</w:t>
            </w:r>
          </w:p>
        </w:tc>
        <w:tc>
          <w:tcPr>
            <w:tcW w:w="1980" w:type="dxa"/>
            <w:tcBorders/>
            <w:vAlign w:val="center"/>
          </w:tcPr>
          <w:p>
            <w:pPr>
              <w:jc w:val="right"/>
            </w:pPr>
            <w:r>
              <w:rPr>
                <w:rFonts w:ascii="宋体" w:eastAsia="宋体" w:hAnsi="宋体" w:cs="宋体"/>
                <w:b w:val="0"/>
                <w:i w:val="0"/>
                <w:color w:val="000000"/>
                <w:sz w:val="20"/>
              </w:rPr>
              <w:t xml:space="preserve">56.01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56.01</w:t>
            </w:r>
          </w:p>
        </w:tc>
        <w:tc>
          <w:tcPr>
            <w:tcW w:w="1980" w:type="dxa"/>
            <w:tcBorders/>
            <w:vAlign w:val="center"/>
          </w:tcPr>
          <w:p>
            <w:pPr>
              <w:jc w:val="right"/>
            </w:pPr>
            <w:r>
              <w:rPr>
                <w:rFonts w:ascii="宋体" w:eastAsia="宋体" w:hAnsi="宋体" w:cs="宋体"/>
                <w:b w:val="0"/>
                <w:i w:val="0"/>
                <w:color w:val="000000"/>
                <w:sz w:val="20"/>
              </w:rPr>
              <w:t xml:space="preserve">56.01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56.01</w:t>
            </w:r>
          </w:p>
        </w:tc>
        <w:tc>
          <w:tcPr>
            <w:tcW w:w="1980" w:type="dxa"/>
            <w:tcBorders/>
            <w:vAlign w:val="center"/>
          </w:tcPr>
          <w:p>
            <w:pPr>
              <w:jc w:val="right"/>
            </w:pPr>
            <w:r>
              <w:rPr>
                <w:rFonts w:ascii="宋体" w:eastAsia="宋体" w:hAnsi="宋体" w:cs="宋体"/>
                <w:b w:val="0"/>
                <w:i w:val="0"/>
                <w:color w:val="000000"/>
                <w:sz w:val="20"/>
              </w:rPr>
              <w:t xml:space="preserve">56.01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6.25</w:t>
            </w:r>
          </w:p>
        </w:tc>
        <w:tc>
          <w:tcPr>
            <w:tcW w:w="1980" w:type="dxa"/>
            <w:tcBorders/>
            <w:vAlign w:val="center"/>
          </w:tcPr>
          <w:p>
            <w:pPr>
              <w:jc w:val="right"/>
            </w:pPr>
            <w:r>
              <w:rPr>
                <w:rFonts w:ascii="宋体" w:eastAsia="宋体" w:hAnsi="宋体" w:cs="宋体"/>
                <w:b w:val="0"/>
                <w:i w:val="0"/>
                <w:color w:val="000000"/>
                <w:sz w:val="20"/>
              </w:rPr>
              <w:t xml:space="preserve">6.25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6.25</w:t>
            </w:r>
          </w:p>
        </w:tc>
        <w:tc>
          <w:tcPr>
            <w:tcW w:w="1980" w:type="dxa"/>
            <w:tcBorders/>
            <w:vAlign w:val="center"/>
          </w:tcPr>
          <w:p>
            <w:pPr>
              <w:jc w:val="right"/>
            </w:pPr>
            <w:r>
              <w:rPr>
                <w:rFonts w:ascii="宋体" w:eastAsia="宋体" w:hAnsi="宋体" w:cs="宋体"/>
                <w:b w:val="0"/>
                <w:i w:val="0"/>
                <w:color w:val="000000"/>
                <w:sz w:val="20"/>
              </w:rPr>
              <w:t xml:space="preserve">6.25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6.25</w:t>
            </w:r>
          </w:p>
        </w:tc>
        <w:tc>
          <w:tcPr>
            <w:tcW w:w="1980" w:type="dxa"/>
            <w:tcBorders/>
            <w:vAlign w:val="center"/>
          </w:tcPr>
          <w:p>
            <w:pPr>
              <w:jc w:val="right"/>
            </w:pPr>
            <w:r>
              <w:rPr>
                <w:rFonts w:ascii="宋体" w:eastAsia="宋体" w:hAnsi="宋体" w:cs="宋体"/>
                <w:b w:val="0"/>
                <w:i w:val="0"/>
                <w:color w:val="000000"/>
                <w:sz w:val="20"/>
              </w:rPr>
              <w:t xml:space="preserve">6.25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73.84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33.98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20.43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8.14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3.37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6.25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1.73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1.73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75.57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部门：辽宁省盘锦市大洼三角洲开发区管理委员会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019001盘锦市大洼区三角洲开发区管理委员会本级-211104000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58.879716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11.577831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根据本年绩效目标，认真执行本年绩效工作。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实现全面小康社会</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受益对象满意度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建立完善防汛抗旱工作机制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86.7</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进一步规范预算执行、提高管理效率，降低运行成本，扩大社会效应，提高可持续性，加强履职效能。</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无意见合格审核通过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无意见合格审核通过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