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辽宁省盘锦市大洼区智慧城市运行管理中心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辽宁省盘锦市大洼区智慧城市运行管理中心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辽宁省盘锦市大洼区智慧城市运行管理中心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辽宁省盘锦市大洼区智慧城市运行管理中心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辽宁省盘锦市大洼区智慧城市运行管理中心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辽宁省盘锦市大洼区智慧城市运行管理中心概况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为建设“数字大洼”提供数据支撑和运行保障；负责规范全区智慧城市建设标准和考核体系，为拟定和实施全区智慧城市建设的总体规划和政策措施提供相关服务；为全区智慧化信息系统及物联网项目的规划和审核提供服务保障；协助区直部门建设“智慧+”提供技术规范、技术支持和平台运维工作；负责全区智慧城市运行管理平台等政务信息化平台的建设与运维工作。</w:t>
        <w:br/>
        <w:t xml:space="preserve">    （二）负责全区政务数据中心标准化建设，规范各类数据接口标准；负责与上级数据交换共享平台进行数据对接；负责政务数据中心基础设施的建设管理与运维；负责全区各类政务网络、专线整合和全区政务信息资源整合、聚集与交换工作；负责指导和参与各部门开展大数据分析和研判、全区信息化安全保障等工作；统筹协调全区各级数据信息系统的技术支撑与服务。</w:t>
        <w:br/>
        <w:t xml:space="preserve">    （三）负责组织全区网格化管理体系建设，研究制定全区网格管理行业标准、工作规范及流程，监督指导各镇街、经济区、职能部门开展网格管理工作，组织建立全区网格管理信息系统；负责协调在网格化管理中发现的社会治理、综合管理等方面问题的分拣派单、协调联动、反馈、督查督办和回访等工作。</w:t>
        <w:br/>
        <w:t xml:space="preserve">    （四）负责全区电子政务平台及网络的建设、开发、运维等工作，为“数字政府”建设提供技术支撑。</w:t>
        <w:br/>
        <w:t xml:space="preserve">    （五）负责实施全区新型智慧城市建设人才培训，组织开展对全区智慧城市建设、大数据应用、网格管理工作的指导、培训和监督考核。</w:t>
        <w:br/>
        <w:t xml:space="preserve">    （六）完成区委、区政府交办的其他工作。</w:t>
        <w:br/>
        <w:t xml:space="preserve">    负责研究制定全区智慧城市建设的整体规划和政策措施；负责统筹监督指导全区信息化保障体系建设；负责组织协调全区数据信息资源整合、聚集与交换；负责组织建立全区网格管理信息系统；负责开展对全区智慧城市建设、大数据应用、网格管理工作的指导、培训和监督考核。</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辽宁省盘锦市大洼区智慧城市运行管理中心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盘锦市大洼区智慧城市运行管理中心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472.39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472.39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472.39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减少341.02万元，降低41.92%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472.39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332.70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70.43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工资福利支出328.20万元；商品和服务支出3.97万元；对个人和家庭的补助0.53万元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139.69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29.57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主要包括“盘锦市大洼区电子政务外网”、“大洼区智慧城市运行管理中心劳务服务”、“盘锦市大洼区智慧城市平台专网服务项目”等业务支出。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减少341.02万元，降低41.92%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472.39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332.70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139.69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减少341.02万元，降低41.92%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66.70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109.42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34.56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2023年度一般公共预算财政拨款支出472.39万元。按支出功能分类科目分，包括：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1.一般公共服务支出368.14万元，具体包括：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228.45万元,主要是基本工资、津贴补贴、绩效工资、办公费、公务用车运行维护费等支出，完成年初预算的75.13%，决算数与年初预算数存在差异的主要原因是人员变动，办公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139.69万元,主要是“盘锦市大洼区电子政务外网”、“大洼区智慧城市运行管理中心劳务服务”、“盘锦市大洼区智慧城市平台专网服务项目”等支出，完成年初预算的34.56%，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（3）一般公共服务支出（类）党委办公厅（室）及相关机构事务（款）事业运行（项）0.00万元,主要是无等支出，完成年初预算的0%，决算数与年初预算数存在差异的主要原因是无差异。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2.社会保障和就业支出65.28万元，具体包括：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（1）社会保障和就业支出（类）行政事业单位养老支出（款）事业单位离退休（项）0.24万元,主要是退休人员采暖费等支出，完成年初预算的100%，决算数与年初预算数存在差异的主要原因是无差异。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33.66万元,主要是养老保险单位缴费等支出，完成年初预算的101.9%，决算数与年初预算数存在差异的主要原因是养老保险基数调整和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30.98万元,主要是职业年金单位缴费等支出，完成年初预算的300%，决算数与年初预算数存在差异的主要原因是追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0.40万元,主要是工伤保险缴费等支出，完成年初预算的95%，决算数与年初预算数存在差异的主要原因是工伤保险基数调整和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3.卫生健康支出13.86万元，具体包括：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（1）卫生健康支出（类）行政事业单位医疗（款）事业单位医疗（项）13.69万元,主要是医疗保险单位缴费等支出，完成年初预算的95%，决算数与年初预算数存在差异的主要原因是医疗保险基数调整和人员变动。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（2）卫生健康支出（类）行政事业单位医疗（款）其他行政事业单位医疗支出（项）0.17万元,主要是大额医疗保险单位缴费等支出，完成年初预算的94%，决算数与年初预算数存在差异的主要原因是人员变动。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（1）住房保障支出（类）住房改革支出（款）住房公积金（项）25.13万元,主要是住房公积金单位缴费等支出，完成年初预算的101.45%，决算数与年初预算数存在差异的主要原因是公积金基础调整和人员变动。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办公事项减少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没有相关费用支出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没有相关费用支出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没有相关费用支出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没有相关费用支出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比上年减少0.16万元，降低18.18%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主要用于公车保险、加油、维护费等，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332.70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328.73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3.97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没有相关费用支出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盘锦市大洼区智慧城市运行管理中心2023年部门整体绩效目标708.26万元，其中基本支出304.06万元，项目支出404.2万元。2023年应编制部门预算项目（政策）绩效目标的项目共0个，实际编制0个，涉及资金0万元。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br/>
        <w:t xml:space="preserve">23.住房公积金：反映行政事业单位按人力资源和社会保障部、财政部规定的基本工资和津贴补贴以及规定比例为职工缴纳的住房公积金。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472.39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368.14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65.27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13.86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472.39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472.39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472.39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472.39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472.39</w:t>
            </w:r>
          </w:p>
        </w:tc>
        <w:tc>
          <w:tcPr>
            <w:tcW w:w="1160" w:type="dxa"/>
            <w:tcBorders/>
            <w:vAlign w:val="center"/>
          </w:tcPr>
          <w:p>
            <w:pPr>
              <w:jc w:val="right"/>
            </w:pPr>
            <w:r>
              <w:rPr>
                <w:rFonts w:ascii="宋体" w:eastAsia="宋体" w:hAnsi="宋体" w:cs="宋体"/>
                <w:b/>
                <w:i w:val="0"/>
                <w:color w:val="000000"/>
                <w:sz w:val="14"/>
              </w:rPr>
              <w:t xml:space="preserve">472.39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368.14</w:t>
            </w:r>
          </w:p>
        </w:tc>
        <w:tc>
          <w:tcPr>
            <w:tcW w:w="1160" w:type="dxa"/>
            <w:tcBorders/>
            <w:vAlign w:val="center"/>
          </w:tcPr>
          <w:p>
            <w:pPr>
              <w:jc w:val="right"/>
            </w:pPr>
            <w:r>
              <w:rPr>
                <w:rFonts w:ascii="宋体" w:eastAsia="宋体" w:hAnsi="宋体" w:cs="宋体"/>
                <w:b w:val="0"/>
                <w:i w:val="0"/>
                <w:color w:val="000000"/>
                <w:sz w:val="14"/>
              </w:rPr>
              <w:t xml:space="preserve">368.14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368.14</w:t>
            </w:r>
          </w:p>
        </w:tc>
        <w:tc>
          <w:tcPr>
            <w:tcW w:w="1160" w:type="dxa"/>
            <w:tcBorders/>
            <w:vAlign w:val="center"/>
          </w:tcPr>
          <w:p>
            <w:pPr>
              <w:jc w:val="right"/>
            </w:pPr>
            <w:r>
              <w:rPr>
                <w:rFonts w:ascii="宋体" w:eastAsia="宋体" w:hAnsi="宋体" w:cs="宋体"/>
                <w:b w:val="0"/>
                <w:i w:val="0"/>
                <w:color w:val="000000"/>
                <w:sz w:val="14"/>
              </w:rPr>
              <w:t xml:space="preserve">368.14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228.45</w:t>
            </w:r>
          </w:p>
        </w:tc>
        <w:tc>
          <w:tcPr>
            <w:tcW w:w="1160" w:type="dxa"/>
            <w:tcBorders/>
            <w:vAlign w:val="center"/>
          </w:tcPr>
          <w:p>
            <w:pPr>
              <w:jc w:val="right"/>
            </w:pPr>
            <w:r>
              <w:rPr>
                <w:rFonts w:ascii="宋体" w:eastAsia="宋体" w:hAnsi="宋体" w:cs="宋体"/>
                <w:b w:val="0"/>
                <w:i w:val="0"/>
                <w:color w:val="000000"/>
                <w:sz w:val="14"/>
              </w:rPr>
              <w:t xml:space="preserve">228.45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139.69</w:t>
            </w:r>
          </w:p>
        </w:tc>
        <w:tc>
          <w:tcPr>
            <w:tcW w:w="1160" w:type="dxa"/>
            <w:tcBorders/>
            <w:vAlign w:val="center"/>
          </w:tcPr>
          <w:p>
            <w:pPr>
              <w:jc w:val="right"/>
            </w:pPr>
            <w:r>
              <w:rPr>
                <w:rFonts w:ascii="宋体" w:eastAsia="宋体" w:hAnsi="宋体" w:cs="宋体"/>
                <w:b w:val="0"/>
                <w:i w:val="0"/>
                <w:color w:val="000000"/>
                <w:sz w:val="14"/>
              </w:rPr>
              <w:t xml:space="preserve">139.69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65.28</w:t>
            </w:r>
          </w:p>
        </w:tc>
        <w:tc>
          <w:tcPr>
            <w:tcW w:w="1160" w:type="dxa"/>
            <w:tcBorders/>
            <w:vAlign w:val="center"/>
          </w:tcPr>
          <w:p>
            <w:pPr>
              <w:jc w:val="right"/>
            </w:pPr>
            <w:r>
              <w:rPr>
                <w:rFonts w:ascii="宋体" w:eastAsia="宋体" w:hAnsi="宋体" w:cs="宋体"/>
                <w:b w:val="0"/>
                <w:i w:val="0"/>
                <w:color w:val="000000"/>
                <w:sz w:val="14"/>
              </w:rPr>
              <w:t xml:space="preserve">65.28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64.88</w:t>
            </w:r>
          </w:p>
        </w:tc>
        <w:tc>
          <w:tcPr>
            <w:tcW w:w="1160" w:type="dxa"/>
            <w:tcBorders/>
            <w:vAlign w:val="center"/>
          </w:tcPr>
          <w:p>
            <w:pPr>
              <w:jc w:val="right"/>
            </w:pPr>
            <w:r>
              <w:rPr>
                <w:rFonts w:ascii="宋体" w:eastAsia="宋体" w:hAnsi="宋体" w:cs="宋体"/>
                <w:b w:val="0"/>
                <w:i w:val="0"/>
                <w:color w:val="000000"/>
                <w:sz w:val="14"/>
              </w:rPr>
              <w:t xml:space="preserve">64.88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33.66</w:t>
            </w:r>
          </w:p>
        </w:tc>
        <w:tc>
          <w:tcPr>
            <w:tcW w:w="1160" w:type="dxa"/>
            <w:tcBorders/>
            <w:vAlign w:val="center"/>
          </w:tcPr>
          <w:p>
            <w:pPr>
              <w:jc w:val="right"/>
            </w:pPr>
            <w:r>
              <w:rPr>
                <w:rFonts w:ascii="宋体" w:eastAsia="宋体" w:hAnsi="宋体" w:cs="宋体"/>
                <w:b w:val="0"/>
                <w:i w:val="0"/>
                <w:color w:val="000000"/>
                <w:sz w:val="14"/>
              </w:rPr>
              <w:t xml:space="preserve">33.66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30.98</w:t>
            </w:r>
          </w:p>
        </w:tc>
        <w:tc>
          <w:tcPr>
            <w:tcW w:w="1160" w:type="dxa"/>
            <w:tcBorders/>
            <w:vAlign w:val="center"/>
          </w:tcPr>
          <w:p>
            <w:pPr>
              <w:jc w:val="right"/>
            </w:pPr>
            <w:r>
              <w:rPr>
                <w:rFonts w:ascii="宋体" w:eastAsia="宋体" w:hAnsi="宋体" w:cs="宋体"/>
                <w:b w:val="0"/>
                <w:i w:val="0"/>
                <w:color w:val="000000"/>
                <w:sz w:val="14"/>
              </w:rPr>
              <w:t xml:space="preserve">30.98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jc w:val="right"/>
            </w:pPr>
            <w:r>
              <w:rPr>
                <w:rFonts w:ascii="宋体" w:eastAsia="宋体" w:hAnsi="宋体" w:cs="宋体"/>
                <w:b w:val="0"/>
                <w:i w:val="0"/>
                <w:color w:val="000000"/>
                <w:sz w:val="14"/>
              </w:rPr>
              <w:t xml:space="preserve">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472.39</w:t>
            </w:r>
          </w:p>
        </w:tc>
        <w:tc>
          <w:tcPr>
            <w:tcW w:w="1120" w:type="dxa"/>
            <w:tcBorders/>
            <w:vAlign w:val="center"/>
          </w:tcPr>
          <w:p>
            <w:pPr>
              <w:jc w:val="right"/>
            </w:pPr>
            <w:r>
              <w:rPr>
                <w:rFonts w:ascii="宋体" w:eastAsia="宋体" w:hAnsi="宋体" w:cs="宋体"/>
                <w:b/>
                <w:i w:val="0"/>
                <w:color w:val="000000"/>
                <w:sz w:val="16"/>
              </w:rPr>
              <w:t xml:space="preserve">332.70</w:t>
            </w:r>
          </w:p>
        </w:tc>
        <w:tc>
          <w:tcPr>
            <w:tcW w:w="1120" w:type="dxa"/>
            <w:tcBorders/>
            <w:vAlign w:val="center"/>
          </w:tcPr>
          <w:p>
            <w:pPr>
              <w:jc w:val="right"/>
            </w:pPr>
            <w:r>
              <w:rPr>
                <w:rFonts w:ascii="宋体" w:eastAsia="宋体" w:hAnsi="宋体" w:cs="宋体"/>
                <w:b/>
                <w:i w:val="0"/>
                <w:color w:val="000000"/>
                <w:sz w:val="16"/>
              </w:rPr>
              <w:t xml:space="preserve">139.69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368.14</w:t>
            </w:r>
          </w:p>
        </w:tc>
        <w:tc>
          <w:tcPr>
            <w:tcW w:w="1120" w:type="dxa"/>
            <w:tcBorders/>
            <w:vAlign w:val="center"/>
          </w:tcPr>
          <w:p>
            <w:pPr>
              <w:jc w:val="right"/>
            </w:pPr>
            <w:r>
              <w:rPr>
                <w:rFonts w:ascii="宋体" w:eastAsia="宋体" w:hAnsi="宋体" w:cs="宋体"/>
                <w:b w:val="0"/>
                <w:i w:val="0"/>
                <w:color w:val="000000"/>
                <w:sz w:val="16"/>
              </w:rPr>
              <w:t xml:space="preserve">228.45</w:t>
            </w:r>
          </w:p>
        </w:tc>
        <w:tc>
          <w:tcPr>
            <w:tcW w:w="1120" w:type="dxa"/>
            <w:tcBorders/>
            <w:vAlign w:val="center"/>
          </w:tcPr>
          <w:p>
            <w:pPr>
              <w:jc w:val="right"/>
            </w:pPr>
            <w:r>
              <w:rPr>
                <w:rFonts w:ascii="宋体" w:eastAsia="宋体" w:hAnsi="宋体" w:cs="宋体"/>
                <w:b w:val="0"/>
                <w:i w:val="0"/>
                <w:color w:val="000000"/>
                <w:sz w:val="16"/>
              </w:rPr>
              <w:t xml:space="preserve">139.69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368.14</w:t>
            </w:r>
          </w:p>
        </w:tc>
        <w:tc>
          <w:tcPr>
            <w:tcW w:w="1120" w:type="dxa"/>
            <w:tcBorders/>
            <w:vAlign w:val="center"/>
          </w:tcPr>
          <w:p>
            <w:pPr>
              <w:jc w:val="right"/>
            </w:pPr>
            <w:r>
              <w:rPr>
                <w:rFonts w:ascii="宋体" w:eastAsia="宋体" w:hAnsi="宋体" w:cs="宋体"/>
                <w:b w:val="0"/>
                <w:i w:val="0"/>
                <w:color w:val="000000"/>
                <w:sz w:val="16"/>
              </w:rPr>
              <w:t xml:space="preserve">228.45</w:t>
            </w:r>
          </w:p>
        </w:tc>
        <w:tc>
          <w:tcPr>
            <w:tcW w:w="1120" w:type="dxa"/>
            <w:tcBorders/>
            <w:vAlign w:val="center"/>
          </w:tcPr>
          <w:p>
            <w:pPr>
              <w:jc w:val="right"/>
            </w:pPr>
            <w:r>
              <w:rPr>
                <w:rFonts w:ascii="宋体" w:eastAsia="宋体" w:hAnsi="宋体" w:cs="宋体"/>
                <w:b w:val="0"/>
                <w:i w:val="0"/>
                <w:color w:val="000000"/>
                <w:sz w:val="16"/>
              </w:rPr>
              <w:t xml:space="preserve">139.69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228.45</w:t>
            </w:r>
          </w:p>
        </w:tc>
        <w:tc>
          <w:tcPr>
            <w:tcW w:w="1120" w:type="dxa"/>
            <w:tcBorders/>
            <w:vAlign w:val="center"/>
          </w:tcPr>
          <w:p>
            <w:pPr>
              <w:jc w:val="right"/>
            </w:pPr>
            <w:r>
              <w:rPr>
                <w:rFonts w:ascii="宋体" w:eastAsia="宋体" w:hAnsi="宋体" w:cs="宋体"/>
                <w:b w:val="0"/>
                <w:i w:val="0"/>
                <w:color w:val="000000"/>
                <w:sz w:val="16"/>
              </w:rPr>
              <w:t xml:space="preserve">228.45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139.69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65.28</w:t>
            </w:r>
          </w:p>
        </w:tc>
        <w:tc>
          <w:tcPr>
            <w:tcW w:w="1120" w:type="dxa"/>
            <w:tcBorders/>
            <w:vAlign w:val="center"/>
          </w:tcPr>
          <w:p>
            <w:pPr>
              <w:jc w:val="right"/>
            </w:pPr>
            <w:r>
              <w:rPr>
                <w:rFonts w:ascii="宋体" w:eastAsia="宋体" w:hAnsi="宋体" w:cs="宋体"/>
                <w:b w:val="0"/>
                <w:i w:val="0"/>
                <w:color w:val="000000"/>
                <w:sz w:val="16"/>
              </w:rPr>
              <w:t xml:space="preserve">65.28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64.88</w:t>
            </w:r>
          </w:p>
        </w:tc>
        <w:tc>
          <w:tcPr>
            <w:tcW w:w="1120" w:type="dxa"/>
            <w:tcBorders/>
            <w:vAlign w:val="center"/>
          </w:tcPr>
          <w:p>
            <w:pPr>
              <w:jc w:val="right"/>
            </w:pPr>
            <w:r>
              <w:rPr>
                <w:rFonts w:ascii="宋体" w:eastAsia="宋体" w:hAnsi="宋体" w:cs="宋体"/>
                <w:b w:val="0"/>
                <w:i w:val="0"/>
                <w:color w:val="000000"/>
                <w:sz w:val="16"/>
              </w:rPr>
              <w:t xml:space="preserve">64.88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33.66</w:t>
            </w:r>
          </w:p>
        </w:tc>
        <w:tc>
          <w:tcPr>
            <w:tcW w:w="1120" w:type="dxa"/>
            <w:tcBorders/>
            <w:vAlign w:val="center"/>
          </w:tcPr>
          <w:p>
            <w:pPr>
              <w:jc w:val="right"/>
            </w:pPr>
            <w:r>
              <w:rPr>
                <w:rFonts w:ascii="宋体" w:eastAsia="宋体" w:hAnsi="宋体" w:cs="宋体"/>
                <w:b w:val="0"/>
                <w:i w:val="0"/>
                <w:color w:val="000000"/>
                <w:sz w:val="16"/>
              </w:rPr>
              <w:t xml:space="preserve">33.66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30.98</w:t>
            </w:r>
          </w:p>
        </w:tc>
        <w:tc>
          <w:tcPr>
            <w:tcW w:w="1120" w:type="dxa"/>
            <w:tcBorders/>
            <w:vAlign w:val="center"/>
          </w:tcPr>
          <w:p>
            <w:pPr>
              <w:jc w:val="right"/>
            </w:pPr>
            <w:r>
              <w:rPr>
                <w:rFonts w:ascii="宋体" w:eastAsia="宋体" w:hAnsi="宋体" w:cs="宋体"/>
                <w:b w:val="0"/>
                <w:i w:val="0"/>
                <w:color w:val="000000"/>
                <w:sz w:val="16"/>
              </w:rPr>
              <w:t xml:space="preserve">30.98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368.14</w:t>
            </w:r>
          </w:p>
        </w:tc>
        <w:tc>
          <w:tcPr>
            <w:tcW w:w="1100" w:type="dxa"/>
            <w:tcBorders/>
            <w:vAlign w:val="center"/>
          </w:tcPr>
          <w:p>
            <w:pPr>
              <w:jc w:val="right"/>
            </w:pPr>
            <w:r>
              <w:rPr>
                <w:rFonts w:ascii="宋体" w:eastAsia="宋体" w:hAnsi="宋体" w:cs="宋体"/>
                <w:b w:val="0"/>
                <w:i w:val="0"/>
                <w:color w:val="000000"/>
                <w:sz w:val="14"/>
              </w:rPr>
              <w:t xml:space="preserve">368.14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65.27</w:t>
            </w:r>
          </w:p>
        </w:tc>
        <w:tc>
          <w:tcPr>
            <w:tcW w:w="1100" w:type="dxa"/>
            <w:tcBorders/>
            <w:vAlign w:val="center"/>
          </w:tcPr>
          <w:p>
            <w:pPr>
              <w:jc w:val="right"/>
            </w:pPr>
            <w:r>
              <w:rPr>
                <w:rFonts w:ascii="宋体" w:eastAsia="宋体" w:hAnsi="宋体" w:cs="宋体"/>
                <w:b w:val="0"/>
                <w:i w:val="0"/>
                <w:color w:val="000000"/>
                <w:sz w:val="14"/>
              </w:rPr>
              <w:t xml:space="preserve">65.27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13.86</w:t>
            </w:r>
          </w:p>
        </w:tc>
        <w:tc>
          <w:tcPr>
            <w:tcW w:w="1100" w:type="dxa"/>
            <w:tcBorders/>
            <w:vAlign w:val="center"/>
          </w:tcPr>
          <w:p>
            <w:pPr>
              <w:jc w:val="right"/>
            </w:pPr>
            <w:r>
              <w:rPr>
                <w:rFonts w:ascii="宋体" w:eastAsia="宋体" w:hAnsi="宋体" w:cs="宋体"/>
                <w:b w:val="0"/>
                <w:i w:val="0"/>
                <w:color w:val="000000"/>
                <w:sz w:val="14"/>
              </w:rPr>
              <w:t xml:space="preserve">13.86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25.13</w:t>
            </w:r>
          </w:p>
        </w:tc>
        <w:tc>
          <w:tcPr>
            <w:tcW w:w="1100" w:type="dxa"/>
            <w:tcBorders/>
            <w:vAlign w:val="center"/>
          </w:tcPr>
          <w:p>
            <w:pPr>
              <w:jc w:val="right"/>
            </w:pPr>
            <w:r>
              <w:rPr>
                <w:rFonts w:ascii="宋体" w:eastAsia="宋体" w:hAnsi="宋体" w:cs="宋体"/>
                <w:b w:val="0"/>
                <w:i w:val="0"/>
                <w:color w:val="000000"/>
                <w:sz w:val="14"/>
              </w:rPr>
              <w:t xml:space="preserve">25.13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1100" w:type="dxa"/>
            <w:tcBorders/>
            <w:vAlign w:val="center"/>
          </w:tcPr>
          <w:p>
            <w:pPr>
              <w:jc w:val="right"/>
            </w:pPr>
            <w:r>
              <w:rPr>
                <w:rFonts w:ascii="宋体" w:eastAsia="宋体" w:hAnsi="宋体" w:cs="宋体"/>
                <w:b w:val="0"/>
                <w:i w:val="0"/>
                <w:color w:val="000000"/>
                <w:sz w:val="14"/>
              </w:rPr>
              <w:t xml:space="preserve">472.39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472.39</w:t>
            </w:r>
          </w:p>
        </w:tc>
        <w:tc>
          <w:tcPr>
            <w:tcW w:w="1980" w:type="dxa"/>
            <w:tcBorders/>
            <w:vAlign w:val="center"/>
          </w:tcPr>
          <w:p>
            <w:pPr>
              <w:jc w:val="right"/>
            </w:pPr>
            <w:r>
              <w:rPr>
                <w:rFonts w:ascii="宋体" w:eastAsia="宋体" w:hAnsi="宋体" w:cs="宋体"/>
                <w:b/>
                <w:i w:val="0"/>
                <w:color w:val="000000"/>
                <w:sz w:val="20"/>
              </w:rPr>
              <w:t xml:space="preserve">332.70</w:t>
            </w:r>
          </w:p>
        </w:tc>
        <w:tc>
          <w:tcPr>
            <w:tcW w:w="1952" w:type="dxa"/>
            <w:tcBorders/>
            <w:vAlign w:val="center"/>
          </w:tcPr>
          <w:p>
            <w:pPr>
              <w:jc w:val="right"/>
            </w:pPr>
            <w:r>
              <w:rPr>
                <w:rFonts w:ascii="宋体" w:eastAsia="宋体" w:hAnsi="宋体" w:cs="宋体"/>
                <w:b/>
                <w:i w:val="0"/>
                <w:color w:val="000000"/>
                <w:sz w:val="20"/>
              </w:rPr>
              <w:t xml:space="preserve">139.69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368.14</w:t>
            </w:r>
          </w:p>
        </w:tc>
        <w:tc>
          <w:tcPr>
            <w:tcW w:w="1980" w:type="dxa"/>
            <w:tcBorders/>
            <w:vAlign w:val="center"/>
          </w:tcPr>
          <w:p>
            <w:pPr>
              <w:jc w:val="right"/>
            </w:pPr>
            <w:r>
              <w:rPr>
                <w:rFonts w:ascii="宋体" w:eastAsia="宋体" w:hAnsi="宋体" w:cs="宋体"/>
                <w:b w:val="0"/>
                <w:i w:val="0"/>
                <w:color w:val="000000"/>
                <w:sz w:val="20"/>
              </w:rPr>
              <w:t xml:space="preserve">228.45</w:t>
            </w:r>
          </w:p>
        </w:tc>
        <w:tc>
          <w:tcPr>
            <w:tcW w:w="1952" w:type="dxa"/>
            <w:tcBorders/>
            <w:vAlign w:val="center"/>
          </w:tcPr>
          <w:p>
            <w:pPr>
              <w:jc w:val="right"/>
            </w:pPr>
            <w:r>
              <w:rPr>
                <w:rFonts w:ascii="宋体" w:eastAsia="宋体" w:hAnsi="宋体" w:cs="宋体"/>
                <w:b w:val="0"/>
                <w:i w:val="0"/>
                <w:color w:val="000000"/>
                <w:sz w:val="20"/>
              </w:rPr>
              <w:t xml:space="preserve">139.69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368.14</w:t>
            </w:r>
          </w:p>
        </w:tc>
        <w:tc>
          <w:tcPr>
            <w:tcW w:w="1980" w:type="dxa"/>
            <w:tcBorders/>
            <w:vAlign w:val="center"/>
          </w:tcPr>
          <w:p>
            <w:pPr>
              <w:jc w:val="right"/>
            </w:pPr>
            <w:r>
              <w:rPr>
                <w:rFonts w:ascii="宋体" w:eastAsia="宋体" w:hAnsi="宋体" w:cs="宋体"/>
                <w:b w:val="0"/>
                <w:i w:val="0"/>
                <w:color w:val="000000"/>
                <w:sz w:val="20"/>
              </w:rPr>
              <w:t xml:space="preserve">228.45</w:t>
            </w:r>
          </w:p>
        </w:tc>
        <w:tc>
          <w:tcPr>
            <w:tcW w:w="1952" w:type="dxa"/>
            <w:tcBorders/>
            <w:vAlign w:val="center"/>
          </w:tcPr>
          <w:p>
            <w:pPr>
              <w:jc w:val="right"/>
            </w:pPr>
            <w:r>
              <w:rPr>
                <w:rFonts w:ascii="宋体" w:eastAsia="宋体" w:hAnsi="宋体" w:cs="宋体"/>
                <w:b w:val="0"/>
                <w:i w:val="0"/>
                <w:color w:val="000000"/>
                <w:sz w:val="20"/>
              </w:rPr>
              <w:t xml:space="preserve">139.69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228.45</w:t>
            </w:r>
          </w:p>
        </w:tc>
        <w:tc>
          <w:tcPr>
            <w:tcW w:w="1980" w:type="dxa"/>
            <w:tcBorders/>
            <w:vAlign w:val="center"/>
          </w:tcPr>
          <w:p>
            <w:pPr>
              <w:jc w:val="right"/>
            </w:pPr>
            <w:r>
              <w:rPr>
                <w:rFonts w:ascii="宋体" w:eastAsia="宋体" w:hAnsi="宋体" w:cs="宋体"/>
                <w:b w:val="0"/>
                <w:i w:val="0"/>
                <w:color w:val="000000"/>
                <w:sz w:val="20"/>
              </w:rPr>
              <w:t xml:space="preserve">228.45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139.69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65.28</w:t>
            </w:r>
          </w:p>
        </w:tc>
        <w:tc>
          <w:tcPr>
            <w:tcW w:w="1980" w:type="dxa"/>
            <w:tcBorders/>
            <w:vAlign w:val="center"/>
          </w:tcPr>
          <w:p>
            <w:pPr>
              <w:jc w:val="right"/>
            </w:pPr>
            <w:r>
              <w:rPr>
                <w:rFonts w:ascii="宋体" w:eastAsia="宋体" w:hAnsi="宋体" w:cs="宋体"/>
                <w:b w:val="0"/>
                <w:i w:val="0"/>
                <w:color w:val="000000"/>
                <w:sz w:val="20"/>
              </w:rPr>
              <w:t xml:space="preserve">65.28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64.88</w:t>
            </w:r>
          </w:p>
        </w:tc>
        <w:tc>
          <w:tcPr>
            <w:tcW w:w="1980" w:type="dxa"/>
            <w:tcBorders/>
            <w:vAlign w:val="center"/>
          </w:tcPr>
          <w:p>
            <w:pPr>
              <w:jc w:val="right"/>
            </w:pPr>
            <w:r>
              <w:rPr>
                <w:rFonts w:ascii="宋体" w:eastAsia="宋体" w:hAnsi="宋体" w:cs="宋体"/>
                <w:b w:val="0"/>
                <w:i w:val="0"/>
                <w:color w:val="000000"/>
                <w:sz w:val="20"/>
              </w:rPr>
              <w:t xml:space="preserve">64.88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33.66</w:t>
            </w:r>
          </w:p>
        </w:tc>
        <w:tc>
          <w:tcPr>
            <w:tcW w:w="1980" w:type="dxa"/>
            <w:tcBorders/>
            <w:vAlign w:val="center"/>
          </w:tcPr>
          <w:p>
            <w:pPr>
              <w:jc w:val="right"/>
            </w:pPr>
            <w:r>
              <w:rPr>
                <w:rFonts w:ascii="宋体" w:eastAsia="宋体" w:hAnsi="宋体" w:cs="宋体"/>
                <w:b w:val="0"/>
                <w:i w:val="0"/>
                <w:color w:val="000000"/>
                <w:sz w:val="20"/>
              </w:rPr>
              <w:t xml:space="preserve">33.66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30.98</w:t>
            </w:r>
          </w:p>
        </w:tc>
        <w:tc>
          <w:tcPr>
            <w:tcW w:w="1980" w:type="dxa"/>
            <w:tcBorders/>
            <w:vAlign w:val="center"/>
          </w:tcPr>
          <w:p>
            <w:pPr>
              <w:jc w:val="right"/>
            </w:pPr>
            <w:r>
              <w:rPr>
                <w:rFonts w:ascii="宋体" w:eastAsia="宋体" w:hAnsi="宋体" w:cs="宋体"/>
                <w:b w:val="0"/>
                <w:i w:val="0"/>
                <w:color w:val="000000"/>
                <w:sz w:val="20"/>
              </w:rPr>
              <w:t xml:space="preserve">30.98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328.20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120.12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3.25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74.16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29.91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33.66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30.98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328.73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3.97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030001盘锦市大洼区智慧城市运行管理中心本级-211104000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279.33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8.34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保质保量完成智慧城市2023年工作任务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企业、群众满意度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公众对整体就业服务满意度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服务体制改革</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采购大洼区消防队视频会议室音视频设备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大洼区消防队视频会议室主要用于与上级消防部门视频会议、联系沟通。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政府采购执行率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项目实际完成率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完工项目验收合格率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项目实施及时率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设备购置成本</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&lt;=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3.8414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万元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经济效益指标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设备利用率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设备设施投入使用率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节能降耗情况</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项目单位满意度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受惠群众满意度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大洼区电子政务外网项目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130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708"/>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网络服务费（含固话费）144万元/年，由区财政承担。该服务费标准约为市直同等级带宽服务费标准的4.5折，低于其他县区的服务费用，与目前全区网络服务及固话费238万元/年相比，每年可节省财政支出45.4万元（由于业务需要，区公安和网格等部门需保留移动公司网络服务费37.6万元/年、电信公司网络服务费11万元/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系统软件运维数量</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个</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智能运维管理平台数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个</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保证网络系统正常运行天数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天</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保障正常网络运行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网络外包合同规范性</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是</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信息网络正常运行率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保证网络系统正常运行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天</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互联网宽带租赁成本</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经济效益指标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保证项目运行政策、制度资金持续性</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是</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提升基本公共服务水平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是</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节能减排和低碳环保水平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是</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发展智慧化建设服务</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是</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其他行政事业单位编外人员经费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46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保证网络系统正常运行天数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天</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达到网络安全法要求天数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天</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平台专网服务项目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保障了单位平台的正常运转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保证网络系统正常运行天数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故障响应及时率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企业视频监控网络传输服务项目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33.7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重大活动通信保障任务完成率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应急通信保障任务完成率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危化品企业监控视频服务项目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64.5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维护工作量完成率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在线考勤项目软硬件平台资金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按照在线考勤工作的总体要求，需将区税务局和区气象局纳入在线考勤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政府采购执行率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项目实际完成率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完工项目验收合格率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项目实施及时率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设备购置成本</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&lt;=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0.609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万元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经济效益指标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设备利用率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设备设施投入使用率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提升党建工作水平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资源化再利用</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显著提高</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显著提高</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长效管理机制健全性</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长效性</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项目单位满意度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政府及部门满意度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受惠群众满意度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智慧城市运管中心智慧大厅音响设备维修更换</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维修更换区智慧城市运行管理中心大厅音响设备，包括音箱2台、功放机1台、时序器1台及所需线材、配件。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政府采购执行率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项目实际完成率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故障响应及时率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完工项目验收合格率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项目实施及时率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设备购置成本</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&lt;=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2.646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万元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经济效益指标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设备利用率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设备设施投入使用率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资源化再利用</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显著提高</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显著提高</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长效管理机制健全性</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显著提高</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项目单位满意度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地方政府及部门满意度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2024年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大洼区视频综合平台扩充视频点位费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盘锦市大洼区智慧城市运行管理中心本级-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整合全区视频监控至区网格管理中心，整合各类视频近3000个。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治安监控视频覆盖率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新建、维护视频监控系统</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个</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视频会议正常率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基础设施配套和公共服务设施项目及时率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单项成本控制</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&lt;=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万元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经济效益指标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设备利用率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办公楼网络覆盖率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生态环境影响控制率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保证网络系统正常运行天数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天</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人民群众满意度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社会公众满意度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