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辽宁省盘锦市大洼区政务服务中心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辽宁省盘锦市大洼区政务服务中心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辽宁省盘锦市大洼区政务服务中心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辽宁省盘锦市大洼区政务服务中心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辽宁省盘锦市大洼区政务服务中心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辽宁省盘锦市大洼区政务服务中心概况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（一）基本情况。</w:t>
        <w:br/>
        <w:t xml:space="preserve">　　　　1．主要职能。</w:t>
        <w:br/>
        <w:t xml:space="preserve">(一)负责政务服务大厅日常运营的服务和管理。</w:t>
        <w:br/>
        <w:t xml:space="preserve">(二)负责政务服务大厅各窗口履行公务行为的协调、管理和服务工作。</w:t>
        <w:br/>
        <w:t xml:space="preserve">(三)负责政务服务大厅各窗口及窗口工作人员的管理和考核；监督检查各窗口执行各项管理制度情况；对各窗口工作投诉举报的核查等工作。</w:t>
        <w:br/>
        <w:t xml:space="preserve">（四）负责行政审批（服务）监管平台的软件的日常维护、运行和管理；指导、监督各镇街和村社区的行政审批、便民服务、审批平台的运行。</w:t>
        <w:br/>
        <w:t xml:space="preserve">（五）负责政务服务大厅集中的行政审批事项涉及中介机构的管理、指导、协调和服务。</w:t>
        <w:br/>
        <w:t xml:space="preserve">（六）负责组织、协调、督办多个部门办理事项的会审工作。</w:t>
        <w:br/>
        <w:t xml:space="preserve">（七）负责全区投资建设项目的预约评审、联合踏勘、全程代办服务的组织和协调。</w:t>
        <w:br/>
        <w:t xml:space="preserve">（八）负责提供行政审批、公共服务的咨询、帮办、代办服务。</w:t>
        <w:br/>
        <w:t xml:space="preserve">（九）承担区营商环境建设局交办的其他工作。</w:t>
        <w:br/>
        <w:t xml:space="preserve">机构设置</w:t>
        <w:br/>
        <w:t xml:space="preserve">    根据工作职责，盘锦市大洼区公共服务中心设4个内设机构：</w:t>
        <w:br/>
        <w:t xml:space="preserve">综合办公室</w:t>
        <w:br/>
        <w:t xml:space="preserve">   负责党群和纪检等工作；负责文电、信息、档案、保密、会务、文字综合等工作；负责财务、人事管理等工作。</w:t>
        <w:br/>
        <w:t xml:space="preserve">审批服务室</w:t>
        <w:br/>
        <w:t xml:space="preserve">   负责对政务服务大厅各窗口履行政务服务的协调、管理和服务；负责窗口人员的日常管理和考核及投诉的初步核查；负责全区审批平台软件的日常维护、运行和管理，指导各镇、街道和村、社区的服务中心的规范运行。</w:t>
        <w:br/>
        <w:t xml:space="preserve">项目服务室</w:t>
        <w:br/>
        <w:t xml:space="preserve">   负责全区投资建设项目预约评审、联合踏勘、全程代办服务；组织、协调、督办多个部门办理事项的会审工作；负责对行政审批事项涉及中介机构的管理、指导、协调和服务；负责服务事项的咨询、帮办、代办服务。</w:t>
        <w:br/>
        <w:t xml:space="preserve">营商环境服务室。</w:t>
        <w:br/>
        <w:t xml:space="preserve">    负责研究拟订全区营商环境建设工作意见、办法、措施和全区营商环境建设年度工作方案，确定全区营商环境建设等相关服务工作。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辽宁省盘锦市大洼区政务服务中心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辽宁省盘锦市大洼区政务服务中心（本级）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226.68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226.68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226.68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增加63.59万元，增长38.99%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本年日常经费和项目支出增加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226.68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210.02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92.65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工资福利支出169.88万元；商品和服务支出38.84万元；对个人和家庭的补助1.29万元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主要包括政务服务邮寄费等业务支出。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增加63.59万元，增长38.99%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本年日常经费和项目支出增加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主要是没有结余等原因形成的结余。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减少0.00万元，降低19.44%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本年度没有结余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226.68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210.02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增加63.59万元，增长38.99%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129.20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129.76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122.54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2023年度一般公共预算财政拨款支出226.68万元。按支出功能分类科目分，包括：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1.一般公共服务支出181.13万元，具体包括：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133.95万元,主要是工资福利支出、商品服务支出等支出，完成年初预算的109.15%，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47.18万元,主要是办公费、劳务费等支出，完成年初预算的346.91%，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（1）社会保障和就业支出（类）行政事业单位养老支出（款）事业单位离退休（项）1.24万元,主要是退休人员取暖费等支出，完成年初预算的100%，决算数与年初预算数存在差异的主要原因是无差异。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21.66万元,主要是机关事业单位养老保险缴费支出等支出，完成年初预算的127.77%，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0.29万元,主要是其他社会保障缴费等支出，完成年初预算的131.8%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（1）卫生健康支出（类）行政事业单位医疗（款）事业单位医疗（项）7.44万元,主要是职工基本医疗保险缴费等支出，完成年初预算的100.26%，决算数与年初预算数存在差异的主要原因是人员增加。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（2）卫生健康支出（类）行政事业单位医疗（款）其他行政事业单位医疗支出（项）0.11万元,主要是大额医疗保险缴费等支出，完成年初预算的100%，决算数与年初预算数存在差异的主要原因是无差异。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（1）住房保障支出（类）住房改革支出（款）住房公积金（项）14.81万元,主要是住房公积金缴存等支出，完成年初预算的112.28%，决算数与年初预算数存在差异的主要原因是人员增加。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比上年增加0.35万元，增长58.33%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较上年公务用车运行费增加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210.01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171.17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38.84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0.35</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0.35</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0.35</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0.35</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盘锦市大洼区公共服务中心2023年部门整体绩效目标175.45万元，其中基本支出161.85万元，项目支出13.6万元。2023年应编制部门预算项目（政策）绩效目标的项目共1个，实际编制1个，涉及资金13.6万元。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br/>
        <w:t xml:space="preserve">　　17.社会保障和就业（类）行政事业单位养老支出（款）行政单位离退休（项）：反映行政单位（包括实行公务员管理的事业单位）开支的离退休经费。</w:t>
        <w:br/>
        <w:t xml:space="preserve">　　18.社会保障和就业（类）行政事业单位养老支出（款）事业单位离退休（项）：反映事业单位开支的离退休经费。</w:t>
        <w:br/>
        <w:t xml:space="preserve">　　19.社会保障和就业（类）行政事业单位养老支出（款）机关事业单位基本养老保险缴费支出（项）：反映机关事业单位实施养老保险制度由单位缴纳的基本养老保险费支出。</w:t>
        <w:br/>
        <w:t xml:space="preserve">　　20.社会保障和就业（类）行政事业单位养老支出（款）机关事业单位职业年金缴费支出（项）：反映机关事业单位实施养老保险制度由单位实际缴纳的职业年金支出。</w:t>
        <w:b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22.卫生健康支出（类）行政事业单位医疗（款）事业单位医疗（项）：反映财政部门安排的事业单位基本医疗保险缴费经费，未参加医疗保险的事业单位的公费医疗经费，按国家规定享受离休人员待遇的医疗经费。</w:t>
        <w:br/>
        <w:t xml:space="preserve">　　　　23.住房保障（类）住房改革（款）住房公积金（项）：反映行政事业单位按人力资源和社会保障部、财政部规定的基本工资和津贴补贴以及规定比例为职工缴纳的住房公积金。</w:t>
        <w:br/>
        <w:t xml:space="preserve">    24.一般公共服务支出（类）政府办公厅(室)及相关机构事务（款）事业运行（项）：反映事业单位的基本支出,不包括行政单位(包括实行公务员管理的事业单位)后勤服务中心、医务室等附属事业单位。</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226.68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181.14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226.68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226.68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226.68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226.68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226.68</w:t>
            </w:r>
          </w:p>
        </w:tc>
        <w:tc>
          <w:tcPr>
            <w:tcW w:w="1160" w:type="dxa"/>
            <w:tcBorders/>
            <w:vAlign w:val="center"/>
          </w:tcPr>
          <w:p>
            <w:pPr>
              <w:jc w:val="right"/>
            </w:pPr>
            <w:r>
              <w:rPr>
                <w:rFonts w:ascii="宋体" w:eastAsia="宋体" w:hAnsi="宋体" w:cs="宋体"/>
                <w:b/>
                <w:i w:val="0"/>
                <w:color w:val="000000"/>
                <w:sz w:val="14"/>
              </w:rPr>
              <w:t xml:space="preserve">226.68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181.13</w:t>
            </w:r>
          </w:p>
        </w:tc>
        <w:tc>
          <w:tcPr>
            <w:tcW w:w="1160" w:type="dxa"/>
            <w:tcBorders/>
            <w:vAlign w:val="center"/>
          </w:tcPr>
          <w:p>
            <w:pPr>
              <w:jc w:val="right"/>
            </w:pPr>
            <w:r>
              <w:rPr>
                <w:rFonts w:ascii="宋体" w:eastAsia="宋体" w:hAnsi="宋体" w:cs="宋体"/>
                <w:b w:val="0"/>
                <w:i w:val="0"/>
                <w:color w:val="000000"/>
                <w:sz w:val="14"/>
              </w:rPr>
              <w:t xml:space="preserve">181.13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181.13</w:t>
            </w:r>
          </w:p>
        </w:tc>
        <w:tc>
          <w:tcPr>
            <w:tcW w:w="1160" w:type="dxa"/>
            <w:tcBorders/>
            <w:vAlign w:val="center"/>
          </w:tcPr>
          <w:p>
            <w:pPr>
              <w:jc w:val="right"/>
            </w:pPr>
            <w:r>
              <w:rPr>
                <w:rFonts w:ascii="宋体" w:eastAsia="宋体" w:hAnsi="宋体" w:cs="宋体"/>
                <w:b w:val="0"/>
                <w:i w:val="0"/>
                <w:color w:val="000000"/>
                <w:sz w:val="14"/>
              </w:rPr>
              <w:t xml:space="preserve">181.13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133.95</w:t>
            </w:r>
          </w:p>
        </w:tc>
        <w:tc>
          <w:tcPr>
            <w:tcW w:w="1160" w:type="dxa"/>
            <w:tcBorders/>
            <w:vAlign w:val="center"/>
          </w:tcPr>
          <w:p>
            <w:pPr>
              <w:jc w:val="right"/>
            </w:pPr>
            <w:r>
              <w:rPr>
                <w:rFonts w:ascii="宋体" w:eastAsia="宋体" w:hAnsi="宋体" w:cs="宋体"/>
                <w:b w:val="0"/>
                <w:i w:val="0"/>
                <w:color w:val="000000"/>
                <w:sz w:val="14"/>
              </w:rPr>
              <w:t xml:space="preserve">133.95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47.18</w:t>
            </w:r>
          </w:p>
        </w:tc>
        <w:tc>
          <w:tcPr>
            <w:tcW w:w="1160" w:type="dxa"/>
            <w:tcBorders/>
            <w:vAlign w:val="center"/>
          </w:tcPr>
          <w:p>
            <w:pPr>
              <w:jc w:val="right"/>
            </w:pPr>
            <w:r>
              <w:rPr>
                <w:rFonts w:ascii="宋体" w:eastAsia="宋体" w:hAnsi="宋体" w:cs="宋体"/>
                <w:b w:val="0"/>
                <w:i w:val="0"/>
                <w:color w:val="000000"/>
                <w:sz w:val="14"/>
              </w:rPr>
              <w:t xml:space="preserve">47.18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23.19</w:t>
            </w:r>
          </w:p>
        </w:tc>
        <w:tc>
          <w:tcPr>
            <w:tcW w:w="1160" w:type="dxa"/>
            <w:tcBorders/>
            <w:vAlign w:val="center"/>
          </w:tcPr>
          <w:p>
            <w:pPr>
              <w:jc w:val="right"/>
            </w:pPr>
            <w:r>
              <w:rPr>
                <w:rFonts w:ascii="宋体" w:eastAsia="宋体" w:hAnsi="宋体" w:cs="宋体"/>
                <w:b w:val="0"/>
                <w:i w:val="0"/>
                <w:color w:val="000000"/>
                <w:sz w:val="14"/>
              </w:rPr>
              <w:t xml:space="preserve">23.19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21.66</w:t>
            </w:r>
          </w:p>
        </w:tc>
        <w:tc>
          <w:tcPr>
            <w:tcW w:w="1160" w:type="dxa"/>
            <w:tcBorders/>
            <w:vAlign w:val="center"/>
          </w:tcPr>
          <w:p>
            <w:pPr>
              <w:jc w:val="right"/>
            </w:pPr>
            <w:r>
              <w:rPr>
                <w:rFonts w:ascii="宋体" w:eastAsia="宋体" w:hAnsi="宋体" w:cs="宋体"/>
                <w:b w:val="0"/>
                <w:i w:val="0"/>
                <w:color w:val="000000"/>
                <w:sz w:val="14"/>
              </w:rPr>
              <w:t xml:space="preserve">21.66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7.55</w:t>
            </w:r>
          </w:p>
        </w:tc>
        <w:tc>
          <w:tcPr>
            <w:tcW w:w="1160" w:type="dxa"/>
            <w:tcBorders/>
            <w:vAlign w:val="center"/>
          </w:tcPr>
          <w:p>
            <w:pPr>
              <w:jc w:val="right"/>
            </w:pPr>
            <w:r>
              <w:rPr>
                <w:rFonts w:ascii="宋体" w:eastAsia="宋体" w:hAnsi="宋体" w:cs="宋体"/>
                <w:b w:val="0"/>
                <w:i w:val="0"/>
                <w:color w:val="000000"/>
                <w:sz w:val="14"/>
              </w:rPr>
              <w:t xml:space="preserve">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7.55</w:t>
            </w:r>
          </w:p>
        </w:tc>
        <w:tc>
          <w:tcPr>
            <w:tcW w:w="1160" w:type="dxa"/>
            <w:tcBorders/>
            <w:vAlign w:val="center"/>
          </w:tcPr>
          <w:p>
            <w:pPr>
              <w:jc w:val="right"/>
            </w:pPr>
            <w:r>
              <w:rPr>
                <w:rFonts w:ascii="宋体" w:eastAsia="宋体" w:hAnsi="宋体" w:cs="宋体"/>
                <w:b w:val="0"/>
                <w:i w:val="0"/>
                <w:color w:val="000000"/>
                <w:sz w:val="14"/>
              </w:rPr>
              <w:t xml:space="preserve">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7.44</w:t>
            </w:r>
          </w:p>
        </w:tc>
        <w:tc>
          <w:tcPr>
            <w:tcW w:w="1160" w:type="dxa"/>
            <w:tcBorders/>
            <w:vAlign w:val="center"/>
          </w:tcPr>
          <w:p>
            <w:pPr>
              <w:jc w:val="right"/>
            </w:pPr>
            <w:r>
              <w:rPr>
                <w:rFonts w:ascii="宋体" w:eastAsia="宋体" w:hAnsi="宋体" w:cs="宋体"/>
                <w:b w:val="0"/>
                <w:i w:val="0"/>
                <w:color w:val="000000"/>
                <w:sz w:val="14"/>
              </w:rPr>
              <w:t xml:space="preserve">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jc w:val="right"/>
            </w:pPr>
            <w:r>
              <w:rPr>
                <w:rFonts w:ascii="宋体" w:eastAsia="宋体" w:hAnsi="宋体" w:cs="宋体"/>
                <w:b w:val="0"/>
                <w:i w:val="0"/>
                <w:color w:val="000000"/>
                <w:sz w:val="14"/>
              </w:rPr>
              <w:t xml:space="preserve">14.81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226.68</w:t>
            </w:r>
          </w:p>
        </w:tc>
        <w:tc>
          <w:tcPr>
            <w:tcW w:w="1120" w:type="dxa"/>
            <w:tcBorders/>
            <w:vAlign w:val="center"/>
          </w:tcPr>
          <w:p>
            <w:pPr>
              <w:jc w:val="right"/>
            </w:pPr>
            <w:r>
              <w:rPr>
                <w:rFonts w:ascii="宋体" w:eastAsia="宋体" w:hAnsi="宋体" w:cs="宋体"/>
                <w:b/>
                <w:i w:val="0"/>
                <w:color w:val="000000"/>
                <w:sz w:val="16"/>
              </w:rPr>
              <w:t xml:space="preserve">210.02</w:t>
            </w:r>
          </w:p>
        </w:tc>
        <w:tc>
          <w:tcPr>
            <w:tcW w:w="1120" w:type="dxa"/>
            <w:tcBorders/>
            <w:vAlign w:val="center"/>
          </w:tcPr>
          <w:p>
            <w:pPr>
              <w:jc w:val="right"/>
            </w:pPr>
            <w:r>
              <w:rPr>
                <w:rFonts w:ascii="宋体" w:eastAsia="宋体" w:hAnsi="宋体" w:cs="宋体"/>
                <w:b/>
                <w:i w:val="0"/>
                <w:color w:val="000000"/>
                <w:sz w:val="16"/>
              </w:rPr>
              <w:t xml:space="preserve">16.67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181.13</w:t>
            </w:r>
          </w:p>
        </w:tc>
        <w:tc>
          <w:tcPr>
            <w:tcW w:w="1120" w:type="dxa"/>
            <w:tcBorders/>
            <w:vAlign w:val="center"/>
          </w:tcPr>
          <w:p>
            <w:pPr>
              <w:jc w:val="right"/>
            </w:pPr>
            <w:r>
              <w:rPr>
                <w:rFonts w:ascii="宋体" w:eastAsia="宋体" w:hAnsi="宋体" w:cs="宋体"/>
                <w:b w:val="0"/>
                <w:i w:val="0"/>
                <w:color w:val="000000"/>
                <w:sz w:val="16"/>
              </w:rPr>
              <w:t xml:space="preserve">164.47</w:t>
            </w:r>
          </w:p>
        </w:tc>
        <w:tc>
          <w:tcPr>
            <w:tcW w:w="1120" w:type="dxa"/>
            <w:tcBorders/>
            <w:vAlign w:val="center"/>
          </w:tcPr>
          <w:p>
            <w:pPr>
              <w:jc w:val="right"/>
            </w:pPr>
            <w:r>
              <w:rPr>
                <w:rFonts w:ascii="宋体" w:eastAsia="宋体" w:hAnsi="宋体" w:cs="宋体"/>
                <w:b w:val="0"/>
                <w:i w:val="0"/>
                <w:color w:val="000000"/>
                <w:sz w:val="16"/>
              </w:rPr>
              <w:t xml:space="preserve">16.67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181.13</w:t>
            </w:r>
          </w:p>
        </w:tc>
        <w:tc>
          <w:tcPr>
            <w:tcW w:w="1120" w:type="dxa"/>
            <w:tcBorders/>
            <w:vAlign w:val="center"/>
          </w:tcPr>
          <w:p>
            <w:pPr>
              <w:jc w:val="right"/>
            </w:pPr>
            <w:r>
              <w:rPr>
                <w:rFonts w:ascii="宋体" w:eastAsia="宋体" w:hAnsi="宋体" w:cs="宋体"/>
                <w:b w:val="0"/>
                <w:i w:val="0"/>
                <w:color w:val="000000"/>
                <w:sz w:val="16"/>
              </w:rPr>
              <w:t xml:space="preserve">164.47</w:t>
            </w:r>
          </w:p>
        </w:tc>
        <w:tc>
          <w:tcPr>
            <w:tcW w:w="1120" w:type="dxa"/>
            <w:tcBorders/>
            <w:vAlign w:val="center"/>
          </w:tcPr>
          <w:p>
            <w:pPr>
              <w:jc w:val="right"/>
            </w:pPr>
            <w:r>
              <w:rPr>
                <w:rFonts w:ascii="宋体" w:eastAsia="宋体" w:hAnsi="宋体" w:cs="宋体"/>
                <w:b w:val="0"/>
                <w:i w:val="0"/>
                <w:color w:val="000000"/>
                <w:sz w:val="16"/>
              </w:rPr>
              <w:t xml:space="preserve">16.67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133.95</w:t>
            </w:r>
          </w:p>
        </w:tc>
        <w:tc>
          <w:tcPr>
            <w:tcW w:w="1120" w:type="dxa"/>
            <w:tcBorders/>
            <w:vAlign w:val="center"/>
          </w:tcPr>
          <w:p>
            <w:pPr>
              <w:jc w:val="right"/>
            </w:pPr>
            <w:r>
              <w:rPr>
                <w:rFonts w:ascii="宋体" w:eastAsia="宋体" w:hAnsi="宋体" w:cs="宋体"/>
                <w:b w:val="0"/>
                <w:i w:val="0"/>
                <w:color w:val="000000"/>
                <w:sz w:val="16"/>
              </w:rPr>
              <w:t xml:space="preserve">133.95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47.18</w:t>
            </w:r>
          </w:p>
        </w:tc>
        <w:tc>
          <w:tcPr>
            <w:tcW w:w="1120" w:type="dxa"/>
            <w:tcBorders/>
            <w:vAlign w:val="center"/>
          </w:tcPr>
          <w:p>
            <w:pPr>
              <w:jc w:val="right"/>
            </w:pPr>
            <w:r>
              <w:rPr>
                <w:rFonts w:ascii="宋体" w:eastAsia="宋体" w:hAnsi="宋体" w:cs="宋体"/>
                <w:b w:val="0"/>
                <w:i w:val="0"/>
                <w:color w:val="000000"/>
                <w:sz w:val="16"/>
              </w:rPr>
              <w:t xml:space="preserve">30.52</w:t>
            </w:r>
          </w:p>
        </w:tc>
        <w:tc>
          <w:tcPr>
            <w:tcW w:w="1120" w:type="dxa"/>
            <w:tcBorders/>
            <w:vAlign w:val="center"/>
          </w:tcPr>
          <w:p>
            <w:pPr>
              <w:jc w:val="right"/>
            </w:pPr>
            <w:r>
              <w:rPr>
                <w:rFonts w:ascii="宋体" w:eastAsia="宋体" w:hAnsi="宋体" w:cs="宋体"/>
                <w:b w:val="0"/>
                <w:i w:val="0"/>
                <w:color w:val="000000"/>
                <w:sz w:val="16"/>
              </w:rPr>
              <w:t xml:space="preserve">16.67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23.19</w:t>
            </w:r>
          </w:p>
        </w:tc>
        <w:tc>
          <w:tcPr>
            <w:tcW w:w="1120" w:type="dxa"/>
            <w:tcBorders/>
            <w:vAlign w:val="center"/>
          </w:tcPr>
          <w:p>
            <w:pPr>
              <w:jc w:val="right"/>
            </w:pPr>
            <w:r>
              <w:rPr>
                <w:rFonts w:ascii="宋体" w:eastAsia="宋体" w:hAnsi="宋体" w:cs="宋体"/>
                <w:b w:val="0"/>
                <w:i w:val="0"/>
                <w:color w:val="000000"/>
                <w:sz w:val="16"/>
              </w:rPr>
              <w:t xml:space="preserve">23.19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21.66</w:t>
            </w:r>
          </w:p>
        </w:tc>
        <w:tc>
          <w:tcPr>
            <w:tcW w:w="1120" w:type="dxa"/>
            <w:tcBorders/>
            <w:vAlign w:val="center"/>
          </w:tcPr>
          <w:p>
            <w:pPr>
              <w:jc w:val="right"/>
            </w:pPr>
            <w:r>
              <w:rPr>
                <w:rFonts w:ascii="宋体" w:eastAsia="宋体" w:hAnsi="宋体" w:cs="宋体"/>
                <w:b w:val="0"/>
                <w:i w:val="0"/>
                <w:color w:val="000000"/>
                <w:sz w:val="16"/>
              </w:rPr>
              <w:t xml:space="preserve">21.66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7.55</w:t>
            </w:r>
          </w:p>
        </w:tc>
        <w:tc>
          <w:tcPr>
            <w:tcW w:w="1120" w:type="dxa"/>
            <w:tcBorders/>
            <w:vAlign w:val="center"/>
          </w:tcPr>
          <w:p>
            <w:pPr>
              <w:jc w:val="right"/>
            </w:pPr>
            <w:r>
              <w:rPr>
                <w:rFonts w:ascii="宋体" w:eastAsia="宋体" w:hAnsi="宋体" w:cs="宋体"/>
                <w:b w:val="0"/>
                <w:i w:val="0"/>
                <w:color w:val="000000"/>
                <w:sz w:val="16"/>
              </w:rPr>
              <w:t xml:space="preserve">7.55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7.55</w:t>
            </w:r>
          </w:p>
        </w:tc>
        <w:tc>
          <w:tcPr>
            <w:tcW w:w="1120" w:type="dxa"/>
            <w:tcBorders/>
            <w:vAlign w:val="center"/>
          </w:tcPr>
          <w:p>
            <w:pPr>
              <w:jc w:val="right"/>
            </w:pPr>
            <w:r>
              <w:rPr>
                <w:rFonts w:ascii="宋体" w:eastAsia="宋体" w:hAnsi="宋体" w:cs="宋体"/>
                <w:b w:val="0"/>
                <w:i w:val="0"/>
                <w:color w:val="000000"/>
                <w:sz w:val="16"/>
              </w:rPr>
              <w:t xml:space="preserve">7.55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7.44</w:t>
            </w:r>
          </w:p>
        </w:tc>
        <w:tc>
          <w:tcPr>
            <w:tcW w:w="1120" w:type="dxa"/>
            <w:tcBorders/>
            <w:vAlign w:val="center"/>
          </w:tcPr>
          <w:p>
            <w:pPr>
              <w:jc w:val="right"/>
            </w:pPr>
            <w:r>
              <w:rPr>
                <w:rFonts w:ascii="宋体" w:eastAsia="宋体" w:hAnsi="宋体" w:cs="宋体"/>
                <w:b w:val="0"/>
                <w:i w:val="0"/>
                <w:color w:val="000000"/>
                <w:sz w:val="16"/>
              </w:rPr>
              <w:t xml:space="preserve">7.44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jc w:val="right"/>
            </w:pPr>
            <w:r>
              <w:rPr>
                <w:rFonts w:ascii="宋体" w:eastAsia="宋体" w:hAnsi="宋体" w:cs="宋体"/>
                <w:b w:val="0"/>
                <w:i w:val="0"/>
                <w:color w:val="000000"/>
                <w:sz w:val="16"/>
              </w:rPr>
              <w:t xml:space="preserve">14.81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181.14</w:t>
            </w:r>
          </w:p>
        </w:tc>
        <w:tc>
          <w:tcPr>
            <w:tcW w:w="1100" w:type="dxa"/>
            <w:tcBorders/>
            <w:vAlign w:val="center"/>
          </w:tcPr>
          <w:p>
            <w:pPr>
              <w:jc w:val="right"/>
            </w:pPr>
            <w:r>
              <w:rPr>
                <w:rFonts w:ascii="宋体" w:eastAsia="宋体" w:hAnsi="宋体" w:cs="宋体"/>
                <w:b w:val="0"/>
                <w:i w:val="0"/>
                <w:color w:val="000000"/>
                <w:sz w:val="14"/>
              </w:rPr>
              <w:t xml:space="preserve">181.14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23.18</w:t>
            </w:r>
          </w:p>
        </w:tc>
        <w:tc>
          <w:tcPr>
            <w:tcW w:w="1100" w:type="dxa"/>
            <w:tcBorders/>
            <w:vAlign w:val="center"/>
          </w:tcPr>
          <w:p>
            <w:pPr>
              <w:jc w:val="right"/>
            </w:pPr>
            <w:r>
              <w:rPr>
                <w:rFonts w:ascii="宋体" w:eastAsia="宋体" w:hAnsi="宋体" w:cs="宋体"/>
                <w:b w:val="0"/>
                <w:i w:val="0"/>
                <w:color w:val="000000"/>
                <w:sz w:val="14"/>
              </w:rPr>
              <w:t xml:space="preserve">23.18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7.55</w:t>
            </w:r>
          </w:p>
        </w:tc>
        <w:tc>
          <w:tcPr>
            <w:tcW w:w="1100" w:type="dxa"/>
            <w:tcBorders/>
            <w:vAlign w:val="center"/>
          </w:tcPr>
          <w:p>
            <w:pPr>
              <w:jc w:val="right"/>
            </w:pPr>
            <w:r>
              <w:rPr>
                <w:rFonts w:ascii="宋体" w:eastAsia="宋体" w:hAnsi="宋体" w:cs="宋体"/>
                <w:b w:val="0"/>
                <w:i w:val="0"/>
                <w:color w:val="000000"/>
                <w:sz w:val="14"/>
              </w:rPr>
              <w:t xml:space="preserve">7.55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14.81</w:t>
            </w:r>
          </w:p>
        </w:tc>
        <w:tc>
          <w:tcPr>
            <w:tcW w:w="1100" w:type="dxa"/>
            <w:tcBorders/>
            <w:vAlign w:val="center"/>
          </w:tcPr>
          <w:p>
            <w:pPr>
              <w:jc w:val="right"/>
            </w:pPr>
            <w:r>
              <w:rPr>
                <w:rFonts w:ascii="宋体" w:eastAsia="宋体" w:hAnsi="宋体" w:cs="宋体"/>
                <w:b w:val="0"/>
                <w:i w:val="0"/>
                <w:color w:val="000000"/>
                <w:sz w:val="14"/>
              </w:rPr>
              <w:t xml:space="preserve">14.81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1100" w:type="dxa"/>
            <w:tcBorders/>
            <w:vAlign w:val="center"/>
          </w:tcPr>
          <w:p>
            <w:pPr>
              <w:jc w:val="right"/>
            </w:pPr>
            <w:r>
              <w:rPr>
                <w:rFonts w:ascii="宋体" w:eastAsia="宋体" w:hAnsi="宋体" w:cs="宋体"/>
                <w:b w:val="0"/>
                <w:i w:val="0"/>
                <w:color w:val="000000"/>
                <w:sz w:val="14"/>
              </w:rPr>
              <w:t xml:space="preserve">226.68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226.68</w:t>
            </w:r>
          </w:p>
        </w:tc>
        <w:tc>
          <w:tcPr>
            <w:tcW w:w="1980" w:type="dxa"/>
            <w:tcBorders/>
            <w:vAlign w:val="center"/>
          </w:tcPr>
          <w:p>
            <w:pPr>
              <w:jc w:val="right"/>
            </w:pPr>
            <w:r>
              <w:rPr>
                <w:rFonts w:ascii="宋体" w:eastAsia="宋体" w:hAnsi="宋体" w:cs="宋体"/>
                <w:b/>
                <w:i w:val="0"/>
                <w:color w:val="000000"/>
                <w:sz w:val="20"/>
              </w:rPr>
              <w:t xml:space="preserve">210.02</w:t>
            </w:r>
          </w:p>
        </w:tc>
        <w:tc>
          <w:tcPr>
            <w:tcW w:w="1952" w:type="dxa"/>
            <w:tcBorders/>
            <w:vAlign w:val="center"/>
          </w:tcPr>
          <w:p>
            <w:pPr>
              <w:jc w:val="right"/>
            </w:pPr>
            <w:r>
              <w:rPr>
                <w:rFonts w:ascii="宋体" w:eastAsia="宋体" w:hAnsi="宋体" w:cs="宋体"/>
                <w:b/>
                <w:i w:val="0"/>
                <w:color w:val="000000"/>
                <w:sz w:val="20"/>
              </w:rPr>
              <w:t xml:space="preserve">16.67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181.13</w:t>
            </w:r>
          </w:p>
        </w:tc>
        <w:tc>
          <w:tcPr>
            <w:tcW w:w="1980" w:type="dxa"/>
            <w:tcBorders/>
            <w:vAlign w:val="center"/>
          </w:tcPr>
          <w:p>
            <w:pPr>
              <w:jc w:val="right"/>
            </w:pPr>
            <w:r>
              <w:rPr>
                <w:rFonts w:ascii="宋体" w:eastAsia="宋体" w:hAnsi="宋体" w:cs="宋体"/>
                <w:b w:val="0"/>
                <w:i w:val="0"/>
                <w:color w:val="000000"/>
                <w:sz w:val="20"/>
              </w:rPr>
              <w:t xml:space="preserve">164.47</w:t>
            </w:r>
          </w:p>
        </w:tc>
        <w:tc>
          <w:tcPr>
            <w:tcW w:w="1952" w:type="dxa"/>
            <w:tcBorders/>
            <w:vAlign w:val="center"/>
          </w:tcPr>
          <w:p>
            <w:pPr>
              <w:jc w:val="right"/>
            </w:pPr>
            <w:r>
              <w:rPr>
                <w:rFonts w:ascii="宋体" w:eastAsia="宋体" w:hAnsi="宋体" w:cs="宋体"/>
                <w:b w:val="0"/>
                <w:i w:val="0"/>
                <w:color w:val="000000"/>
                <w:sz w:val="20"/>
              </w:rPr>
              <w:t xml:space="preserve">16.67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181.13</w:t>
            </w:r>
          </w:p>
        </w:tc>
        <w:tc>
          <w:tcPr>
            <w:tcW w:w="1980" w:type="dxa"/>
            <w:tcBorders/>
            <w:vAlign w:val="center"/>
          </w:tcPr>
          <w:p>
            <w:pPr>
              <w:jc w:val="right"/>
            </w:pPr>
            <w:r>
              <w:rPr>
                <w:rFonts w:ascii="宋体" w:eastAsia="宋体" w:hAnsi="宋体" w:cs="宋体"/>
                <w:b w:val="0"/>
                <w:i w:val="0"/>
                <w:color w:val="000000"/>
                <w:sz w:val="20"/>
              </w:rPr>
              <w:t xml:space="preserve">164.47</w:t>
            </w:r>
          </w:p>
        </w:tc>
        <w:tc>
          <w:tcPr>
            <w:tcW w:w="1952" w:type="dxa"/>
            <w:tcBorders/>
            <w:vAlign w:val="center"/>
          </w:tcPr>
          <w:p>
            <w:pPr>
              <w:jc w:val="right"/>
            </w:pPr>
            <w:r>
              <w:rPr>
                <w:rFonts w:ascii="宋体" w:eastAsia="宋体" w:hAnsi="宋体" w:cs="宋体"/>
                <w:b w:val="0"/>
                <w:i w:val="0"/>
                <w:color w:val="000000"/>
                <w:sz w:val="20"/>
              </w:rPr>
              <w:t xml:space="preserve">16.67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133.95</w:t>
            </w:r>
          </w:p>
        </w:tc>
        <w:tc>
          <w:tcPr>
            <w:tcW w:w="1980" w:type="dxa"/>
            <w:tcBorders/>
            <w:vAlign w:val="center"/>
          </w:tcPr>
          <w:p>
            <w:pPr>
              <w:jc w:val="right"/>
            </w:pPr>
            <w:r>
              <w:rPr>
                <w:rFonts w:ascii="宋体" w:eastAsia="宋体" w:hAnsi="宋体" w:cs="宋体"/>
                <w:b w:val="0"/>
                <w:i w:val="0"/>
                <w:color w:val="000000"/>
                <w:sz w:val="20"/>
              </w:rPr>
              <w:t xml:space="preserve">133.95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47.18</w:t>
            </w:r>
          </w:p>
        </w:tc>
        <w:tc>
          <w:tcPr>
            <w:tcW w:w="1980" w:type="dxa"/>
            <w:tcBorders/>
            <w:vAlign w:val="center"/>
          </w:tcPr>
          <w:p>
            <w:pPr>
              <w:jc w:val="right"/>
            </w:pPr>
            <w:r>
              <w:rPr>
                <w:rFonts w:ascii="宋体" w:eastAsia="宋体" w:hAnsi="宋体" w:cs="宋体"/>
                <w:b w:val="0"/>
                <w:i w:val="0"/>
                <w:color w:val="000000"/>
                <w:sz w:val="20"/>
              </w:rPr>
              <w:t xml:space="preserve">30.52</w:t>
            </w:r>
          </w:p>
        </w:tc>
        <w:tc>
          <w:tcPr>
            <w:tcW w:w="1952" w:type="dxa"/>
            <w:tcBorders/>
            <w:vAlign w:val="center"/>
          </w:tcPr>
          <w:p>
            <w:pPr>
              <w:jc w:val="right"/>
            </w:pPr>
            <w:r>
              <w:rPr>
                <w:rFonts w:ascii="宋体" w:eastAsia="宋体" w:hAnsi="宋体" w:cs="宋体"/>
                <w:b w:val="0"/>
                <w:i w:val="0"/>
                <w:color w:val="000000"/>
                <w:sz w:val="20"/>
              </w:rPr>
              <w:t xml:space="preserve">16.67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23.19</w:t>
            </w:r>
          </w:p>
        </w:tc>
        <w:tc>
          <w:tcPr>
            <w:tcW w:w="1980" w:type="dxa"/>
            <w:tcBorders/>
            <w:vAlign w:val="center"/>
          </w:tcPr>
          <w:p>
            <w:pPr>
              <w:jc w:val="right"/>
            </w:pPr>
            <w:r>
              <w:rPr>
                <w:rFonts w:ascii="宋体" w:eastAsia="宋体" w:hAnsi="宋体" w:cs="宋体"/>
                <w:b w:val="0"/>
                <w:i w:val="0"/>
                <w:color w:val="000000"/>
                <w:sz w:val="20"/>
              </w:rPr>
              <w:t xml:space="preserve">23.19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21.66</w:t>
            </w:r>
          </w:p>
        </w:tc>
        <w:tc>
          <w:tcPr>
            <w:tcW w:w="1980" w:type="dxa"/>
            <w:tcBorders/>
            <w:vAlign w:val="center"/>
          </w:tcPr>
          <w:p>
            <w:pPr>
              <w:jc w:val="right"/>
            </w:pPr>
            <w:r>
              <w:rPr>
                <w:rFonts w:ascii="宋体" w:eastAsia="宋体" w:hAnsi="宋体" w:cs="宋体"/>
                <w:b w:val="0"/>
                <w:i w:val="0"/>
                <w:color w:val="000000"/>
                <w:sz w:val="20"/>
              </w:rPr>
              <w:t xml:space="preserve">21.66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7.55</w:t>
            </w:r>
          </w:p>
        </w:tc>
        <w:tc>
          <w:tcPr>
            <w:tcW w:w="1980" w:type="dxa"/>
            <w:tcBorders/>
            <w:vAlign w:val="center"/>
          </w:tcPr>
          <w:p>
            <w:pPr>
              <w:jc w:val="right"/>
            </w:pPr>
            <w:r>
              <w:rPr>
                <w:rFonts w:ascii="宋体" w:eastAsia="宋体" w:hAnsi="宋体" w:cs="宋体"/>
                <w:b w:val="0"/>
                <w:i w:val="0"/>
                <w:color w:val="000000"/>
                <w:sz w:val="20"/>
              </w:rPr>
              <w:t xml:space="preserve">7.55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7.55</w:t>
            </w:r>
          </w:p>
        </w:tc>
        <w:tc>
          <w:tcPr>
            <w:tcW w:w="1980" w:type="dxa"/>
            <w:tcBorders/>
            <w:vAlign w:val="center"/>
          </w:tcPr>
          <w:p>
            <w:pPr>
              <w:jc w:val="right"/>
            </w:pPr>
            <w:r>
              <w:rPr>
                <w:rFonts w:ascii="宋体" w:eastAsia="宋体" w:hAnsi="宋体" w:cs="宋体"/>
                <w:b w:val="0"/>
                <w:i w:val="0"/>
                <w:color w:val="000000"/>
                <w:sz w:val="20"/>
              </w:rPr>
              <w:t xml:space="preserve">7.55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7.44</w:t>
            </w:r>
          </w:p>
        </w:tc>
        <w:tc>
          <w:tcPr>
            <w:tcW w:w="1980" w:type="dxa"/>
            <w:tcBorders/>
            <w:vAlign w:val="center"/>
          </w:tcPr>
          <w:p>
            <w:pPr>
              <w:jc w:val="right"/>
            </w:pPr>
            <w:r>
              <w:rPr>
                <w:rFonts w:ascii="宋体" w:eastAsia="宋体" w:hAnsi="宋体" w:cs="宋体"/>
                <w:b w:val="0"/>
                <w:i w:val="0"/>
                <w:color w:val="000000"/>
                <w:sz w:val="20"/>
              </w:rPr>
              <w:t xml:space="preserve">7.44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80" w:type="dxa"/>
            <w:tcBorders/>
            <w:vAlign w:val="center"/>
          </w:tcPr>
          <w:p>
            <w:pPr>
              <w:jc w:val="right"/>
            </w:pPr>
            <w:r>
              <w:rPr>
                <w:rFonts w:ascii="宋体" w:eastAsia="宋体" w:hAnsi="宋体" w:cs="宋体"/>
                <w:b w:val="0"/>
                <w:i w:val="0"/>
                <w:color w:val="000000"/>
                <w:sz w:val="20"/>
              </w:rPr>
              <w:t xml:space="preserve">14.81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169.88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38.84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66.60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3.31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14.33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44.65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7.44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14.81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30.52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3.90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171.17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38.84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0.95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