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辽宁省盘锦市大洼区应急管理事务服务中心（盘锦市大洼区地震事务服务中心）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辽宁省盘锦市大洼区应急管理事务服务中心（盘锦市大洼区地震事务服务中心）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辽宁省盘锦市大洼区应急管理事务服务中心（盘锦市大洼区地震事务服务中心）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辽宁省盘锦市大洼区应急管理事务服务中心（盘锦市大洼区地震事务服务中心）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辽宁省盘锦市大洼区应急管理事务服务中心（盘锦市大洼区地震事务服务中心）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辽宁省盘锦市大洼区应急管理事务服务中心（盘锦市大洼区地震事务服务中心）概况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1．主要职能。</w:t>
        <w:br/>
        <w:t xml:space="preserve">    （一）负责宣传贯彻执行国家和省、市关于应急管理工作的方针、政策和法律、法规、规章；承担全区应急管理工作中长期规划和年度计划中相关任务的组织实施，落实政府安全生产检查、监督及执法等工作。</w:t>
        <w:br/>
        <w:t xml:space="preserve">    （二）负责全区灾害信息管理，收集广大群众各类诉求和社会舆情信息，建立应急公共服务平台，为全区应急管理、智慧城市管理等提供服务。</w:t>
        <w:br/>
        <w:t xml:space="preserve">    （三）负责受理各类应急管理诉求案件，跟进案件办理进度，直至办结反馈。</w:t>
        <w:br/>
        <w:t xml:space="preserve">    （四）负责全区通信、警报保障等应急事务服务和应急救援指挥的服务保障工作。</w:t>
        <w:br/>
        <w:t xml:space="preserve">    （五）承担安全生产检查、监督及执法等事务性工作。</w:t>
        <w:br/>
        <w:t xml:space="preserve">    （六）负责防汛抗旱巡查、组织协调处理、改造抢修等工作。</w:t>
        <w:br/>
        <w:t xml:space="preserve">    （七）负责应急救援、防灾减灾物资的储备管理，参与自然灾害和突发公共事件应急救助等工作。</w:t>
        <w:br/>
        <w:t xml:space="preserve">    （八）承担区应急管理部门交办的其他工作。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辽宁省盘锦市大洼区应急管理事务服务中心（盘锦市大洼区地震事务服务中心）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盘锦市大洼区应急管理事务服务中心（盘锦市大洼区地震事务服务中心）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437.64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437.64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437.64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增加117.30万元，增长36.62%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437.64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437.64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工资福利支出426.59万元；商品和服务支出10.82万元；对个人和家庭的补助0.22万元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增加117.30万元，增长36.62%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437.64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437.64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增加117.30万元，增长36.62%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128.74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128.74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2023年度一般公共预算财政拨款支出437.64万元。按支出功能分类科目分，包括：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1.社会保障和就业支出48.36万元，具体包括：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46.47万元,主要是养老保险等支出，完成年初预算的128.58%，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（2）社会保障和就业支出（类）其他社会保障和就业支出（款）其他社会保障和就业支出（项）1.89万元,主要是工伤保险等支出，完成年初预算的122.73%，决算数与年初预算数存在差异的主要原因是人员增加。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2.卫生健康支出18.90万元，具体包括：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（1）卫生健康支出（类）行政事业单位医疗（款）事业单位医疗（项）18.71万元,主要是医疗保险等支出，完成年初预算的118.34%，决算数与年初预算数存在差异的主要原因是人员增加。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（2）卫生健康支出（类）行政事业单位医疗（款）其他行政事业单位医疗支出（项）0.19万元,主要是大额医疗保险等支出，完成年初预算的100%，决算数与年初预算数存在差异的主要原因是人员增加。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3.住房保障支出37.45万元，具体包括：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（1）住房保障支出（类）住房改革支出（款）住房公积金（项）37.45万元,主要是住房公积金等支出，完成年初预算的138.19%，决算数与年初预算数存在差异的主要原因是人员增加。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4.灾害防治及应急管理支出332.94万元，具体包括：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（1）灾害防治及应急管理支出（类）应急管理事务（款）事业运行（项）332.94万元,主要是人员经费等支出，完成年初预算的136.37%，决算数与年初预算数存在差异的主要原因是人员增加。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本单位无因公出国（境）支出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本单位无因公出国（境）支出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本单位无公务用车购置及运行费用支出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比上年减少3.22万元，降低100.00%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本单位无公务用车购置及运行费用支出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437.63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426.81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10.82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本单位无运行经费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项目的执行按项目资金的管理办法执行，严格按照财政专项资金的审批拨付，实行专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17.社会保障和就业（类）行政事业单位养老支出（款）事业单位离退休（项）：反映事业单位开支的离退休经费。</w:t>
        <w:br/>
        <w:t xml:space="preserve">18.社会保障和就业（类）行政事业单位养老支出（款）机关事业单位基本养老保险缴费支出（项）：反映机关事业单位实施养老保险制度由单位缴纳的基本养老保险费支出。</w:t>
        <w:br/>
        <w:t xml:space="preserve">19.社会保障和就业（类）行政事业单位养老支出（款）机关事业单位职业年金缴费支出（项）：反映机关事业单位实施养老保险制度由单位实际缴纳的职业年金支出。</w:t>
        <w:br/>
        <w:t xml:space="preserve">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21.卫生健康支出（类）行政事业单位医疗（款）事业单位医疗（项）：反映财政部门安排的事业单位基本医疗保险缴费经费，未参加医疗保险的事业单位的公费医疗经费，按国家规定享受离休人员待遇的医疗经费。</w:t>
        <w:br/>
        <w:t xml:space="preserve">22.住房保障（类）住房改革（款）住房公积金（项）：反映行政事业单位按人力资源和社会保障部、财政部规定的基本工资和津贴补贴以及规定比例为职工缴纳的住房公积金。</w:t>
        <w:br/>
        <w:t xml:space="preserve">23.灾害防治及应急管理支出（类）应急管理事务（款）行政运行（项）:指应急管理部本级用于保障机构正常运行、开展日常工作的基本支出。</w:t>
        <w:br/>
        <w:t xml:space="preserve">24.灾害防治及应急管理支出（类）应急管理事务（款）灾害风险防治（项）:指应急管理部本级组织、指导、协调各类风险灾害防范治理方面的支出。</w:t>
        <w:br/>
        <w:t xml:space="preserve">25.灾害防治及应急管理支出（类）应急管理事务（款）国务院安委会专项（项）:指国务院安委会开展安全生产督查、调研等项目支出。</w:t>
        <w:br/>
        <w:t xml:space="preserve">26.灾害防治及应急管理支出（类）应急管理事务（款）应急效授（项）:指应急管理部本级开展安全生产、自然灾害应急救援方面的支出。</w:t>
        <w:br/>
        <w:t xml:space="preserve">27灾害防治及应急管理支出（类）应急管理事务（款）应急管理（项）:指应急管理部本级开展法律法规制定修订，应急预案演练、协调保障等方面的支出。无</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437.64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48.36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18.89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37.45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332.94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437.64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437.64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437.64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437.64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437.64</w:t>
            </w:r>
          </w:p>
        </w:tc>
        <w:tc>
          <w:tcPr>
            <w:tcW w:w="1160" w:type="dxa"/>
            <w:tcBorders/>
            <w:vAlign w:val="center"/>
          </w:tcPr>
          <w:p>
            <w:pPr>
              <w:jc w:val="right"/>
            </w:pPr>
            <w:r>
              <w:rPr>
                <w:rFonts w:ascii="宋体" w:eastAsia="宋体" w:hAnsi="宋体" w:cs="宋体"/>
                <w:b/>
                <w:i w:val="0"/>
                <w:color w:val="000000"/>
                <w:sz w:val="14"/>
              </w:rPr>
              <w:t xml:space="preserve">437.64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48.36</w:t>
            </w:r>
          </w:p>
        </w:tc>
        <w:tc>
          <w:tcPr>
            <w:tcW w:w="1160" w:type="dxa"/>
            <w:tcBorders/>
            <w:vAlign w:val="center"/>
          </w:tcPr>
          <w:p>
            <w:pPr>
              <w:jc w:val="right"/>
            </w:pPr>
            <w:r>
              <w:rPr>
                <w:rFonts w:ascii="宋体" w:eastAsia="宋体" w:hAnsi="宋体" w:cs="宋体"/>
                <w:b w:val="0"/>
                <w:i w:val="0"/>
                <w:color w:val="000000"/>
                <w:sz w:val="14"/>
              </w:rPr>
              <w:t xml:space="preserve">48.36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18.90</w:t>
            </w:r>
          </w:p>
        </w:tc>
        <w:tc>
          <w:tcPr>
            <w:tcW w:w="1160" w:type="dxa"/>
            <w:tcBorders/>
            <w:vAlign w:val="center"/>
          </w:tcPr>
          <w:p>
            <w:pPr>
              <w:jc w:val="right"/>
            </w:pPr>
            <w:r>
              <w:rPr>
                <w:rFonts w:ascii="宋体" w:eastAsia="宋体" w:hAnsi="宋体" w:cs="宋体"/>
                <w:b w:val="0"/>
                <w:i w:val="0"/>
                <w:color w:val="000000"/>
                <w:sz w:val="14"/>
              </w:rPr>
              <w:t xml:space="preserve">18.90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18.90</w:t>
            </w:r>
          </w:p>
        </w:tc>
        <w:tc>
          <w:tcPr>
            <w:tcW w:w="1160" w:type="dxa"/>
            <w:tcBorders/>
            <w:vAlign w:val="center"/>
          </w:tcPr>
          <w:p>
            <w:pPr>
              <w:jc w:val="right"/>
            </w:pPr>
            <w:r>
              <w:rPr>
                <w:rFonts w:ascii="宋体" w:eastAsia="宋体" w:hAnsi="宋体" w:cs="宋体"/>
                <w:b w:val="0"/>
                <w:i w:val="0"/>
                <w:color w:val="000000"/>
                <w:sz w:val="14"/>
              </w:rPr>
              <w:t xml:space="preserve">18.90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18.71</w:t>
            </w:r>
          </w:p>
        </w:tc>
        <w:tc>
          <w:tcPr>
            <w:tcW w:w="1160" w:type="dxa"/>
            <w:tcBorders/>
            <w:vAlign w:val="center"/>
          </w:tcPr>
          <w:p>
            <w:pPr>
              <w:jc w:val="right"/>
            </w:pPr>
            <w:r>
              <w:rPr>
                <w:rFonts w:ascii="宋体" w:eastAsia="宋体" w:hAnsi="宋体" w:cs="宋体"/>
                <w:b w:val="0"/>
                <w:i w:val="0"/>
                <w:color w:val="000000"/>
                <w:sz w:val="14"/>
              </w:rPr>
              <w:t xml:space="preserve">18.71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37.45</w:t>
            </w:r>
          </w:p>
        </w:tc>
        <w:tc>
          <w:tcPr>
            <w:tcW w:w="1160" w:type="dxa"/>
            <w:tcBorders/>
            <w:vAlign w:val="center"/>
          </w:tcPr>
          <w:p>
            <w:pPr>
              <w:jc w:val="right"/>
            </w:pPr>
            <w:r>
              <w:rPr>
                <w:rFonts w:ascii="宋体" w:eastAsia="宋体" w:hAnsi="宋体" w:cs="宋体"/>
                <w:b w:val="0"/>
                <w:i w:val="0"/>
                <w:color w:val="000000"/>
                <w:sz w:val="14"/>
              </w:rPr>
              <w:t xml:space="preserve">37.45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37.45</w:t>
            </w:r>
          </w:p>
        </w:tc>
        <w:tc>
          <w:tcPr>
            <w:tcW w:w="1160" w:type="dxa"/>
            <w:tcBorders/>
            <w:vAlign w:val="center"/>
          </w:tcPr>
          <w:p>
            <w:pPr>
              <w:jc w:val="right"/>
            </w:pPr>
            <w:r>
              <w:rPr>
                <w:rFonts w:ascii="宋体" w:eastAsia="宋体" w:hAnsi="宋体" w:cs="宋体"/>
                <w:b w:val="0"/>
                <w:i w:val="0"/>
                <w:color w:val="000000"/>
                <w:sz w:val="14"/>
              </w:rPr>
              <w:t xml:space="preserve">37.45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37.45</w:t>
            </w:r>
          </w:p>
        </w:tc>
        <w:tc>
          <w:tcPr>
            <w:tcW w:w="1160" w:type="dxa"/>
            <w:tcBorders/>
            <w:vAlign w:val="center"/>
          </w:tcPr>
          <w:p>
            <w:pPr>
              <w:jc w:val="right"/>
            </w:pPr>
            <w:r>
              <w:rPr>
                <w:rFonts w:ascii="宋体" w:eastAsia="宋体" w:hAnsi="宋体" w:cs="宋体"/>
                <w:b w:val="0"/>
                <w:i w:val="0"/>
                <w:color w:val="000000"/>
                <w:sz w:val="14"/>
              </w:rPr>
              <w:t xml:space="preserve">37.45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jc w:val="right"/>
            </w:pPr>
            <w:r>
              <w:rPr>
                <w:rFonts w:ascii="宋体" w:eastAsia="宋体" w:hAnsi="宋体" w:cs="宋体"/>
                <w:b w:val="0"/>
                <w:i w:val="0"/>
                <w:color w:val="000000"/>
                <w:sz w:val="14"/>
              </w:rPr>
              <w:t xml:space="preserve">332.94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437.64</w:t>
            </w:r>
          </w:p>
        </w:tc>
        <w:tc>
          <w:tcPr>
            <w:tcW w:w="1120" w:type="dxa"/>
            <w:tcBorders/>
            <w:vAlign w:val="center"/>
          </w:tcPr>
          <w:p>
            <w:pPr>
              <w:jc w:val="right"/>
            </w:pPr>
            <w:r>
              <w:rPr>
                <w:rFonts w:ascii="宋体" w:eastAsia="宋体" w:hAnsi="宋体" w:cs="宋体"/>
                <w:b/>
                <w:i w:val="0"/>
                <w:color w:val="000000"/>
                <w:sz w:val="16"/>
              </w:rPr>
              <w:t xml:space="preserve">437.64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48.36</w:t>
            </w:r>
          </w:p>
        </w:tc>
        <w:tc>
          <w:tcPr>
            <w:tcW w:w="1120" w:type="dxa"/>
            <w:tcBorders/>
            <w:vAlign w:val="center"/>
          </w:tcPr>
          <w:p>
            <w:pPr>
              <w:jc w:val="right"/>
            </w:pPr>
            <w:r>
              <w:rPr>
                <w:rFonts w:ascii="宋体" w:eastAsia="宋体" w:hAnsi="宋体" w:cs="宋体"/>
                <w:b w:val="0"/>
                <w:i w:val="0"/>
                <w:color w:val="000000"/>
                <w:sz w:val="16"/>
              </w:rPr>
              <w:t xml:space="preserve">48.36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18.90</w:t>
            </w:r>
          </w:p>
        </w:tc>
        <w:tc>
          <w:tcPr>
            <w:tcW w:w="1120" w:type="dxa"/>
            <w:tcBorders/>
            <w:vAlign w:val="center"/>
          </w:tcPr>
          <w:p>
            <w:pPr>
              <w:jc w:val="right"/>
            </w:pPr>
            <w:r>
              <w:rPr>
                <w:rFonts w:ascii="宋体" w:eastAsia="宋体" w:hAnsi="宋体" w:cs="宋体"/>
                <w:b w:val="0"/>
                <w:i w:val="0"/>
                <w:color w:val="000000"/>
                <w:sz w:val="16"/>
              </w:rPr>
              <w:t xml:space="preserve">18.90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18.90</w:t>
            </w:r>
          </w:p>
        </w:tc>
        <w:tc>
          <w:tcPr>
            <w:tcW w:w="1120" w:type="dxa"/>
            <w:tcBorders/>
            <w:vAlign w:val="center"/>
          </w:tcPr>
          <w:p>
            <w:pPr>
              <w:jc w:val="right"/>
            </w:pPr>
            <w:r>
              <w:rPr>
                <w:rFonts w:ascii="宋体" w:eastAsia="宋体" w:hAnsi="宋体" w:cs="宋体"/>
                <w:b w:val="0"/>
                <w:i w:val="0"/>
                <w:color w:val="000000"/>
                <w:sz w:val="16"/>
              </w:rPr>
              <w:t xml:space="preserve">18.90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18.71</w:t>
            </w:r>
          </w:p>
        </w:tc>
        <w:tc>
          <w:tcPr>
            <w:tcW w:w="1120" w:type="dxa"/>
            <w:tcBorders/>
            <w:vAlign w:val="center"/>
          </w:tcPr>
          <w:p>
            <w:pPr>
              <w:jc w:val="right"/>
            </w:pPr>
            <w:r>
              <w:rPr>
                <w:rFonts w:ascii="宋体" w:eastAsia="宋体" w:hAnsi="宋体" w:cs="宋体"/>
                <w:b w:val="0"/>
                <w:i w:val="0"/>
                <w:color w:val="000000"/>
                <w:sz w:val="16"/>
              </w:rPr>
              <w:t xml:space="preserve">18.71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37.45</w:t>
            </w:r>
          </w:p>
        </w:tc>
        <w:tc>
          <w:tcPr>
            <w:tcW w:w="1120" w:type="dxa"/>
            <w:tcBorders/>
            <w:vAlign w:val="center"/>
          </w:tcPr>
          <w:p>
            <w:pPr>
              <w:jc w:val="right"/>
            </w:pPr>
            <w:r>
              <w:rPr>
                <w:rFonts w:ascii="宋体" w:eastAsia="宋体" w:hAnsi="宋体" w:cs="宋体"/>
                <w:b w:val="0"/>
                <w:i w:val="0"/>
                <w:color w:val="000000"/>
                <w:sz w:val="16"/>
              </w:rPr>
              <w:t xml:space="preserve">37.45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37.45</w:t>
            </w:r>
          </w:p>
        </w:tc>
        <w:tc>
          <w:tcPr>
            <w:tcW w:w="1120" w:type="dxa"/>
            <w:tcBorders/>
            <w:vAlign w:val="center"/>
          </w:tcPr>
          <w:p>
            <w:pPr>
              <w:jc w:val="right"/>
            </w:pPr>
            <w:r>
              <w:rPr>
                <w:rFonts w:ascii="宋体" w:eastAsia="宋体" w:hAnsi="宋体" w:cs="宋体"/>
                <w:b w:val="0"/>
                <w:i w:val="0"/>
                <w:color w:val="000000"/>
                <w:sz w:val="16"/>
              </w:rPr>
              <w:t xml:space="preserve">37.45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37.45</w:t>
            </w:r>
          </w:p>
        </w:tc>
        <w:tc>
          <w:tcPr>
            <w:tcW w:w="1120" w:type="dxa"/>
            <w:tcBorders/>
            <w:vAlign w:val="center"/>
          </w:tcPr>
          <w:p>
            <w:pPr>
              <w:jc w:val="right"/>
            </w:pPr>
            <w:r>
              <w:rPr>
                <w:rFonts w:ascii="宋体" w:eastAsia="宋体" w:hAnsi="宋体" w:cs="宋体"/>
                <w:b w:val="0"/>
                <w:i w:val="0"/>
                <w:color w:val="000000"/>
                <w:sz w:val="16"/>
              </w:rPr>
              <w:t xml:space="preserve">37.45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jc w:val="right"/>
            </w:pPr>
            <w:r>
              <w:rPr>
                <w:rFonts w:ascii="宋体" w:eastAsia="宋体" w:hAnsi="宋体" w:cs="宋体"/>
                <w:b w:val="0"/>
                <w:i w:val="0"/>
                <w:color w:val="000000"/>
                <w:sz w:val="16"/>
              </w:rPr>
              <w:t xml:space="preserve">332.94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48.36</w:t>
            </w:r>
          </w:p>
        </w:tc>
        <w:tc>
          <w:tcPr>
            <w:tcW w:w="1100" w:type="dxa"/>
            <w:tcBorders/>
            <w:vAlign w:val="center"/>
          </w:tcPr>
          <w:p>
            <w:pPr>
              <w:jc w:val="right"/>
            </w:pPr>
            <w:r>
              <w:rPr>
                <w:rFonts w:ascii="宋体" w:eastAsia="宋体" w:hAnsi="宋体" w:cs="宋体"/>
                <w:b w:val="0"/>
                <w:i w:val="0"/>
                <w:color w:val="000000"/>
                <w:sz w:val="14"/>
              </w:rPr>
              <w:t xml:space="preserve">48.36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18.89</w:t>
            </w:r>
          </w:p>
        </w:tc>
        <w:tc>
          <w:tcPr>
            <w:tcW w:w="1100" w:type="dxa"/>
            <w:tcBorders/>
            <w:vAlign w:val="center"/>
          </w:tcPr>
          <w:p>
            <w:pPr>
              <w:jc w:val="right"/>
            </w:pPr>
            <w:r>
              <w:rPr>
                <w:rFonts w:ascii="宋体" w:eastAsia="宋体" w:hAnsi="宋体" w:cs="宋体"/>
                <w:b w:val="0"/>
                <w:i w:val="0"/>
                <w:color w:val="000000"/>
                <w:sz w:val="14"/>
              </w:rPr>
              <w:t xml:space="preserve">18.89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37.45</w:t>
            </w:r>
          </w:p>
        </w:tc>
        <w:tc>
          <w:tcPr>
            <w:tcW w:w="1100" w:type="dxa"/>
            <w:tcBorders/>
            <w:vAlign w:val="center"/>
          </w:tcPr>
          <w:p>
            <w:pPr>
              <w:jc w:val="right"/>
            </w:pPr>
            <w:r>
              <w:rPr>
                <w:rFonts w:ascii="宋体" w:eastAsia="宋体" w:hAnsi="宋体" w:cs="宋体"/>
                <w:b w:val="0"/>
                <w:i w:val="0"/>
                <w:color w:val="000000"/>
                <w:sz w:val="14"/>
              </w:rPr>
              <w:t xml:space="preserve">37.45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332.94</w:t>
            </w:r>
          </w:p>
        </w:tc>
        <w:tc>
          <w:tcPr>
            <w:tcW w:w="1100" w:type="dxa"/>
            <w:tcBorders/>
            <w:vAlign w:val="center"/>
          </w:tcPr>
          <w:p>
            <w:pPr>
              <w:jc w:val="right"/>
            </w:pPr>
            <w:r>
              <w:rPr>
                <w:rFonts w:ascii="宋体" w:eastAsia="宋体" w:hAnsi="宋体" w:cs="宋体"/>
                <w:b w:val="0"/>
                <w:i w:val="0"/>
                <w:color w:val="000000"/>
                <w:sz w:val="14"/>
              </w:rPr>
              <w:t xml:space="preserve">332.94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1100" w:type="dxa"/>
            <w:tcBorders/>
            <w:vAlign w:val="center"/>
          </w:tcPr>
          <w:p>
            <w:pPr>
              <w:jc w:val="right"/>
            </w:pPr>
            <w:r>
              <w:rPr>
                <w:rFonts w:ascii="宋体" w:eastAsia="宋体" w:hAnsi="宋体" w:cs="宋体"/>
                <w:b w:val="0"/>
                <w:i w:val="0"/>
                <w:color w:val="000000"/>
                <w:sz w:val="14"/>
              </w:rPr>
              <w:t xml:space="preserve">437.64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437.64</w:t>
            </w:r>
          </w:p>
        </w:tc>
        <w:tc>
          <w:tcPr>
            <w:tcW w:w="1980" w:type="dxa"/>
            <w:tcBorders/>
            <w:vAlign w:val="center"/>
          </w:tcPr>
          <w:p>
            <w:pPr>
              <w:jc w:val="right"/>
            </w:pPr>
            <w:r>
              <w:rPr>
                <w:rFonts w:ascii="宋体" w:eastAsia="宋体" w:hAnsi="宋体" w:cs="宋体"/>
                <w:b/>
                <w:i w:val="0"/>
                <w:color w:val="000000"/>
                <w:sz w:val="20"/>
              </w:rPr>
              <w:t xml:space="preserve">437.64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48.36</w:t>
            </w:r>
          </w:p>
        </w:tc>
        <w:tc>
          <w:tcPr>
            <w:tcW w:w="1980" w:type="dxa"/>
            <w:tcBorders/>
            <w:vAlign w:val="center"/>
          </w:tcPr>
          <w:p>
            <w:pPr>
              <w:jc w:val="right"/>
            </w:pPr>
            <w:r>
              <w:rPr>
                <w:rFonts w:ascii="宋体" w:eastAsia="宋体" w:hAnsi="宋体" w:cs="宋体"/>
                <w:b w:val="0"/>
                <w:i w:val="0"/>
                <w:color w:val="000000"/>
                <w:sz w:val="20"/>
              </w:rPr>
              <w:t xml:space="preserve">48.36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18.90</w:t>
            </w:r>
          </w:p>
        </w:tc>
        <w:tc>
          <w:tcPr>
            <w:tcW w:w="1980" w:type="dxa"/>
            <w:tcBorders/>
            <w:vAlign w:val="center"/>
          </w:tcPr>
          <w:p>
            <w:pPr>
              <w:jc w:val="right"/>
            </w:pPr>
            <w:r>
              <w:rPr>
                <w:rFonts w:ascii="宋体" w:eastAsia="宋体" w:hAnsi="宋体" w:cs="宋体"/>
                <w:b w:val="0"/>
                <w:i w:val="0"/>
                <w:color w:val="000000"/>
                <w:sz w:val="20"/>
              </w:rPr>
              <w:t xml:space="preserve">18.90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18.90</w:t>
            </w:r>
          </w:p>
        </w:tc>
        <w:tc>
          <w:tcPr>
            <w:tcW w:w="1980" w:type="dxa"/>
            <w:tcBorders/>
            <w:vAlign w:val="center"/>
          </w:tcPr>
          <w:p>
            <w:pPr>
              <w:jc w:val="right"/>
            </w:pPr>
            <w:r>
              <w:rPr>
                <w:rFonts w:ascii="宋体" w:eastAsia="宋体" w:hAnsi="宋体" w:cs="宋体"/>
                <w:b w:val="0"/>
                <w:i w:val="0"/>
                <w:color w:val="000000"/>
                <w:sz w:val="20"/>
              </w:rPr>
              <w:t xml:space="preserve">18.90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18.71</w:t>
            </w:r>
          </w:p>
        </w:tc>
        <w:tc>
          <w:tcPr>
            <w:tcW w:w="1980" w:type="dxa"/>
            <w:tcBorders/>
            <w:vAlign w:val="center"/>
          </w:tcPr>
          <w:p>
            <w:pPr>
              <w:jc w:val="right"/>
            </w:pPr>
            <w:r>
              <w:rPr>
                <w:rFonts w:ascii="宋体" w:eastAsia="宋体" w:hAnsi="宋体" w:cs="宋体"/>
                <w:b w:val="0"/>
                <w:i w:val="0"/>
                <w:color w:val="000000"/>
                <w:sz w:val="20"/>
              </w:rPr>
              <w:t xml:space="preserve">18.71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37.45</w:t>
            </w:r>
          </w:p>
        </w:tc>
        <w:tc>
          <w:tcPr>
            <w:tcW w:w="1980" w:type="dxa"/>
            <w:tcBorders/>
            <w:vAlign w:val="center"/>
          </w:tcPr>
          <w:p>
            <w:pPr>
              <w:jc w:val="right"/>
            </w:pPr>
            <w:r>
              <w:rPr>
                <w:rFonts w:ascii="宋体" w:eastAsia="宋体" w:hAnsi="宋体" w:cs="宋体"/>
                <w:b w:val="0"/>
                <w:i w:val="0"/>
                <w:color w:val="000000"/>
                <w:sz w:val="20"/>
              </w:rPr>
              <w:t xml:space="preserve">37.45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37.45</w:t>
            </w:r>
          </w:p>
        </w:tc>
        <w:tc>
          <w:tcPr>
            <w:tcW w:w="1980" w:type="dxa"/>
            <w:tcBorders/>
            <w:vAlign w:val="center"/>
          </w:tcPr>
          <w:p>
            <w:pPr>
              <w:jc w:val="right"/>
            </w:pPr>
            <w:r>
              <w:rPr>
                <w:rFonts w:ascii="宋体" w:eastAsia="宋体" w:hAnsi="宋体" w:cs="宋体"/>
                <w:b w:val="0"/>
                <w:i w:val="0"/>
                <w:color w:val="000000"/>
                <w:sz w:val="20"/>
              </w:rPr>
              <w:t xml:space="preserve">37.45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37.45</w:t>
            </w:r>
          </w:p>
        </w:tc>
        <w:tc>
          <w:tcPr>
            <w:tcW w:w="1980" w:type="dxa"/>
            <w:tcBorders/>
            <w:vAlign w:val="center"/>
          </w:tcPr>
          <w:p>
            <w:pPr>
              <w:jc w:val="right"/>
            </w:pPr>
            <w:r>
              <w:rPr>
                <w:rFonts w:ascii="宋体" w:eastAsia="宋体" w:hAnsi="宋体" w:cs="宋体"/>
                <w:b w:val="0"/>
                <w:i w:val="0"/>
                <w:color w:val="000000"/>
                <w:sz w:val="20"/>
              </w:rPr>
              <w:t xml:space="preserve">37.45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80" w:type="dxa"/>
            <w:tcBorders/>
            <w:vAlign w:val="center"/>
          </w:tcPr>
          <w:p>
            <w:pPr>
              <w:jc w:val="right"/>
            </w:pPr>
            <w:r>
              <w:rPr>
                <w:rFonts w:ascii="宋体" w:eastAsia="宋体" w:hAnsi="宋体" w:cs="宋体"/>
                <w:b w:val="0"/>
                <w:i w:val="0"/>
                <w:color w:val="000000"/>
                <w:sz w:val="20"/>
              </w:rPr>
              <w:t xml:space="preserve">332.94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426.59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10.82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173.44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10.00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14.35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134.10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46.47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18.71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2.07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37.45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426.81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10.82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单位：辽宁省盘锦市大洼区应急管理事务服务中心（盘锦市大洼区地震事务服务中心）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032002盘锦市大洼区应急管理事务服务中心盘锦市大洼区地震事务服务中心-211104000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10.8245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297.966397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297.96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保障单位全年公用经费、人员经费合理支出。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保障单位全年公用经费、人员经费合理支出。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有利于维护国家安全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维护安全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受援人员满意度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受训学员满意度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多部门协同联动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多方配合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建立完善的财务体制是财务工作的难点和重点，只有完善体制系统，才能做到财务系统科学规范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