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辽宁省盘锦市大洼区应急管理局（本级）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辽宁省盘锦市大洼区应急管理局（本级）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辽宁省盘锦市大洼区应急管理局（本级）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辽宁省盘锦市大洼区应急管理局（本级）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辽宁省盘锦市大洼区应急管理局（本级）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辽宁省盘锦市大洼区应急管理局（本级）概况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（一）负责应急管理工作，指导各镇街、各部门应对安全生产类、自然灾害类等突发事件和综合防灾减灾救灾工作。负责安全生产综合监督管理和工矿商贸行业安全生产监督管理工作。</w:t>
        <w:br/>
        <w:t xml:space="preserve">    （二）拟订应急管理、安全生产等规范性文件，组织编制全区应急体系建设、安全生产和综合防灾减灾规划，组织落实上级有关规章、规程和标准并监督实施。</w:t>
        <w:br/>
        <w:t xml:space="preserve">    （三）指导应急预案体系建设，建立完善事故灾难和自然灾害分级应对制度，组织编制全区总体应急预案和安全生产类、自然灾害类专项预案，综合协调应急预案衔接工作，组织开展预案演练，推动应急避难设施建设。</w:t>
        <w:br/>
        <w:t xml:space="preserve">    （四）牵头建立统一的应急管理信息系统，负责信息传输渠道的规划和布局，建立监测预警和灾情报告制度，健全自然灾害信息资源获取和共享机制，依法统一发布灾情。</w:t>
        <w:br/>
        <w:t xml:space="preserve">    （五）组织指导协调安全生产类、自然灾害类等突发事件应急救援，综合研判突发事件发展态势并提出应对建议。协助区委、区政府指定的负责同志组织相关灾害应急处置工作，可按程序统筹调度指挥区域范围内监测预警、应急救援资源和力量。</w:t>
        <w:br/>
        <w:t xml:space="preserve">    （六）统一协调指挥各类应急专业队伍，建立应急协调联动机制，推进指挥平合对接，衔接当地驻军部队及相关部门参与应急救援工作。</w:t>
        <w:br/>
        <w:t xml:space="preserve">    （七）统筹应急救援力量建设，负责消防、森林火灾扑救、抗洪抢险、地震和地质灾害、生产安全事故救援等专业应急救援力量建设，指导各镇街及社会应急救援力量建设。</w:t>
        <w:br/>
        <w:t xml:space="preserve">    （八）负责消防工作，指导各镇街消防监督、火灾预防、火灾扑救等工作。</w:t>
        <w:br/>
        <w:t xml:space="preserve">    （九）指导协调森林火灾、水旱灾害、地震和地质灾害等防治工作，负责自然灾害综合监测预警工作，指导开展自然灾害综合风险评估工作。</w:t>
        <w:br/>
        <w:t xml:space="preserve">    （十）组织协调灾害救助工作，组织指导灾情核查、损失评估、救灾捐赠工作，管理、分配区级以上下拨的救灾款物并监督使用。</w:t>
        <w:br/>
        <w:t xml:space="preserve">    （十一）依法行使安全生产综合监督管理职权，指导协调、监督检查区政府有关部门和各镇街安全生产工作，组织开展安全生产巡查、考核工作。</w:t>
        <w:br/>
        <w:t xml:space="preserve">    （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br/>
        <w:t xml:space="preserve">    （十三）依法组织指导生产安全事故调查处理，监督事故查处和责任追究落实情况。组织开展自然灾害类突发事件的调查评估工作。</w:t>
        <w:br/>
        <w:t xml:space="preserve">    （十四）开展应急管理方面的对外交流与合作。</w:t>
        <w:br/>
        <w:t xml:space="preserve">    （十五）制定应急物资储备和应急救援装备规划并组织实施，会同粮食和物资储备等部门建立健全应急物资信息平台和调拨制度，在救灾时统一调度。</w:t>
        <w:br/>
        <w:t xml:space="preserve">    （十六）负责应急管理、安全生产宣传教育和培训工作，组织指导应急管理、安全生产的科学技术研究、推广应用和信息化建设工作。</w:t>
        <w:br/>
        <w:t xml:space="preserve">    （十七）完成区委、区政府交办的其他任务。</w:t>
        <w:br/>
        <w:t xml:space="preserve">    （十八）职能转变。盘锦市大洼区应急管理局应加强、优化、统筹全区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坚决遏制重特大安全事故。</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辽宁省盘锦市大洼区应急管理局（本级）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盘锦市大洼区应急管理局</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372.43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372.43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372.43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减少64.66万元，降低14.79%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项目资金投入减少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372.43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239.91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64.42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工资福利支出190.77万元；商品和服务支出23.30万元；对个人和家庭的补助25.84万元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132.52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35.58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主要包括应急管理宣传教育支出、应急物资储备及应急演练等业务支出。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减少64.66万元，降低14.79%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项目资金投入减少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上年度和本年度未发生结转和结余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372.43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239.91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132.52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减少64.66万元，降低14.79%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项目资金投入减少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146.38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130.65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187.18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2023年度一般公共预算财政拨款支出372.43万元。按支出功能分类科目分，包括：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0.00万元,主要是我单位无一般公共服务支出（类）人大事务等支出，完成年初预算的0%，决算数与年初预算数存在差异的主要原因是我单位无一般公共服务支出（类）人大事务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2.社会保障和就业支出50.68万元，具体包括：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1.77万元,主要是行政事业单位养老支出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19.38万元,主要是行政事业单位养老保险等支出，完成年初预算的11.25%，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5.46万元,主要是职业年金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（4）社会保障和就业支出（类）抚恤（款）死亡抚恤（项）23.64万元,主要是离退休人员死亡等支出，完成年初预算的100%，决算数与年初预算数存在差异的主要原因是离退休人员死亡。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0.43万元,主要是其他社会保障和就业支出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（1）卫生健康支出（类）公共卫生（款）重大公共卫生服务（项）0.44万元,主要是医疗保险等支出，完成年初预算的100.67%，决算数与年初预算数存在差异的主要原因是人员经费增加。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（2）卫生健康支出（类）行政事业单位医疗（款）行政单位医疗（项）7.15万元,主要是医疗保险等支出，完成年初预算的100.67%，决算数与年初预算数存在差异的主要原因是人员经费增加。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（3）卫生健康支出（类）行政事业单位医疗（款）其他行政事业单位医疗支出（项）0.11万元,主要是大额医疗保险等支出，完成年初预算的110%，决算数与年初预算数存在差异的主要原因是人员经费增加。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4.住房保障支出16.01万元，具体包括：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（1）住房保障支出（类）住房改革支出（款）住房公积金（项）16.01万元,主要是住房公积金等支出，完成年初预算的113.14%，决算数与年初预算数存在差异的主要原因是人员经费增加。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5.灾害防治及应急管理支出298.05万元，具体包括：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（1）灾害防治及应急管理支出（类）应急管理事务（款）行政运行（项）165.53万元,主要是人员经费等支出，完成年初预算的110.3%，决算数与年初预算数存在差异的主要原因是人员经费增加。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（2）灾害防治及应急管理支出（类）应急管理事务（款）一般行政管理事务（项）12.59万元,主要是项目经费等支出，完成年初预算的115.43%，决算数与年初预算数存在差异的主要原因是项目经费增加。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灾害防治及应急管理支出（类）应急管理事务（款）灾害风险防治（项）50.00万元,主要是应急事务管理灾害风险防治等支出，完成年初预算的115.43%，决算数与年初预算数存在差异的主要原因是项目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（4）灾害防治及应急管理支出（类）应急管理事务（款）安全监管（项）12.89万元,主要是应急事务安全监管等支出，完成年初预算的115.43%，决算数与年初预算数存在差异的主要原因是项目经费增加。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（5）灾害防治及应急管理支出（类）应急管理事务（款）其他应急管理支出（项）9.72万元,主要是其他应急管理等支出，完成年初预算的115.43%，决算数与年初预算数存在差异的主要原因是项目经费增加。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（6）灾害防治及应急管理支出（类）自然灾害防治（款）其他自然灾害防治支出（项）15.12万元,主要是自然灾害防治等支出，完成年初预算的115.43%，决算数与年初预算数存在差异的主要原因是项目经费增加。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灾害防治及应急管理支出（类）自然灾害救灾及恢复重建支出（款）自然灾害救灾补助（项）32.20万元,主要是自然灾害救灾补助等支出，完成年初预算的115.43%，决算数与年初预算数存在差异的主要原因是项目经费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6.28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41.87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经费支出少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6.28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我单位无因公出国（境）费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我单位无因公出国（境）费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我单位无公务接待费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6.28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41.87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公务用车购置及运行费用减少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比上年减少2.87万元，降低31.37%</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公务用车购置及运行费用减少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6.28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主要用于我单位今年未购置公务用车等，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239.91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216.61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23.30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23.30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比上年增加4.42万元，增长23.41%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人员经费增加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1.81</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1.81</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1.81</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1.81</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项目的执行按项目资金的管理办法执行，严格按照财政专项资金的审批拨付，实行专款专用。资金到位及时，会计核算做到真实、完整、及时，支出审批程序严谨，符合国家财经法规和财务管理及项目资金管理等规定。</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17.社会保障和就业（类）行政事业单位养老支出（款）事业单位离退休（项）：反映事业单位开支的离退休经费。</w:t>
        <w:br/>
        <w:t xml:space="preserve">18.社会保障和就业（类）行政事业单位养老支出（款）机关事业单位基本养老保险缴费支出（项）：反映机关事业单位实施养老保险制度由单位缴纳的基本养老保险费支出。</w:t>
        <w:br/>
        <w:t xml:space="preserve">19.社会保障和就业（类）行政事业单位养老支出（款）机关事业单位职业年金缴费支出（项）：反映机关事业单位实施养老保险制度由单位实际缴纳的职业年金支出。</w:t>
        <w:br/>
        <w:t xml:space="preserve">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21.卫生健康支出（类）行政事业单位医疗（款）事业单位医疗（项）：反映财政部门安排的事业单位基本医疗保险缴费经费，未参加医疗保险的事业单位的公费医疗经费，按国家规定享受离休人员待遇的医疗经费。</w:t>
        <w:br/>
        <w:t xml:space="preserve">22.住房保障（类）住房改革（款）住房公积金（项）：反映行政事业单位按人力资源和社会保障部、财政部规定的基本工资和津贴补贴以及规定比例为职工缴纳的住房公积金。</w:t>
        <w:br/>
        <w:t xml:space="preserve">23.灾害防治及应急管理支出（类）应急管理事务（款）行政运行（项）:指应急管理部本级用于保障机构正常运行、开展日常工作的基本支出。</w:t>
        <w:br/>
        <w:t xml:space="preserve">24.灾害防治及应急管理支出（类）应急管理事务（款）灾害风险防治（项）:指应急管理部本级组织、指导、协调各类风险灾害防范治理方面的支出。</w:t>
        <w:br/>
        <w:t xml:space="preserve">25.灾害防治及应急管理支出（类）应急管理事务（款）国务院安委会专项（项）:指国务院安委会开展安全生产督查、调研等项目支出。</w:t>
        <w:br/>
        <w:t xml:space="preserve">26.灾害防治及应急管理支出（类）应急管理事务（款）应急效授（项）:指应急管理部本级开展安全生产、自然灾害应急救援方面的支出。</w:t>
        <w:br/>
        <w:t xml:space="preserve">27灾害防治及应急管理支出（类）应急管理事务（款）应急管理（项）:指应急管理部本级开展法律法规制定修订，应急预案演练、协调保障等方面的支出。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372.43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50.68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298.05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372.43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372.43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372.43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372.43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372.43</w:t>
            </w:r>
          </w:p>
        </w:tc>
        <w:tc>
          <w:tcPr>
            <w:tcW w:w="1160" w:type="dxa"/>
            <w:tcBorders/>
            <w:vAlign w:val="center"/>
          </w:tcPr>
          <w:p>
            <w:pPr>
              <w:jc w:val="right"/>
            </w:pPr>
            <w:r>
              <w:rPr>
                <w:rFonts w:ascii="宋体" w:eastAsia="宋体" w:hAnsi="宋体" w:cs="宋体"/>
                <w:b/>
                <w:i w:val="0"/>
                <w:color w:val="000000"/>
                <w:sz w:val="14"/>
              </w:rPr>
              <w:t xml:space="preserve">372.43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50.68</w:t>
            </w:r>
          </w:p>
        </w:tc>
        <w:tc>
          <w:tcPr>
            <w:tcW w:w="1160" w:type="dxa"/>
            <w:tcBorders/>
            <w:vAlign w:val="center"/>
          </w:tcPr>
          <w:p>
            <w:pPr>
              <w:jc w:val="right"/>
            </w:pPr>
            <w:r>
              <w:rPr>
                <w:rFonts w:ascii="宋体" w:eastAsia="宋体" w:hAnsi="宋体" w:cs="宋体"/>
                <w:b w:val="0"/>
                <w:i w:val="0"/>
                <w:color w:val="000000"/>
                <w:sz w:val="14"/>
              </w:rPr>
              <w:t xml:space="preserve">50.68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26.61</w:t>
            </w:r>
          </w:p>
        </w:tc>
        <w:tc>
          <w:tcPr>
            <w:tcW w:w="1160" w:type="dxa"/>
            <w:tcBorders/>
            <w:vAlign w:val="center"/>
          </w:tcPr>
          <w:p>
            <w:pPr>
              <w:jc w:val="right"/>
            </w:pPr>
            <w:r>
              <w:rPr>
                <w:rFonts w:ascii="宋体" w:eastAsia="宋体" w:hAnsi="宋体" w:cs="宋体"/>
                <w:b w:val="0"/>
                <w:i w:val="0"/>
                <w:color w:val="000000"/>
                <w:sz w:val="14"/>
              </w:rPr>
              <w:t xml:space="preserve">26.61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19.38</w:t>
            </w:r>
          </w:p>
        </w:tc>
        <w:tc>
          <w:tcPr>
            <w:tcW w:w="1160" w:type="dxa"/>
            <w:tcBorders/>
            <w:vAlign w:val="center"/>
          </w:tcPr>
          <w:p>
            <w:pPr>
              <w:jc w:val="right"/>
            </w:pPr>
            <w:r>
              <w:rPr>
                <w:rFonts w:ascii="宋体" w:eastAsia="宋体" w:hAnsi="宋体" w:cs="宋体"/>
                <w:b w:val="0"/>
                <w:i w:val="0"/>
                <w:color w:val="000000"/>
                <w:sz w:val="14"/>
              </w:rPr>
              <w:t xml:space="preserve">19.38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5.46</w:t>
            </w:r>
          </w:p>
        </w:tc>
        <w:tc>
          <w:tcPr>
            <w:tcW w:w="1160" w:type="dxa"/>
            <w:tcBorders/>
            <w:vAlign w:val="center"/>
          </w:tcPr>
          <w:p>
            <w:pPr>
              <w:jc w:val="right"/>
            </w:pPr>
            <w:r>
              <w:rPr>
                <w:rFonts w:ascii="宋体" w:eastAsia="宋体" w:hAnsi="宋体" w:cs="宋体"/>
                <w:b w:val="0"/>
                <w:i w:val="0"/>
                <w:color w:val="000000"/>
                <w:sz w:val="14"/>
              </w:rPr>
              <w:t xml:space="preserve">5.46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23.64</w:t>
            </w:r>
          </w:p>
        </w:tc>
        <w:tc>
          <w:tcPr>
            <w:tcW w:w="1160" w:type="dxa"/>
            <w:tcBorders/>
            <w:vAlign w:val="center"/>
          </w:tcPr>
          <w:p>
            <w:pPr>
              <w:jc w:val="right"/>
            </w:pPr>
            <w:r>
              <w:rPr>
                <w:rFonts w:ascii="宋体" w:eastAsia="宋体" w:hAnsi="宋体" w:cs="宋体"/>
                <w:b w:val="0"/>
                <w:i w:val="0"/>
                <w:color w:val="000000"/>
                <w:sz w:val="14"/>
              </w:rPr>
              <w:t xml:space="preserve">23.64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23.64</w:t>
            </w:r>
          </w:p>
        </w:tc>
        <w:tc>
          <w:tcPr>
            <w:tcW w:w="1160" w:type="dxa"/>
            <w:tcBorders/>
            <w:vAlign w:val="center"/>
          </w:tcPr>
          <w:p>
            <w:pPr>
              <w:jc w:val="right"/>
            </w:pPr>
            <w:r>
              <w:rPr>
                <w:rFonts w:ascii="宋体" w:eastAsia="宋体" w:hAnsi="宋体" w:cs="宋体"/>
                <w:b w:val="0"/>
                <w:i w:val="0"/>
                <w:color w:val="000000"/>
                <w:sz w:val="14"/>
              </w:rPr>
              <w:t xml:space="preserve">23.64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7.70</w:t>
            </w:r>
          </w:p>
        </w:tc>
        <w:tc>
          <w:tcPr>
            <w:tcW w:w="1160" w:type="dxa"/>
            <w:tcBorders/>
            <w:vAlign w:val="center"/>
          </w:tcPr>
          <w:p>
            <w:pPr>
              <w:jc w:val="right"/>
            </w:pPr>
            <w:r>
              <w:rPr>
                <w:rFonts w:ascii="宋体" w:eastAsia="宋体" w:hAnsi="宋体" w:cs="宋体"/>
                <w:b w:val="0"/>
                <w:i w:val="0"/>
                <w:color w:val="000000"/>
                <w:sz w:val="14"/>
              </w:rPr>
              <w:t xml:space="preserve">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7.26</w:t>
            </w:r>
          </w:p>
        </w:tc>
        <w:tc>
          <w:tcPr>
            <w:tcW w:w="1160" w:type="dxa"/>
            <w:tcBorders/>
            <w:vAlign w:val="center"/>
          </w:tcPr>
          <w:p>
            <w:pPr>
              <w:jc w:val="right"/>
            </w:pPr>
            <w:r>
              <w:rPr>
                <w:rFonts w:ascii="宋体" w:eastAsia="宋体" w:hAnsi="宋体" w:cs="宋体"/>
                <w:b w:val="0"/>
                <w:i w:val="0"/>
                <w:color w:val="000000"/>
                <w:sz w:val="14"/>
              </w:rPr>
              <w:t xml:space="preserve">7.26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7.15</w:t>
            </w:r>
          </w:p>
        </w:tc>
        <w:tc>
          <w:tcPr>
            <w:tcW w:w="1160" w:type="dxa"/>
            <w:tcBorders/>
            <w:vAlign w:val="center"/>
          </w:tcPr>
          <w:p>
            <w:pPr>
              <w:jc w:val="right"/>
            </w:pPr>
            <w:r>
              <w:rPr>
                <w:rFonts w:ascii="宋体" w:eastAsia="宋体" w:hAnsi="宋体" w:cs="宋体"/>
                <w:b w:val="0"/>
                <w:i w:val="0"/>
                <w:color w:val="000000"/>
                <w:sz w:val="14"/>
              </w:rPr>
              <w:t xml:space="preserve">7.15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16.01</w:t>
            </w:r>
          </w:p>
        </w:tc>
        <w:tc>
          <w:tcPr>
            <w:tcW w:w="1160" w:type="dxa"/>
            <w:tcBorders/>
            <w:vAlign w:val="center"/>
          </w:tcPr>
          <w:p>
            <w:pPr>
              <w:jc w:val="right"/>
            </w:pPr>
            <w:r>
              <w:rPr>
                <w:rFonts w:ascii="宋体" w:eastAsia="宋体" w:hAnsi="宋体" w:cs="宋体"/>
                <w:b w:val="0"/>
                <w:i w:val="0"/>
                <w:color w:val="000000"/>
                <w:sz w:val="14"/>
              </w:rPr>
              <w:t xml:space="preserve">16.01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16.01</w:t>
            </w:r>
          </w:p>
        </w:tc>
        <w:tc>
          <w:tcPr>
            <w:tcW w:w="1160" w:type="dxa"/>
            <w:tcBorders/>
            <w:vAlign w:val="center"/>
          </w:tcPr>
          <w:p>
            <w:pPr>
              <w:jc w:val="right"/>
            </w:pPr>
            <w:r>
              <w:rPr>
                <w:rFonts w:ascii="宋体" w:eastAsia="宋体" w:hAnsi="宋体" w:cs="宋体"/>
                <w:b w:val="0"/>
                <w:i w:val="0"/>
                <w:color w:val="000000"/>
                <w:sz w:val="14"/>
              </w:rPr>
              <w:t xml:space="preserve">16.01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16.01</w:t>
            </w:r>
          </w:p>
        </w:tc>
        <w:tc>
          <w:tcPr>
            <w:tcW w:w="1160" w:type="dxa"/>
            <w:tcBorders/>
            <w:vAlign w:val="center"/>
          </w:tcPr>
          <w:p>
            <w:pPr>
              <w:jc w:val="right"/>
            </w:pPr>
            <w:r>
              <w:rPr>
                <w:rFonts w:ascii="宋体" w:eastAsia="宋体" w:hAnsi="宋体" w:cs="宋体"/>
                <w:b w:val="0"/>
                <w:i w:val="0"/>
                <w:color w:val="000000"/>
                <w:sz w:val="14"/>
              </w:rPr>
              <w:t xml:space="preserve">16.01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298.05</w:t>
            </w:r>
          </w:p>
        </w:tc>
        <w:tc>
          <w:tcPr>
            <w:tcW w:w="1160" w:type="dxa"/>
            <w:tcBorders/>
            <w:vAlign w:val="center"/>
          </w:tcPr>
          <w:p>
            <w:pPr>
              <w:jc w:val="right"/>
            </w:pPr>
            <w:r>
              <w:rPr>
                <w:rFonts w:ascii="宋体" w:eastAsia="宋体" w:hAnsi="宋体" w:cs="宋体"/>
                <w:b w:val="0"/>
                <w:i w:val="0"/>
                <w:color w:val="000000"/>
                <w:sz w:val="14"/>
              </w:rPr>
              <w:t xml:space="preserve">298.05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250.73</w:t>
            </w:r>
          </w:p>
        </w:tc>
        <w:tc>
          <w:tcPr>
            <w:tcW w:w="1160" w:type="dxa"/>
            <w:tcBorders/>
            <w:vAlign w:val="center"/>
          </w:tcPr>
          <w:p>
            <w:pPr>
              <w:jc w:val="right"/>
            </w:pPr>
            <w:r>
              <w:rPr>
                <w:rFonts w:ascii="宋体" w:eastAsia="宋体" w:hAnsi="宋体" w:cs="宋体"/>
                <w:b w:val="0"/>
                <w:i w:val="0"/>
                <w:color w:val="000000"/>
                <w:sz w:val="14"/>
              </w:rPr>
              <w:t xml:space="preserve">250.73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165.53</w:t>
            </w:r>
          </w:p>
        </w:tc>
        <w:tc>
          <w:tcPr>
            <w:tcW w:w="1160" w:type="dxa"/>
            <w:tcBorders/>
            <w:vAlign w:val="center"/>
          </w:tcPr>
          <w:p>
            <w:pPr>
              <w:jc w:val="right"/>
            </w:pPr>
            <w:r>
              <w:rPr>
                <w:rFonts w:ascii="宋体" w:eastAsia="宋体" w:hAnsi="宋体" w:cs="宋体"/>
                <w:b w:val="0"/>
                <w:i w:val="0"/>
                <w:color w:val="000000"/>
                <w:sz w:val="14"/>
              </w:rPr>
              <w:t xml:space="preserve">165.53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12.59</w:t>
            </w:r>
          </w:p>
        </w:tc>
        <w:tc>
          <w:tcPr>
            <w:tcW w:w="1160" w:type="dxa"/>
            <w:tcBorders/>
            <w:vAlign w:val="center"/>
          </w:tcPr>
          <w:p>
            <w:pPr>
              <w:jc w:val="right"/>
            </w:pPr>
            <w:r>
              <w:rPr>
                <w:rFonts w:ascii="宋体" w:eastAsia="宋体" w:hAnsi="宋体" w:cs="宋体"/>
                <w:b w:val="0"/>
                <w:i w:val="0"/>
                <w:color w:val="000000"/>
                <w:sz w:val="14"/>
              </w:rPr>
              <w:t xml:space="preserve">12.59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灾害风险防治</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jc w:val="right"/>
            </w:pPr>
            <w:r>
              <w:rPr>
                <w:rFonts w:ascii="宋体" w:eastAsia="宋体" w:hAnsi="宋体" w:cs="宋体"/>
                <w:b w:val="0"/>
                <w:i w:val="0"/>
                <w:color w:val="000000"/>
                <w:sz w:val="14"/>
              </w:rPr>
              <w:t xml:space="preserve">50.00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安全监管</w:t>
            </w:r>
          </w:p>
        </w:tc>
        <w:tc>
          <w:tcPr>
            <w:tcW w:w="1160" w:type="dxa"/>
            <w:tcBorders/>
            <w:vAlign w:val="center"/>
          </w:tcPr>
          <w:p>
            <w:pPr>
              <w:jc w:val="right"/>
            </w:pPr>
            <w:r>
              <w:rPr>
                <w:rFonts w:ascii="宋体" w:eastAsia="宋体" w:hAnsi="宋体" w:cs="宋体"/>
                <w:b w:val="0"/>
                <w:i w:val="0"/>
                <w:color w:val="000000"/>
                <w:sz w:val="14"/>
              </w:rPr>
              <w:t xml:space="preserve">12.89</w:t>
            </w:r>
          </w:p>
        </w:tc>
        <w:tc>
          <w:tcPr>
            <w:tcW w:w="1160" w:type="dxa"/>
            <w:tcBorders/>
            <w:vAlign w:val="center"/>
          </w:tcPr>
          <w:p>
            <w:pPr>
              <w:jc w:val="right"/>
            </w:pPr>
            <w:r>
              <w:rPr>
                <w:rFonts w:ascii="宋体" w:eastAsia="宋体" w:hAnsi="宋体" w:cs="宋体"/>
                <w:b w:val="0"/>
                <w:i w:val="0"/>
                <w:color w:val="000000"/>
                <w:sz w:val="14"/>
              </w:rPr>
              <w:t xml:space="preserve">12.89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其他应急管理支出</w:t>
            </w:r>
          </w:p>
        </w:tc>
        <w:tc>
          <w:tcPr>
            <w:tcW w:w="1160" w:type="dxa"/>
            <w:tcBorders/>
            <w:vAlign w:val="center"/>
          </w:tcPr>
          <w:p>
            <w:pPr>
              <w:jc w:val="right"/>
            </w:pPr>
            <w:r>
              <w:rPr>
                <w:rFonts w:ascii="宋体" w:eastAsia="宋体" w:hAnsi="宋体" w:cs="宋体"/>
                <w:b w:val="0"/>
                <w:i w:val="0"/>
                <w:color w:val="000000"/>
                <w:sz w:val="14"/>
              </w:rPr>
              <w:t xml:space="preserve">9.72</w:t>
            </w:r>
          </w:p>
        </w:tc>
        <w:tc>
          <w:tcPr>
            <w:tcW w:w="1160" w:type="dxa"/>
            <w:tcBorders/>
            <w:vAlign w:val="center"/>
          </w:tcPr>
          <w:p>
            <w:pPr>
              <w:jc w:val="right"/>
            </w:pPr>
            <w:r>
              <w:rPr>
                <w:rFonts w:ascii="宋体" w:eastAsia="宋体" w:hAnsi="宋体" w:cs="宋体"/>
                <w:b w:val="0"/>
                <w:i w:val="0"/>
                <w:color w:val="000000"/>
                <w:sz w:val="14"/>
              </w:rPr>
              <w:t xml:space="preserve">9.72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自然灾害防治</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其他自然灾害防治支出</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32.20</w:t>
            </w:r>
          </w:p>
        </w:tc>
        <w:tc>
          <w:tcPr>
            <w:tcW w:w="1160" w:type="dxa"/>
            <w:tcBorders/>
            <w:vAlign w:val="center"/>
          </w:tcPr>
          <w:p>
            <w:pPr>
              <w:jc w:val="right"/>
            </w:pPr>
            <w:r>
              <w:rPr>
                <w:rFonts w:ascii="宋体" w:eastAsia="宋体" w:hAnsi="宋体" w:cs="宋体"/>
                <w:b w:val="0"/>
                <w:i w:val="0"/>
                <w:color w:val="000000"/>
                <w:sz w:val="14"/>
              </w:rPr>
              <w:t xml:space="preserve">32.20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32.20</w:t>
            </w:r>
          </w:p>
        </w:tc>
        <w:tc>
          <w:tcPr>
            <w:tcW w:w="1160" w:type="dxa"/>
            <w:tcBorders/>
            <w:vAlign w:val="center"/>
          </w:tcPr>
          <w:p>
            <w:pPr>
              <w:jc w:val="right"/>
            </w:pPr>
            <w:r>
              <w:rPr>
                <w:rFonts w:ascii="宋体" w:eastAsia="宋体" w:hAnsi="宋体" w:cs="宋体"/>
                <w:b w:val="0"/>
                <w:i w:val="0"/>
                <w:color w:val="000000"/>
                <w:sz w:val="14"/>
              </w:rPr>
              <w:t xml:space="preserve">32.20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372.43</w:t>
            </w:r>
          </w:p>
        </w:tc>
        <w:tc>
          <w:tcPr>
            <w:tcW w:w="1120" w:type="dxa"/>
            <w:tcBorders/>
            <w:vAlign w:val="center"/>
          </w:tcPr>
          <w:p>
            <w:pPr>
              <w:jc w:val="right"/>
            </w:pPr>
            <w:r>
              <w:rPr>
                <w:rFonts w:ascii="宋体" w:eastAsia="宋体" w:hAnsi="宋体" w:cs="宋体"/>
                <w:b/>
                <w:i w:val="0"/>
                <w:color w:val="000000"/>
                <w:sz w:val="16"/>
              </w:rPr>
              <w:t xml:space="preserve">239.91</w:t>
            </w:r>
          </w:p>
        </w:tc>
        <w:tc>
          <w:tcPr>
            <w:tcW w:w="1120" w:type="dxa"/>
            <w:tcBorders/>
            <w:vAlign w:val="center"/>
          </w:tcPr>
          <w:p>
            <w:pPr>
              <w:jc w:val="right"/>
            </w:pPr>
            <w:r>
              <w:rPr>
                <w:rFonts w:ascii="宋体" w:eastAsia="宋体" w:hAnsi="宋体" w:cs="宋体"/>
                <w:b/>
                <w:i w:val="0"/>
                <w:color w:val="000000"/>
                <w:sz w:val="16"/>
              </w:rPr>
              <w:t xml:space="preserve">132.52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50.68</w:t>
            </w:r>
          </w:p>
        </w:tc>
        <w:tc>
          <w:tcPr>
            <w:tcW w:w="1120" w:type="dxa"/>
            <w:tcBorders/>
            <w:vAlign w:val="center"/>
          </w:tcPr>
          <w:p>
            <w:pPr>
              <w:jc w:val="right"/>
            </w:pPr>
            <w:r>
              <w:rPr>
                <w:rFonts w:ascii="宋体" w:eastAsia="宋体" w:hAnsi="宋体" w:cs="宋体"/>
                <w:b w:val="0"/>
                <w:i w:val="0"/>
                <w:color w:val="000000"/>
                <w:sz w:val="16"/>
              </w:rPr>
              <w:t xml:space="preserve">50.68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26.61</w:t>
            </w:r>
          </w:p>
        </w:tc>
        <w:tc>
          <w:tcPr>
            <w:tcW w:w="1120" w:type="dxa"/>
            <w:tcBorders/>
            <w:vAlign w:val="center"/>
          </w:tcPr>
          <w:p>
            <w:pPr>
              <w:jc w:val="right"/>
            </w:pPr>
            <w:r>
              <w:rPr>
                <w:rFonts w:ascii="宋体" w:eastAsia="宋体" w:hAnsi="宋体" w:cs="宋体"/>
                <w:b w:val="0"/>
                <w:i w:val="0"/>
                <w:color w:val="000000"/>
                <w:sz w:val="16"/>
              </w:rPr>
              <w:t xml:space="preserve">26.61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1.77</w:t>
            </w:r>
          </w:p>
        </w:tc>
        <w:tc>
          <w:tcPr>
            <w:tcW w:w="1120" w:type="dxa"/>
            <w:tcBorders/>
            <w:vAlign w:val="center"/>
          </w:tcPr>
          <w:p>
            <w:pPr>
              <w:jc w:val="right"/>
            </w:pPr>
            <w:r>
              <w:rPr>
                <w:rFonts w:ascii="宋体" w:eastAsia="宋体" w:hAnsi="宋体" w:cs="宋体"/>
                <w:b w:val="0"/>
                <w:i w:val="0"/>
                <w:color w:val="000000"/>
                <w:sz w:val="16"/>
              </w:rPr>
              <w:t xml:space="preserve">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19.38</w:t>
            </w:r>
          </w:p>
        </w:tc>
        <w:tc>
          <w:tcPr>
            <w:tcW w:w="1120" w:type="dxa"/>
            <w:tcBorders/>
            <w:vAlign w:val="center"/>
          </w:tcPr>
          <w:p>
            <w:pPr>
              <w:jc w:val="right"/>
            </w:pPr>
            <w:r>
              <w:rPr>
                <w:rFonts w:ascii="宋体" w:eastAsia="宋体" w:hAnsi="宋体" w:cs="宋体"/>
                <w:b w:val="0"/>
                <w:i w:val="0"/>
                <w:color w:val="000000"/>
                <w:sz w:val="16"/>
              </w:rPr>
              <w:t xml:space="preserve">19.38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5.46</w:t>
            </w:r>
          </w:p>
        </w:tc>
        <w:tc>
          <w:tcPr>
            <w:tcW w:w="1120" w:type="dxa"/>
            <w:tcBorders/>
            <w:vAlign w:val="center"/>
          </w:tcPr>
          <w:p>
            <w:pPr>
              <w:jc w:val="right"/>
            </w:pPr>
            <w:r>
              <w:rPr>
                <w:rFonts w:ascii="宋体" w:eastAsia="宋体" w:hAnsi="宋体" w:cs="宋体"/>
                <w:b w:val="0"/>
                <w:i w:val="0"/>
                <w:color w:val="000000"/>
                <w:sz w:val="16"/>
              </w:rPr>
              <w:t xml:space="preserve">5.46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23.64</w:t>
            </w:r>
          </w:p>
        </w:tc>
        <w:tc>
          <w:tcPr>
            <w:tcW w:w="1120" w:type="dxa"/>
            <w:tcBorders/>
            <w:vAlign w:val="center"/>
          </w:tcPr>
          <w:p>
            <w:pPr>
              <w:jc w:val="right"/>
            </w:pPr>
            <w:r>
              <w:rPr>
                <w:rFonts w:ascii="宋体" w:eastAsia="宋体" w:hAnsi="宋体" w:cs="宋体"/>
                <w:b w:val="0"/>
                <w:i w:val="0"/>
                <w:color w:val="000000"/>
                <w:sz w:val="16"/>
              </w:rPr>
              <w:t xml:space="preserve">23.64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23.64</w:t>
            </w:r>
          </w:p>
        </w:tc>
        <w:tc>
          <w:tcPr>
            <w:tcW w:w="1120" w:type="dxa"/>
            <w:tcBorders/>
            <w:vAlign w:val="center"/>
          </w:tcPr>
          <w:p>
            <w:pPr>
              <w:jc w:val="right"/>
            </w:pPr>
            <w:r>
              <w:rPr>
                <w:rFonts w:ascii="宋体" w:eastAsia="宋体" w:hAnsi="宋体" w:cs="宋体"/>
                <w:b w:val="0"/>
                <w:i w:val="0"/>
                <w:color w:val="000000"/>
                <w:sz w:val="16"/>
              </w:rPr>
              <w:t xml:space="preserve">23.64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7.70</w:t>
            </w:r>
          </w:p>
        </w:tc>
        <w:tc>
          <w:tcPr>
            <w:tcW w:w="1120" w:type="dxa"/>
            <w:tcBorders/>
            <w:vAlign w:val="center"/>
          </w:tcPr>
          <w:p>
            <w:pPr>
              <w:jc w:val="right"/>
            </w:pPr>
            <w:r>
              <w:rPr>
                <w:rFonts w:ascii="宋体" w:eastAsia="宋体" w:hAnsi="宋体" w:cs="宋体"/>
                <w:b w:val="0"/>
                <w:i w:val="0"/>
                <w:color w:val="000000"/>
                <w:sz w:val="16"/>
              </w:rPr>
              <w:t xml:space="preserve">7.70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7.26</w:t>
            </w:r>
          </w:p>
        </w:tc>
        <w:tc>
          <w:tcPr>
            <w:tcW w:w="1120" w:type="dxa"/>
            <w:tcBorders/>
            <w:vAlign w:val="center"/>
          </w:tcPr>
          <w:p>
            <w:pPr>
              <w:jc w:val="right"/>
            </w:pPr>
            <w:r>
              <w:rPr>
                <w:rFonts w:ascii="宋体" w:eastAsia="宋体" w:hAnsi="宋体" w:cs="宋体"/>
                <w:b w:val="0"/>
                <w:i w:val="0"/>
                <w:color w:val="000000"/>
                <w:sz w:val="16"/>
              </w:rPr>
              <w:t xml:space="preserve">7.26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7.15</w:t>
            </w:r>
          </w:p>
        </w:tc>
        <w:tc>
          <w:tcPr>
            <w:tcW w:w="1120" w:type="dxa"/>
            <w:tcBorders/>
            <w:vAlign w:val="center"/>
          </w:tcPr>
          <w:p>
            <w:pPr>
              <w:jc w:val="right"/>
            </w:pPr>
            <w:r>
              <w:rPr>
                <w:rFonts w:ascii="宋体" w:eastAsia="宋体" w:hAnsi="宋体" w:cs="宋体"/>
                <w:b w:val="0"/>
                <w:i w:val="0"/>
                <w:color w:val="000000"/>
                <w:sz w:val="16"/>
              </w:rPr>
              <w:t xml:space="preserve">7.15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16.01</w:t>
            </w:r>
          </w:p>
        </w:tc>
        <w:tc>
          <w:tcPr>
            <w:tcW w:w="1120" w:type="dxa"/>
            <w:tcBorders/>
            <w:vAlign w:val="center"/>
          </w:tcPr>
          <w:p>
            <w:pPr>
              <w:jc w:val="right"/>
            </w:pPr>
            <w:r>
              <w:rPr>
                <w:rFonts w:ascii="宋体" w:eastAsia="宋体" w:hAnsi="宋体" w:cs="宋体"/>
                <w:b w:val="0"/>
                <w:i w:val="0"/>
                <w:color w:val="000000"/>
                <w:sz w:val="16"/>
              </w:rPr>
              <w:t xml:space="preserve">16.01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16.01</w:t>
            </w:r>
          </w:p>
        </w:tc>
        <w:tc>
          <w:tcPr>
            <w:tcW w:w="1120" w:type="dxa"/>
            <w:tcBorders/>
            <w:vAlign w:val="center"/>
          </w:tcPr>
          <w:p>
            <w:pPr>
              <w:jc w:val="right"/>
            </w:pPr>
            <w:r>
              <w:rPr>
                <w:rFonts w:ascii="宋体" w:eastAsia="宋体" w:hAnsi="宋体" w:cs="宋体"/>
                <w:b w:val="0"/>
                <w:i w:val="0"/>
                <w:color w:val="000000"/>
                <w:sz w:val="16"/>
              </w:rPr>
              <w:t xml:space="preserve">16.01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16.01</w:t>
            </w:r>
          </w:p>
        </w:tc>
        <w:tc>
          <w:tcPr>
            <w:tcW w:w="1120" w:type="dxa"/>
            <w:tcBorders/>
            <w:vAlign w:val="center"/>
          </w:tcPr>
          <w:p>
            <w:pPr>
              <w:jc w:val="right"/>
            </w:pPr>
            <w:r>
              <w:rPr>
                <w:rFonts w:ascii="宋体" w:eastAsia="宋体" w:hAnsi="宋体" w:cs="宋体"/>
                <w:b w:val="0"/>
                <w:i w:val="0"/>
                <w:color w:val="000000"/>
                <w:sz w:val="16"/>
              </w:rPr>
              <w:t xml:space="preserve">16.01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298.05</w:t>
            </w:r>
          </w:p>
        </w:tc>
        <w:tc>
          <w:tcPr>
            <w:tcW w:w="1120" w:type="dxa"/>
            <w:tcBorders/>
            <w:vAlign w:val="center"/>
          </w:tcPr>
          <w:p>
            <w:pPr>
              <w:jc w:val="right"/>
            </w:pPr>
            <w:r>
              <w:rPr>
                <w:rFonts w:ascii="宋体" w:eastAsia="宋体" w:hAnsi="宋体" w:cs="宋体"/>
                <w:b w:val="0"/>
                <w:i w:val="0"/>
                <w:color w:val="000000"/>
                <w:sz w:val="16"/>
              </w:rPr>
              <w:t xml:space="preserve">165.53</w:t>
            </w:r>
          </w:p>
        </w:tc>
        <w:tc>
          <w:tcPr>
            <w:tcW w:w="1120" w:type="dxa"/>
            <w:tcBorders/>
            <w:vAlign w:val="center"/>
          </w:tcPr>
          <w:p>
            <w:pPr>
              <w:jc w:val="right"/>
            </w:pPr>
            <w:r>
              <w:rPr>
                <w:rFonts w:ascii="宋体" w:eastAsia="宋体" w:hAnsi="宋体" w:cs="宋体"/>
                <w:b w:val="0"/>
                <w:i w:val="0"/>
                <w:color w:val="000000"/>
                <w:sz w:val="16"/>
              </w:rPr>
              <w:t xml:space="preserve">132.52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250.73</w:t>
            </w:r>
          </w:p>
        </w:tc>
        <w:tc>
          <w:tcPr>
            <w:tcW w:w="1120" w:type="dxa"/>
            <w:tcBorders/>
            <w:vAlign w:val="center"/>
          </w:tcPr>
          <w:p>
            <w:pPr>
              <w:jc w:val="right"/>
            </w:pPr>
            <w:r>
              <w:rPr>
                <w:rFonts w:ascii="宋体" w:eastAsia="宋体" w:hAnsi="宋体" w:cs="宋体"/>
                <w:b w:val="0"/>
                <w:i w:val="0"/>
                <w:color w:val="000000"/>
                <w:sz w:val="16"/>
              </w:rPr>
              <w:t xml:space="preserve">165.53</w:t>
            </w:r>
          </w:p>
        </w:tc>
        <w:tc>
          <w:tcPr>
            <w:tcW w:w="1120" w:type="dxa"/>
            <w:tcBorders/>
            <w:vAlign w:val="center"/>
          </w:tcPr>
          <w:p>
            <w:pPr>
              <w:jc w:val="right"/>
            </w:pPr>
            <w:r>
              <w:rPr>
                <w:rFonts w:ascii="宋体" w:eastAsia="宋体" w:hAnsi="宋体" w:cs="宋体"/>
                <w:b w:val="0"/>
                <w:i w:val="0"/>
                <w:color w:val="000000"/>
                <w:sz w:val="16"/>
              </w:rPr>
              <w:t xml:space="preserve">85.20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165.53</w:t>
            </w:r>
          </w:p>
        </w:tc>
        <w:tc>
          <w:tcPr>
            <w:tcW w:w="1120" w:type="dxa"/>
            <w:tcBorders/>
            <w:vAlign w:val="center"/>
          </w:tcPr>
          <w:p>
            <w:pPr>
              <w:jc w:val="right"/>
            </w:pPr>
            <w:r>
              <w:rPr>
                <w:rFonts w:ascii="宋体" w:eastAsia="宋体" w:hAnsi="宋体" w:cs="宋体"/>
                <w:b w:val="0"/>
                <w:i w:val="0"/>
                <w:color w:val="000000"/>
                <w:sz w:val="16"/>
              </w:rPr>
              <w:t xml:space="preserve">165.53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12.59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灾害风险防治</w:t>
            </w: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安全监管</w:t>
            </w:r>
          </w:p>
        </w:tc>
        <w:tc>
          <w:tcPr>
            <w:tcW w:w="1120" w:type="dxa"/>
            <w:tcBorders/>
            <w:vAlign w:val="center"/>
          </w:tcPr>
          <w:p>
            <w:pPr>
              <w:jc w:val="right"/>
            </w:pPr>
            <w:r>
              <w:rPr>
                <w:rFonts w:ascii="宋体" w:eastAsia="宋体" w:hAnsi="宋体" w:cs="宋体"/>
                <w:b w:val="0"/>
                <w:i w:val="0"/>
                <w:color w:val="000000"/>
                <w:sz w:val="16"/>
              </w:rPr>
              <w:t xml:space="preserve">12.89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其他应急管理支出</w:t>
            </w:r>
          </w:p>
        </w:tc>
        <w:tc>
          <w:tcPr>
            <w:tcW w:w="1120" w:type="dxa"/>
            <w:tcBorders/>
            <w:vAlign w:val="center"/>
          </w:tcPr>
          <w:p>
            <w:pPr>
              <w:jc w:val="right"/>
            </w:pPr>
            <w:r>
              <w:rPr>
                <w:rFonts w:ascii="宋体" w:eastAsia="宋体" w:hAnsi="宋体" w:cs="宋体"/>
                <w:b w:val="0"/>
                <w:i w:val="0"/>
                <w:color w:val="000000"/>
                <w:sz w:val="16"/>
              </w:rPr>
              <w:t xml:space="preserve">9.72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自然灾害防治</w:t>
            </w: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其他自然灾害防治支出</w:t>
            </w: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32.20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32.20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372.43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50.68</w:t>
            </w:r>
          </w:p>
        </w:tc>
        <w:tc>
          <w:tcPr>
            <w:tcW w:w="1100" w:type="dxa"/>
            <w:tcBorders/>
            <w:vAlign w:val="center"/>
          </w:tcPr>
          <w:p>
            <w:pPr>
              <w:jc w:val="right"/>
            </w:pPr>
            <w:r>
              <w:rPr>
                <w:rFonts w:ascii="宋体" w:eastAsia="宋体" w:hAnsi="宋体" w:cs="宋体"/>
                <w:b w:val="0"/>
                <w:i w:val="0"/>
                <w:color w:val="000000"/>
                <w:sz w:val="14"/>
              </w:rPr>
              <w:t xml:space="preserve">50.68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7.69</w:t>
            </w:r>
          </w:p>
        </w:tc>
        <w:tc>
          <w:tcPr>
            <w:tcW w:w="1100" w:type="dxa"/>
            <w:tcBorders/>
            <w:vAlign w:val="center"/>
          </w:tcPr>
          <w:p>
            <w:pPr>
              <w:jc w:val="right"/>
            </w:pPr>
            <w:r>
              <w:rPr>
                <w:rFonts w:ascii="宋体" w:eastAsia="宋体" w:hAnsi="宋体" w:cs="宋体"/>
                <w:b w:val="0"/>
                <w:i w:val="0"/>
                <w:color w:val="000000"/>
                <w:sz w:val="14"/>
              </w:rPr>
              <w:t xml:space="preserve">7.69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16.01</w:t>
            </w:r>
          </w:p>
        </w:tc>
        <w:tc>
          <w:tcPr>
            <w:tcW w:w="1100" w:type="dxa"/>
            <w:tcBorders/>
            <w:vAlign w:val="center"/>
          </w:tcPr>
          <w:p>
            <w:pPr>
              <w:jc w:val="right"/>
            </w:pPr>
            <w:r>
              <w:rPr>
                <w:rFonts w:ascii="宋体" w:eastAsia="宋体" w:hAnsi="宋体" w:cs="宋体"/>
                <w:b w:val="0"/>
                <w:i w:val="0"/>
                <w:color w:val="000000"/>
                <w:sz w:val="14"/>
              </w:rPr>
              <w:t xml:space="preserve">16.01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298.05</w:t>
            </w:r>
          </w:p>
        </w:tc>
        <w:tc>
          <w:tcPr>
            <w:tcW w:w="1100" w:type="dxa"/>
            <w:tcBorders/>
            <w:vAlign w:val="center"/>
          </w:tcPr>
          <w:p>
            <w:pPr>
              <w:jc w:val="right"/>
            </w:pPr>
            <w:r>
              <w:rPr>
                <w:rFonts w:ascii="宋体" w:eastAsia="宋体" w:hAnsi="宋体" w:cs="宋体"/>
                <w:b w:val="0"/>
                <w:i w:val="0"/>
                <w:color w:val="000000"/>
                <w:sz w:val="14"/>
              </w:rPr>
              <w:t xml:space="preserve">298.05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372.43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372.43</w:t>
            </w:r>
          </w:p>
        </w:tc>
        <w:tc>
          <w:tcPr>
            <w:tcW w:w="1100" w:type="dxa"/>
            <w:tcBorders/>
            <w:vAlign w:val="center"/>
          </w:tcPr>
          <w:p>
            <w:pPr>
              <w:jc w:val="right"/>
            </w:pPr>
            <w:r>
              <w:rPr>
                <w:rFonts w:ascii="宋体" w:eastAsia="宋体" w:hAnsi="宋体" w:cs="宋体"/>
                <w:b w:val="0"/>
                <w:i w:val="0"/>
                <w:color w:val="000000"/>
                <w:sz w:val="14"/>
              </w:rPr>
              <w:t xml:space="preserve">372.43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372.43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372.43</w:t>
            </w:r>
          </w:p>
        </w:tc>
        <w:tc>
          <w:tcPr>
            <w:tcW w:w="1100" w:type="dxa"/>
            <w:tcBorders/>
            <w:vAlign w:val="center"/>
          </w:tcPr>
          <w:p>
            <w:pPr>
              <w:jc w:val="right"/>
            </w:pPr>
            <w:r>
              <w:rPr>
                <w:rFonts w:ascii="宋体" w:eastAsia="宋体" w:hAnsi="宋体" w:cs="宋体"/>
                <w:b w:val="0"/>
                <w:i w:val="0"/>
                <w:color w:val="000000"/>
                <w:sz w:val="14"/>
              </w:rPr>
              <w:t xml:space="preserve">372.43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372.43</w:t>
            </w:r>
          </w:p>
        </w:tc>
        <w:tc>
          <w:tcPr>
            <w:tcW w:w="1980" w:type="dxa"/>
            <w:tcBorders/>
            <w:vAlign w:val="center"/>
          </w:tcPr>
          <w:p>
            <w:pPr>
              <w:jc w:val="right"/>
            </w:pPr>
            <w:r>
              <w:rPr>
                <w:rFonts w:ascii="宋体" w:eastAsia="宋体" w:hAnsi="宋体" w:cs="宋体"/>
                <w:b/>
                <w:i w:val="0"/>
                <w:color w:val="000000"/>
                <w:sz w:val="20"/>
              </w:rPr>
              <w:t xml:space="preserve">239.91</w:t>
            </w:r>
          </w:p>
        </w:tc>
        <w:tc>
          <w:tcPr>
            <w:tcW w:w="1952" w:type="dxa"/>
            <w:tcBorders/>
            <w:vAlign w:val="center"/>
          </w:tcPr>
          <w:p>
            <w:pPr>
              <w:jc w:val="right"/>
            </w:pPr>
            <w:r>
              <w:rPr>
                <w:rFonts w:ascii="宋体" w:eastAsia="宋体" w:hAnsi="宋体" w:cs="宋体"/>
                <w:b/>
                <w:i w:val="0"/>
                <w:color w:val="000000"/>
                <w:sz w:val="20"/>
              </w:rPr>
              <w:t xml:space="preserve">132.52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50.68</w:t>
            </w:r>
          </w:p>
        </w:tc>
        <w:tc>
          <w:tcPr>
            <w:tcW w:w="1980" w:type="dxa"/>
            <w:tcBorders/>
            <w:vAlign w:val="center"/>
          </w:tcPr>
          <w:p>
            <w:pPr>
              <w:jc w:val="right"/>
            </w:pPr>
            <w:r>
              <w:rPr>
                <w:rFonts w:ascii="宋体" w:eastAsia="宋体" w:hAnsi="宋体" w:cs="宋体"/>
                <w:b w:val="0"/>
                <w:i w:val="0"/>
                <w:color w:val="000000"/>
                <w:sz w:val="20"/>
              </w:rPr>
              <w:t xml:space="preserve">50.68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26.61</w:t>
            </w:r>
          </w:p>
        </w:tc>
        <w:tc>
          <w:tcPr>
            <w:tcW w:w="1980" w:type="dxa"/>
            <w:tcBorders/>
            <w:vAlign w:val="center"/>
          </w:tcPr>
          <w:p>
            <w:pPr>
              <w:jc w:val="right"/>
            </w:pPr>
            <w:r>
              <w:rPr>
                <w:rFonts w:ascii="宋体" w:eastAsia="宋体" w:hAnsi="宋体" w:cs="宋体"/>
                <w:b w:val="0"/>
                <w:i w:val="0"/>
                <w:color w:val="000000"/>
                <w:sz w:val="20"/>
              </w:rPr>
              <w:t xml:space="preserve">26.61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1.77</w:t>
            </w:r>
          </w:p>
        </w:tc>
        <w:tc>
          <w:tcPr>
            <w:tcW w:w="1980" w:type="dxa"/>
            <w:tcBorders/>
            <w:vAlign w:val="center"/>
          </w:tcPr>
          <w:p>
            <w:pPr>
              <w:jc w:val="right"/>
            </w:pPr>
            <w:r>
              <w:rPr>
                <w:rFonts w:ascii="宋体" w:eastAsia="宋体" w:hAnsi="宋体" w:cs="宋体"/>
                <w:b w:val="0"/>
                <w:i w:val="0"/>
                <w:color w:val="000000"/>
                <w:sz w:val="20"/>
              </w:rPr>
              <w:t xml:space="preserve">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19.38</w:t>
            </w:r>
          </w:p>
        </w:tc>
        <w:tc>
          <w:tcPr>
            <w:tcW w:w="1980" w:type="dxa"/>
            <w:tcBorders/>
            <w:vAlign w:val="center"/>
          </w:tcPr>
          <w:p>
            <w:pPr>
              <w:jc w:val="right"/>
            </w:pPr>
            <w:r>
              <w:rPr>
                <w:rFonts w:ascii="宋体" w:eastAsia="宋体" w:hAnsi="宋体" w:cs="宋体"/>
                <w:b w:val="0"/>
                <w:i w:val="0"/>
                <w:color w:val="000000"/>
                <w:sz w:val="20"/>
              </w:rPr>
              <w:t xml:space="preserve">19.38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5.46</w:t>
            </w:r>
          </w:p>
        </w:tc>
        <w:tc>
          <w:tcPr>
            <w:tcW w:w="1980" w:type="dxa"/>
            <w:tcBorders/>
            <w:vAlign w:val="center"/>
          </w:tcPr>
          <w:p>
            <w:pPr>
              <w:jc w:val="right"/>
            </w:pPr>
            <w:r>
              <w:rPr>
                <w:rFonts w:ascii="宋体" w:eastAsia="宋体" w:hAnsi="宋体" w:cs="宋体"/>
                <w:b w:val="0"/>
                <w:i w:val="0"/>
                <w:color w:val="000000"/>
                <w:sz w:val="20"/>
              </w:rPr>
              <w:t xml:space="preserve">5.46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23.64</w:t>
            </w:r>
          </w:p>
        </w:tc>
        <w:tc>
          <w:tcPr>
            <w:tcW w:w="1980" w:type="dxa"/>
            <w:tcBorders/>
            <w:vAlign w:val="center"/>
          </w:tcPr>
          <w:p>
            <w:pPr>
              <w:jc w:val="right"/>
            </w:pPr>
            <w:r>
              <w:rPr>
                <w:rFonts w:ascii="宋体" w:eastAsia="宋体" w:hAnsi="宋体" w:cs="宋体"/>
                <w:b w:val="0"/>
                <w:i w:val="0"/>
                <w:color w:val="000000"/>
                <w:sz w:val="20"/>
              </w:rPr>
              <w:t xml:space="preserve">23.64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23.64</w:t>
            </w:r>
          </w:p>
        </w:tc>
        <w:tc>
          <w:tcPr>
            <w:tcW w:w="1980" w:type="dxa"/>
            <w:tcBorders/>
            <w:vAlign w:val="center"/>
          </w:tcPr>
          <w:p>
            <w:pPr>
              <w:jc w:val="right"/>
            </w:pPr>
            <w:r>
              <w:rPr>
                <w:rFonts w:ascii="宋体" w:eastAsia="宋体" w:hAnsi="宋体" w:cs="宋体"/>
                <w:b w:val="0"/>
                <w:i w:val="0"/>
                <w:color w:val="000000"/>
                <w:sz w:val="20"/>
              </w:rPr>
              <w:t xml:space="preserve">23.64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7.70</w:t>
            </w:r>
          </w:p>
        </w:tc>
        <w:tc>
          <w:tcPr>
            <w:tcW w:w="1980" w:type="dxa"/>
            <w:tcBorders/>
            <w:vAlign w:val="center"/>
          </w:tcPr>
          <w:p>
            <w:pPr>
              <w:jc w:val="right"/>
            </w:pPr>
            <w:r>
              <w:rPr>
                <w:rFonts w:ascii="宋体" w:eastAsia="宋体" w:hAnsi="宋体" w:cs="宋体"/>
                <w:b w:val="0"/>
                <w:i w:val="0"/>
                <w:color w:val="000000"/>
                <w:sz w:val="20"/>
              </w:rPr>
              <w:t xml:space="preserve">7.70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7.26</w:t>
            </w:r>
          </w:p>
        </w:tc>
        <w:tc>
          <w:tcPr>
            <w:tcW w:w="1980" w:type="dxa"/>
            <w:tcBorders/>
            <w:vAlign w:val="center"/>
          </w:tcPr>
          <w:p>
            <w:pPr>
              <w:jc w:val="right"/>
            </w:pPr>
            <w:r>
              <w:rPr>
                <w:rFonts w:ascii="宋体" w:eastAsia="宋体" w:hAnsi="宋体" w:cs="宋体"/>
                <w:b w:val="0"/>
                <w:i w:val="0"/>
                <w:color w:val="000000"/>
                <w:sz w:val="20"/>
              </w:rPr>
              <w:t xml:space="preserve">7.26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7.15</w:t>
            </w:r>
          </w:p>
        </w:tc>
        <w:tc>
          <w:tcPr>
            <w:tcW w:w="1980" w:type="dxa"/>
            <w:tcBorders/>
            <w:vAlign w:val="center"/>
          </w:tcPr>
          <w:p>
            <w:pPr>
              <w:jc w:val="right"/>
            </w:pPr>
            <w:r>
              <w:rPr>
                <w:rFonts w:ascii="宋体" w:eastAsia="宋体" w:hAnsi="宋体" w:cs="宋体"/>
                <w:b w:val="0"/>
                <w:i w:val="0"/>
                <w:color w:val="000000"/>
                <w:sz w:val="20"/>
              </w:rPr>
              <w:t xml:space="preserve">7.15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16.01</w:t>
            </w:r>
          </w:p>
        </w:tc>
        <w:tc>
          <w:tcPr>
            <w:tcW w:w="1980" w:type="dxa"/>
            <w:tcBorders/>
            <w:vAlign w:val="center"/>
          </w:tcPr>
          <w:p>
            <w:pPr>
              <w:jc w:val="right"/>
            </w:pPr>
            <w:r>
              <w:rPr>
                <w:rFonts w:ascii="宋体" w:eastAsia="宋体" w:hAnsi="宋体" w:cs="宋体"/>
                <w:b w:val="0"/>
                <w:i w:val="0"/>
                <w:color w:val="000000"/>
                <w:sz w:val="20"/>
              </w:rPr>
              <w:t xml:space="preserve">16.01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16.01</w:t>
            </w:r>
          </w:p>
        </w:tc>
        <w:tc>
          <w:tcPr>
            <w:tcW w:w="1980" w:type="dxa"/>
            <w:tcBorders/>
            <w:vAlign w:val="center"/>
          </w:tcPr>
          <w:p>
            <w:pPr>
              <w:jc w:val="right"/>
            </w:pPr>
            <w:r>
              <w:rPr>
                <w:rFonts w:ascii="宋体" w:eastAsia="宋体" w:hAnsi="宋体" w:cs="宋体"/>
                <w:b w:val="0"/>
                <w:i w:val="0"/>
                <w:color w:val="000000"/>
                <w:sz w:val="20"/>
              </w:rPr>
              <w:t xml:space="preserve">16.01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16.01</w:t>
            </w:r>
          </w:p>
        </w:tc>
        <w:tc>
          <w:tcPr>
            <w:tcW w:w="1980" w:type="dxa"/>
            <w:tcBorders/>
            <w:vAlign w:val="center"/>
          </w:tcPr>
          <w:p>
            <w:pPr>
              <w:jc w:val="right"/>
            </w:pPr>
            <w:r>
              <w:rPr>
                <w:rFonts w:ascii="宋体" w:eastAsia="宋体" w:hAnsi="宋体" w:cs="宋体"/>
                <w:b w:val="0"/>
                <w:i w:val="0"/>
                <w:color w:val="000000"/>
                <w:sz w:val="20"/>
              </w:rPr>
              <w:t xml:space="preserve">16.01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298.05</w:t>
            </w:r>
          </w:p>
        </w:tc>
        <w:tc>
          <w:tcPr>
            <w:tcW w:w="1980" w:type="dxa"/>
            <w:tcBorders/>
            <w:vAlign w:val="center"/>
          </w:tcPr>
          <w:p>
            <w:pPr>
              <w:jc w:val="right"/>
            </w:pPr>
            <w:r>
              <w:rPr>
                <w:rFonts w:ascii="宋体" w:eastAsia="宋体" w:hAnsi="宋体" w:cs="宋体"/>
                <w:b w:val="0"/>
                <w:i w:val="0"/>
                <w:color w:val="000000"/>
                <w:sz w:val="20"/>
              </w:rPr>
              <w:t xml:space="preserve">165.53</w:t>
            </w:r>
          </w:p>
        </w:tc>
        <w:tc>
          <w:tcPr>
            <w:tcW w:w="1952" w:type="dxa"/>
            <w:tcBorders/>
            <w:vAlign w:val="center"/>
          </w:tcPr>
          <w:p>
            <w:pPr>
              <w:jc w:val="right"/>
            </w:pPr>
            <w:r>
              <w:rPr>
                <w:rFonts w:ascii="宋体" w:eastAsia="宋体" w:hAnsi="宋体" w:cs="宋体"/>
                <w:b w:val="0"/>
                <w:i w:val="0"/>
                <w:color w:val="000000"/>
                <w:sz w:val="20"/>
              </w:rPr>
              <w:t xml:space="preserve">132.52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250.73</w:t>
            </w:r>
          </w:p>
        </w:tc>
        <w:tc>
          <w:tcPr>
            <w:tcW w:w="1980" w:type="dxa"/>
            <w:tcBorders/>
            <w:vAlign w:val="center"/>
          </w:tcPr>
          <w:p>
            <w:pPr>
              <w:jc w:val="right"/>
            </w:pPr>
            <w:r>
              <w:rPr>
                <w:rFonts w:ascii="宋体" w:eastAsia="宋体" w:hAnsi="宋体" w:cs="宋体"/>
                <w:b w:val="0"/>
                <w:i w:val="0"/>
                <w:color w:val="000000"/>
                <w:sz w:val="20"/>
              </w:rPr>
              <w:t xml:space="preserve">165.53</w:t>
            </w:r>
          </w:p>
        </w:tc>
        <w:tc>
          <w:tcPr>
            <w:tcW w:w="1952" w:type="dxa"/>
            <w:tcBorders/>
            <w:vAlign w:val="center"/>
          </w:tcPr>
          <w:p>
            <w:pPr>
              <w:jc w:val="right"/>
            </w:pPr>
            <w:r>
              <w:rPr>
                <w:rFonts w:ascii="宋体" w:eastAsia="宋体" w:hAnsi="宋体" w:cs="宋体"/>
                <w:b w:val="0"/>
                <w:i w:val="0"/>
                <w:color w:val="000000"/>
                <w:sz w:val="20"/>
              </w:rPr>
              <w:t xml:space="preserve">85.20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165.53</w:t>
            </w:r>
          </w:p>
        </w:tc>
        <w:tc>
          <w:tcPr>
            <w:tcW w:w="1980" w:type="dxa"/>
            <w:tcBorders/>
            <w:vAlign w:val="center"/>
          </w:tcPr>
          <w:p>
            <w:pPr>
              <w:jc w:val="right"/>
            </w:pPr>
            <w:r>
              <w:rPr>
                <w:rFonts w:ascii="宋体" w:eastAsia="宋体" w:hAnsi="宋体" w:cs="宋体"/>
                <w:b w:val="0"/>
                <w:i w:val="0"/>
                <w:color w:val="000000"/>
                <w:sz w:val="20"/>
              </w:rPr>
              <w:t xml:space="preserve">165.53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12.59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灾害风险防治</w:t>
            </w:r>
          </w:p>
        </w:tc>
        <w:tc>
          <w:tcPr>
            <w:tcW w:w="1980" w:type="dxa"/>
            <w:tcBorders/>
            <w:vAlign w:val="center"/>
          </w:tcPr>
          <w:p>
            <w:pPr>
              <w:jc w:val="right"/>
            </w:pPr>
            <w:r>
              <w:rPr>
                <w:rFonts w:ascii="宋体" w:eastAsia="宋体" w:hAnsi="宋体" w:cs="宋体"/>
                <w:b w:val="0"/>
                <w:i w:val="0"/>
                <w:color w:val="000000"/>
                <w:sz w:val="20"/>
              </w:rPr>
              <w:t xml:space="preserve">50.00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安全监管</w:t>
            </w:r>
          </w:p>
        </w:tc>
        <w:tc>
          <w:tcPr>
            <w:tcW w:w="1980" w:type="dxa"/>
            <w:tcBorders/>
            <w:vAlign w:val="center"/>
          </w:tcPr>
          <w:p>
            <w:pPr>
              <w:jc w:val="right"/>
            </w:pPr>
            <w:r>
              <w:rPr>
                <w:rFonts w:ascii="宋体" w:eastAsia="宋体" w:hAnsi="宋体" w:cs="宋体"/>
                <w:b w:val="0"/>
                <w:i w:val="0"/>
                <w:color w:val="000000"/>
                <w:sz w:val="20"/>
              </w:rPr>
              <w:t xml:space="preserve">12.89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其他应急管理支出</w:t>
            </w:r>
          </w:p>
        </w:tc>
        <w:tc>
          <w:tcPr>
            <w:tcW w:w="1980" w:type="dxa"/>
            <w:tcBorders/>
            <w:vAlign w:val="center"/>
          </w:tcPr>
          <w:p>
            <w:pPr>
              <w:jc w:val="right"/>
            </w:pPr>
            <w:r>
              <w:rPr>
                <w:rFonts w:ascii="宋体" w:eastAsia="宋体" w:hAnsi="宋体" w:cs="宋体"/>
                <w:b w:val="0"/>
                <w:i w:val="0"/>
                <w:color w:val="000000"/>
                <w:sz w:val="20"/>
              </w:rPr>
              <w:t xml:space="preserve">9.72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自然灾害防治</w:t>
            </w:r>
          </w:p>
        </w:tc>
        <w:tc>
          <w:tcPr>
            <w:tcW w:w="1980" w:type="dxa"/>
            <w:tcBorders/>
            <w:vAlign w:val="center"/>
          </w:tcPr>
          <w:p>
            <w:pPr>
              <w:jc w:val="right"/>
            </w:pPr>
            <w:r>
              <w:rPr>
                <w:rFonts w:ascii="宋体" w:eastAsia="宋体" w:hAnsi="宋体" w:cs="宋体"/>
                <w:b w:val="0"/>
                <w:i w:val="0"/>
                <w:color w:val="000000"/>
                <w:sz w:val="20"/>
              </w:rPr>
              <w:t xml:space="preserve">15.12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其他自然灾害防治支出</w:t>
            </w:r>
          </w:p>
        </w:tc>
        <w:tc>
          <w:tcPr>
            <w:tcW w:w="1980" w:type="dxa"/>
            <w:tcBorders/>
            <w:vAlign w:val="center"/>
          </w:tcPr>
          <w:p>
            <w:pPr>
              <w:jc w:val="right"/>
            </w:pPr>
            <w:r>
              <w:rPr>
                <w:rFonts w:ascii="宋体" w:eastAsia="宋体" w:hAnsi="宋体" w:cs="宋体"/>
                <w:b w:val="0"/>
                <w:i w:val="0"/>
                <w:color w:val="000000"/>
                <w:sz w:val="20"/>
              </w:rPr>
              <w:t xml:space="preserve">15.12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32.20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32.20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32.20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190.77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23.30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62.67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3.79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42.12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25.85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19.38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5.46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7.15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16.01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11.59</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25.84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1.72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23.64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0.44</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6.28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12.51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216.61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23.30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6.28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6.28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6.28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（2022年度）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032001盘锦市大洼区应急管理局本级-211104000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183.62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183.62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140.55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140.54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20.49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20.49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10.79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做好全年公用经费、人员经费保障工作。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有利于维护国家安全</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维护安全</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受援人员满意度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多部门协同联动</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多方配合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