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辽宁省盘锦市大洼区营商环境建设局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辽宁省盘锦市大洼区营商环境建设局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辽宁省盘锦市大洼区营商环境建设局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辽宁省盘锦市大洼区营商环境建设局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辽宁省盘锦市大洼区营商环境建设局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辽宁省盘锦市大洼区营商环境建设局概况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br/>
        <w:t xml:space="preserve">    （二）拟订全区营商环境建设工作规划和年度计划，拟订加强和优化全区营商环境建设的政策、措施和制度并组织实施，组织指导、统筹协调各镇街、经济区、各部门营商环境建设工作及信息统计、数据分析等工作。</w:t>
        <w:br/>
        <w:t xml:space="preserve">    （三）负责全区营商环境建设监督检查工作，受理相关投诉、举报，查处营商环境建设违法、违纪、违规行为。</w:t>
        <w:br/>
        <w:t xml:space="preserve">    （四）根据有关部署对全区贯彻落实区委、区政府关于优化营商环境建设工作进行考评。</w:t>
        <w:br/>
        <w:t xml:space="preserve">    （五）负责推进全区简政放权放管结合优化服务改革及行政审批制度改革工作，指导镇街简政放权放管结合优化服务改革及行政审批制度改革工作。</w:t>
        <w:br/>
        <w:t xml:space="preserve">    （六）负责制定全区政务服务运行规章制度、管理考核办法，并组织实施。负责区政务服务中心的运行和管理，负责对进驻服务中心政务服务事项的组织协调、监督管理、指导服务及综合受理。</w:t>
        <w:br/>
        <w:t xml:space="preserve">    （七）负责全区行政权力运行制度系统、行政权力电子监察系统建设等工作，负责对区公共服务中心相关业务工作进行管理和指导，指导、协调、监督全区政务服务工作和各级政务服务中心及代办机构建设。统筹负责“互联网+政务”建设推进及政务服务和8890服务平台的大数据管理和应用。</w:t>
        <w:br/>
        <w:t xml:space="preserve">    （八）负责8890非紧急类服务平台规划建设和日常运行监管工作，指导区民心网工作。</w:t>
        <w:br/>
        <w:t xml:space="preserve">    （九）负责规范区级行政审批行为，建立和完善相应工作机制；负责对区级政务服务事项进行流程再造、优化环节、压缩时限，并对办理情况进行跟踪督办，协调解决事项办理中存在的问题。</w:t>
        <w:br/>
        <w:t xml:space="preserve">    （十）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br/>
        <w:t xml:space="preserve">    （十一）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br/>
        <w:t xml:space="preserve">    （十二）负责行政审批工作人员的教育培训、管理和绩效考核。</w:t>
        <w:br/>
        <w:t xml:space="preserve">    （十三）承担区营商环境建设工作领导小组、区推进职能转变协调小组、区行政审批制度改革工作领导小组和区软环境建设领导小组日常工作。</w:t>
        <w:br/>
        <w:t xml:space="preserve">    （十四）完成区委、区政府交办的其他事项。</w:t>
        <w:br/>
        <w:t xml:space="preserve">    二、机构设置</w:t>
        <w:br/>
        <w:t xml:space="preserve">    根据本部门主要职责，内设机构如下：</w:t>
        <w:br/>
        <w:t xml:space="preserve">    盘锦市大洼区营商环境建设局设9个内设机构，具体为：</w:t>
        <w:br/>
        <w:t xml:space="preserve">    1.综合办公室</w:t>
        <w:br/>
        <w:t xml:space="preserve">    负责机关和直属单位的党群、机构编制、人事管理和队伍建设等工作。承担文电、会务、档案等机关日常运转工作，承担党风廉政建设和共青团、工会、妇联、精神文明建设、安全、保密、财务和资产管理等工作。负责离退休干部工作。人员编制5名，正职 1 名。</w:t>
        <w:br/>
        <w:t xml:space="preserve">    2.综合协调室</w:t>
        <w:br/>
        <w:t xml:space="preserve">    贯彻落实党中央、国务院关于加强和优化营商环境建设的方针政策和相关法律法规及省委省政府、市委市政府、区委区政府的部署要求，组织贯彻落实《辽宁省优化营商环境条例》。指导协调区直部门（单位）拟订和落实营商环境建设工作意见和措施，监督检查营商环境建设工作。拟订全区营商环境建设工作规划和年度计划，拟订加强和优化全区营商环境建设的政策、措施和制度并组织实施，组织指导、统筹协调各镇（街）、经济区、各部门营商环境建设工作及信息统计、数据分析等工作。根据有关部署对全区贯彻落实区委、区政府关于优化营商环境建设工作进行考评。承担区营商环境建设工作领导小组日常工作。人员编制4名，正职1名。</w:t>
        <w:br/>
        <w:t xml:space="preserve">    3.营商环境建设室</w:t>
        <w:br/>
        <w:t xml:space="preserve">    负责案件的核查分析、调查、转办、督办，会同有关部门提出调查处理建议，承担重大影响案件办理的组织协调、跟踪督办和反馈工作，会同有关部门对给全区营商环境建设造成重大影响的上述部门、单位、个人进行追责问责。负责受理相关投诉、举报，省、市交办案件的转办、督查督办，组织协调、跟踪督办和反馈工作，会同有关部门提出调查处理建议，对给全区营商环境建设造成重大影响的部门、单位、个人进行追责问责。负责12345政务服务便民热线平台规划建设和日常运行监管工作。人员编制3名，正职1名。</w:t>
        <w:br/>
        <w:t xml:space="preserve">    4.行政审批管理室</w:t>
        <w:br/>
        <w:t xml:space="preserve">    负责贯彻执行国家、省、市有关行政管理体制、行政审批制度改革等方面的方针政策、法律法规，制定涉及审批的各项规章制度和管理办法，并组织实施；承担区推进职能转变协调小组和区行政审批制度改革工作领导小组日常工作。负责机关依法行政工作和行政审批涉及的法律、法规咨询解释、宣传教育和培训工作，处理涉及行政审批的法律纠纷；负责对行政审批事项进行流程再造、环节优化、压缩时限等工作的审核，并对办理情况进行跟踪督办；负责行政审批事项数据的分析整理；负责规范区级行政审批行为，实施对行政审批事项的动态管理，建立和完善相应工作机制。承担区推进职能转变和“放管服”改革协调小组日常工作。人员编制4名，正职1名。</w:t>
        <w:br/>
        <w:t xml:space="preserve">    5.政务运行服务室</w:t>
        <w:br/>
        <w:t xml:space="preserve">    负责全区行政权力运行系统的建设推进、指导协调；统筹负责“互联网+政务”建设推进及政务服务；负责监督指导全区政务服务事项目录的修改完善及赋权工作；负责推进全区“一网通办”等相关电子政务工作。人员编制3名，正职1名。</w:t>
        <w:br/>
        <w:t xml:space="preserve">    6.政务服务监察室</w:t>
        <w:br/>
        <w:t xml:space="preserve">    负责营商环境建设和行政审批等业务工作的督查督办；负责日常监察和审批网上监察工作；负责全区政务服务效能监察工作，包括服务窗口的礼仪、服务质量、办件效率的日常监管。人员编制3名，正职1名。</w:t>
        <w:br/>
        <w:t xml:space="preserve">    7.市场服务审批室</w:t>
        <w:br/>
        <w:t xml:space="preserve">    负责办理市场服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5名，正职1名，副职1名。</w:t>
        <w:br/>
        <w:t xml:space="preserve">    8.项目建设审批室</w:t>
        <w:br/>
        <w:t xml:space="preserve">    负责办理项目建设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承担区工程建设项目审批制度改革领导小组日常工作。人员编制3名，正职1名。</w:t>
        <w:br/>
        <w:t xml:space="preserve">    9.综合业务审批室</w:t>
        <w:br/>
        <w:t xml:space="preserve">    负责办理综合业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3名，正职1名。</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辽宁省盘锦市大洼区营商环境建设局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1.盘锦市大洼区营商环境建设局本级</w:t>
        <w:br/>
        <w:t xml:space="preserve">    2.盘锦市大洼区公共服务中心本级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652.54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652.54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652.54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增加15.34万元，增长2.41%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652.54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604.50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92.64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工资福利支出528.23万元；商品和服务支出71.84万元；对个人和家庭的补助4.43万元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48.04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主要包括办公费、印刷费、劳务费等业务支出。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增加15.34万元，增长2.41%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主要是无结余等原因形成的结余。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减少0.00万元，降低19.44%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652.54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604.50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48.04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增加15.34万元，增长2.41%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96.11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100.79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60.69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2023年度一般公共预算财政拨款支出652.54万元。按支出功能分类科目分，包括：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1.一般公共服务支出510.88万元，具体包括：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298.37万元,主要是工资福利支出、商品服务支出等支出，完成年初预算的89.09%，决算数与年初预算数存在差异的主要原因是行政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31.38万元,主要是办公费、印刷费、劳务费等支出，完成年初预算的47.86%，决算数与年初预算数存在差异的主要原因是行政单位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133.95万元,主要是工资福利支出、办公费等支出，完成年初预算的109.15%，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47.18万元,主要是办公费、劳务费等支出，完成年初预算的346.91%，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2.社会保障和就业支出71.07万元，具体包括：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（1）社会保障和就业支出（类）行政事业单位养老支出（款）行政单位离退休（项）1.48万元,主要是退休人员取暖费等支出，完成年初预算的100%，决算数与年初预算数存在差异的主要原因是无差异。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（2）社会保障和就业支出（类）行政事业单位养老支出（款）事业单位离退休（项）1.24万元,主要是事业退休人员取暖费等支出，完成年初预算的100%，决算数与年初预算数存在差异的主要原因是无差异。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61.55万元,主要是机关事业单位基本养老保险缴费等支出，完成年初预算的99.37%，决算数与年初预算数存在差异的主要原因是行政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5.63万元,主要是退休人员职业年金补缴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（5）社会保障和就业支出（类）其他社会保障和就业支出（款）其他社会保障和就业支出（项）1.17万元,主要是工伤保险等支出，完成年初预算的148.1%，决算数与年初预算数存在差异的主要原因是工伤保险补缴。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3.卫生健康支出23.10万元，具体包括：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（1）卫生健康支出（类）公共卫生（款）重大公共卫生服务（项）0.42万元,主要是防疫一线人员补助等支出，完成年初预算的100%，决算数与年初预算数存在差异的主要原因是无差异。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（2）卫生健康支出（类）行政事业单位医疗（款）行政单位医疗（项）14.94万元,主要是医疗保险缴费等支出，完成年初预算的76.06%，决算数与年初预算数存在差异的主要原因是行政人员退休人员减少。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（3）卫生健康支出（类）行政事业单位医疗（款）事业单位医疗（项）7.44万元,主要是医疗保险缴费等支出，完成年初预算的100%，决算数与年初预算数存在差异的主要原因是无差异。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（4）卫生健康支出（类）行政事业单位医疗（款）其他行政事业单位医疗支出（项）0.30万元,主要是大额医疗保险缴费等支出，完成年初预算的100%，决算数与年初预算数存在差异的主要原因是无差异。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4.住房保障支出47.49万元，具体包括：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（1）住房保障支出（类）住房改革支出（款）住房公积金（项）47.49万元,主要是住房公积金缴存等支出，完成年初预算的95.07%，决算数与年初预算数存在差异的主要原因是行政人员退休减少。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38.80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减少公务用车运行维护支出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38.80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减少公务用车运行维护费用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比上年增加0.79万元，增长68.70%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比上年公务用车运行维护增加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604.50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532.66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71.84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32.99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比上年增加0.56万元，增长1.73%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日常经费支出增加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0.69</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0.69</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0.69</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0.69</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盘锦市大洼区营商环境建设局2023年部门整体绩效目标678.94万元，其中基本支出599.78万元，项目支出79.16万元。2023年应编制部门预算项目（政策）绩效目标的项目共8个，实际编制8个，涉及资金79.16万元。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br/>
        <w:t xml:space="preserve">    17.社会保障和就业（类）行政事业单位养老支出（款）行政单位离退休（项）：反映行政单位（包括实行公务员管理的事业单位）开支的离退休经费。</w:t>
        <w:br/>
        <w:t xml:space="preserve">    18.社会保障和就业（类）行政事业单位养老支出（款）事业单位离退休（项）：反映事业单位开支的离退休经费。</w:t>
        <w:br/>
        <w:t xml:space="preserve">    19.社会保障和就业（类）行政事业单位养老支出（款）机关事业单位基本养老保险缴费支出（项）：反映机关事业单位实施养老保险制度由单位缴纳的基本养老保险费支出。</w:t>
        <w:br/>
        <w:t xml:space="preserve">    20.社会保障和就业（类）行政事业单位养老支出（款）机关事业单位职业年金缴费支出（项）：反映机关事业单位实施养老保险制度由单位实际缴纳的职业年金支出。</w:t>
        <w:br/>
        <w:t xml:space="preserve">    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22.卫生健康支出（类）行政事业单位医疗（款）事业单位医疗（项）：反映财政部门安排的事业单位基本医疗保险缴费经费，未参加医疗保险的事业单位的公费医疗经费，按国家规定享受离休人员待遇的医疗经费。</w:t>
        <w:br/>
        <w:t xml:space="preserve">    23.住房保障（类）住房改革（款）住房公积金（项）：反映行政事业单位按人力资源和社会保障部、财政部规定的基本工资和津贴补贴以及规定比例为职工缴纳的住房公积金。</w:t>
        <w:br/>
        <w:t xml:space="preserve">    24.一般公共服务支出（类）政府办公厅(室)及相关机构事务（款）事业运行（项）：反映事业单位的基本支出,不包括行政单位(包括实行公务员管理的事业单位)后勤服务中心、医务室等附属事业单位。</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652.54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510.89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71.06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23.10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47.49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652.54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652.54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652.54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652.54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652.54</w:t>
            </w:r>
          </w:p>
        </w:tc>
        <w:tc>
          <w:tcPr>
            <w:tcW w:w="1160" w:type="dxa"/>
            <w:tcBorders/>
            <w:vAlign w:val="center"/>
          </w:tcPr>
          <w:p>
            <w:pPr>
              <w:jc w:val="right"/>
            </w:pPr>
            <w:r>
              <w:rPr>
                <w:rFonts w:ascii="宋体" w:eastAsia="宋体" w:hAnsi="宋体" w:cs="宋体"/>
                <w:b/>
                <w:i w:val="0"/>
                <w:color w:val="000000"/>
                <w:sz w:val="14"/>
              </w:rPr>
              <w:t xml:space="preserve">652.54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510.88</w:t>
            </w:r>
          </w:p>
        </w:tc>
        <w:tc>
          <w:tcPr>
            <w:tcW w:w="1160" w:type="dxa"/>
            <w:tcBorders/>
            <w:vAlign w:val="center"/>
          </w:tcPr>
          <w:p>
            <w:pPr>
              <w:jc w:val="right"/>
            </w:pPr>
            <w:r>
              <w:rPr>
                <w:rFonts w:ascii="宋体" w:eastAsia="宋体" w:hAnsi="宋体" w:cs="宋体"/>
                <w:b w:val="0"/>
                <w:i w:val="0"/>
                <w:color w:val="000000"/>
                <w:sz w:val="14"/>
              </w:rPr>
              <w:t xml:space="preserve">510.88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510.88</w:t>
            </w:r>
          </w:p>
        </w:tc>
        <w:tc>
          <w:tcPr>
            <w:tcW w:w="1160" w:type="dxa"/>
            <w:tcBorders/>
            <w:vAlign w:val="center"/>
          </w:tcPr>
          <w:p>
            <w:pPr>
              <w:jc w:val="right"/>
            </w:pPr>
            <w:r>
              <w:rPr>
                <w:rFonts w:ascii="宋体" w:eastAsia="宋体" w:hAnsi="宋体" w:cs="宋体"/>
                <w:b w:val="0"/>
                <w:i w:val="0"/>
                <w:color w:val="000000"/>
                <w:sz w:val="14"/>
              </w:rPr>
              <w:t xml:space="preserve">510.88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298.37</w:t>
            </w:r>
          </w:p>
        </w:tc>
        <w:tc>
          <w:tcPr>
            <w:tcW w:w="1160" w:type="dxa"/>
            <w:tcBorders/>
            <w:vAlign w:val="center"/>
          </w:tcPr>
          <w:p>
            <w:pPr>
              <w:jc w:val="right"/>
            </w:pPr>
            <w:r>
              <w:rPr>
                <w:rFonts w:ascii="宋体" w:eastAsia="宋体" w:hAnsi="宋体" w:cs="宋体"/>
                <w:b w:val="0"/>
                <w:i w:val="0"/>
                <w:color w:val="000000"/>
                <w:sz w:val="14"/>
              </w:rPr>
              <w:t xml:space="preserve">298.37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31.38</w:t>
            </w:r>
          </w:p>
        </w:tc>
        <w:tc>
          <w:tcPr>
            <w:tcW w:w="1160" w:type="dxa"/>
            <w:tcBorders/>
            <w:vAlign w:val="center"/>
          </w:tcPr>
          <w:p>
            <w:pPr>
              <w:jc w:val="right"/>
            </w:pPr>
            <w:r>
              <w:rPr>
                <w:rFonts w:ascii="宋体" w:eastAsia="宋体" w:hAnsi="宋体" w:cs="宋体"/>
                <w:b w:val="0"/>
                <w:i w:val="0"/>
                <w:color w:val="000000"/>
                <w:sz w:val="14"/>
              </w:rPr>
              <w:t xml:space="preserve">31.38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133.95</w:t>
            </w:r>
          </w:p>
        </w:tc>
        <w:tc>
          <w:tcPr>
            <w:tcW w:w="1160" w:type="dxa"/>
            <w:tcBorders/>
            <w:vAlign w:val="center"/>
          </w:tcPr>
          <w:p>
            <w:pPr>
              <w:jc w:val="right"/>
            </w:pPr>
            <w:r>
              <w:rPr>
                <w:rFonts w:ascii="宋体" w:eastAsia="宋体" w:hAnsi="宋体" w:cs="宋体"/>
                <w:b w:val="0"/>
                <w:i w:val="0"/>
                <w:color w:val="000000"/>
                <w:sz w:val="14"/>
              </w:rPr>
              <w:t xml:space="preserve">133.95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47.18</w:t>
            </w:r>
          </w:p>
        </w:tc>
        <w:tc>
          <w:tcPr>
            <w:tcW w:w="1160" w:type="dxa"/>
            <w:tcBorders/>
            <w:vAlign w:val="center"/>
          </w:tcPr>
          <w:p>
            <w:pPr>
              <w:jc w:val="right"/>
            </w:pPr>
            <w:r>
              <w:rPr>
                <w:rFonts w:ascii="宋体" w:eastAsia="宋体" w:hAnsi="宋体" w:cs="宋体"/>
                <w:b w:val="0"/>
                <w:i w:val="0"/>
                <w:color w:val="000000"/>
                <w:sz w:val="14"/>
              </w:rPr>
              <w:t xml:space="preserve">47.18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71.07</w:t>
            </w:r>
          </w:p>
        </w:tc>
        <w:tc>
          <w:tcPr>
            <w:tcW w:w="1160" w:type="dxa"/>
            <w:tcBorders/>
            <w:vAlign w:val="center"/>
          </w:tcPr>
          <w:p>
            <w:pPr>
              <w:jc w:val="right"/>
            </w:pPr>
            <w:r>
              <w:rPr>
                <w:rFonts w:ascii="宋体" w:eastAsia="宋体" w:hAnsi="宋体" w:cs="宋体"/>
                <w:b w:val="0"/>
                <w:i w:val="0"/>
                <w:color w:val="000000"/>
                <w:sz w:val="14"/>
              </w:rPr>
              <w:t xml:space="preserve">71.07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61.55</w:t>
            </w:r>
          </w:p>
        </w:tc>
        <w:tc>
          <w:tcPr>
            <w:tcW w:w="1160" w:type="dxa"/>
            <w:tcBorders/>
            <w:vAlign w:val="center"/>
          </w:tcPr>
          <w:p>
            <w:pPr>
              <w:jc w:val="right"/>
            </w:pPr>
            <w:r>
              <w:rPr>
                <w:rFonts w:ascii="宋体" w:eastAsia="宋体" w:hAnsi="宋体" w:cs="宋体"/>
                <w:b w:val="0"/>
                <w:i w:val="0"/>
                <w:color w:val="000000"/>
                <w:sz w:val="14"/>
              </w:rPr>
              <w:t xml:space="preserve">61.55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23.10</w:t>
            </w:r>
          </w:p>
        </w:tc>
        <w:tc>
          <w:tcPr>
            <w:tcW w:w="1160" w:type="dxa"/>
            <w:tcBorders/>
            <w:vAlign w:val="center"/>
          </w:tcPr>
          <w:p>
            <w:pPr>
              <w:jc w:val="right"/>
            </w:pPr>
            <w:r>
              <w:rPr>
                <w:rFonts w:ascii="宋体" w:eastAsia="宋体" w:hAnsi="宋体" w:cs="宋体"/>
                <w:b w:val="0"/>
                <w:i w:val="0"/>
                <w:color w:val="000000"/>
                <w:sz w:val="14"/>
              </w:rPr>
              <w:t xml:space="preserve">23.10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22.68</w:t>
            </w:r>
          </w:p>
        </w:tc>
        <w:tc>
          <w:tcPr>
            <w:tcW w:w="1160" w:type="dxa"/>
            <w:tcBorders/>
            <w:vAlign w:val="center"/>
          </w:tcPr>
          <w:p>
            <w:pPr>
              <w:jc w:val="right"/>
            </w:pPr>
            <w:r>
              <w:rPr>
                <w:rFonts w:ascii="宋体" w:eastAsia="宋体" w:hAnsi="宋体" w:cs="宋体"/>
                <w:b w:val="0"/>
                <w:i w:val="0"/>
                <w:color w:val="000000"/>
                <w:sz w:val="14"/>
              </w:rPr>
              <w:t xml:space="preserve">22.68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jc w:val="right"/>
            </w:pPr>
            <w:r>
              <w:rPr>
                <w:rFonts w:ascii="宋体" w:eastAsia="宋体" w:hAnsi="宋体" w:cs="宋体"/>
                <w:b w:val="0"/>
                <w:i w:val="0"/>
                <w:color w:val="000000"/>
                <w:sz w:val="14"/>
              </w:rPr>
              <w:t xml:space="preserve">14.94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7.44</w:t>
            </w:r>
          </w:p>
        </w:tc>
        <w:tc>
          <w:tcPr>
            <w:tcW w:w="1160" w:type="dxa"/>
            <w:tcBorders/>
            <w:vAlign w:val="center"/>
          </w:tcPr>
          <w:p>
            <w:pPr>
              <w:jc w:val="right"/>
            </w:pPr>
            <w:r>
              <w:rPr>
                <w:rFonts w:ascii="宋体" w:eastAsia="宋体" w:hAnsi="宋体" w:cs="宋体"/>
                <w:b w:val="0"/>
                <w:i w:val="0"/>
                <w:color w:val="000000"/>
                <w:sz w:val="14"/>
              </w:rPr>
              <w:t xml:space="preserve">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47.49</w:t>
            </w:r>
          </w:p>
        </w:tc>
        <w:tc>
          <w:tcPr>
            <w:tcW w:w="1160" w:type="dxa"/>
            <w:tcBorders/>
            <w:vAlign w:val="center"/>
          </w:tcPr>
          <w:p>
            <w:pPr>
              <w:jc w:val="right"/>
            </w:pPr>
            <w:r>
              <w:rPr>
                <w:rFonts w:ascii="宋体" w:eastAsia="宋体" w:hAnsi="宋体" w:cs="宋体"/>
                <w:b w:val="0"/>
                <w:i w:val="0"/>
                <w:color w:val="000000"/>
                <w:sz w:val="14"/>
              </w:rPr>
              <w:t xml:space="preserve">47.49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47.49</w:t>
            </w:r>
          </w:p>
        </w:tc>
        <w:tc>
          <w:tcPr>
            <w:tcW w:w="1160" w:type="dxa"/>
            <w:tcBorders/>
            <w:vAlign w:val="center"/>
          </w:tcPr>
          <w:p>
            <w:pPr>
              <w:jc w:val="right"/>
            </w:pPr>
            <w:r>
              <w:rPr>
                <w:rFonts w:ascii="宋体" w:eastAsia="宋体" w:hAnsi="宋体" w:cs="宋体"/>
                <w:b w:val="0"/>
                <w:i w:val="0"/>
                <w:color w:val="000000"/>
                <w:sz w:val="14"/>
              </w:rPr>
              <w:t xml:space="preserve">47.49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47.49</w:t>
            </w:r>
          </w:p>
        </w:tc>
        <w:tc>
          <w:tcPr>
            <w:tcW w:w="1160" w:type="dxa"/>
            <w:tcBorders/>
            <w:vAlign w:val="center"/>
          </w:tcPr>
          <w:p>
            <w:pPr>
              <w:jc w:val="right"/>
            </w:pPr>
            <w:r>
              <w:rPr>
                <w:rFonts w:ascii="宋体" w:eastAsia="宋体" w:hAnsi="宋体" w:cs="宋体"/>
                <w:b w:val="0"/>
                <w:i w:val="0"/>
                <w:color w:val="000000"/>
                <w:sz w:val="14"/>
              </w:rPr>
              <w:t xml:space="preserve">47.49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652.54</w:t>
            </w:r>
          </w:p>
        </w:tc>
        <w:tc>
          <w:tcPr>
            <w:tcW w:w="1120" w:type="dxa"/>
            <w:tcBorders/>
            <w:vAlign w:val="center"/>
          </w:tcPr>
          <w:p>
            <w:pPr>
              <w:jc w:val="right"/>
            </w:pPr>
            <w:r>
              <w:rPr>
                <w:rFonts w:ascii="宋体" w:eastAsia="宋体" w:hAnsi="宋体" w:cs="宋体"/>
                <w:b/>
                <w:i w:val="0"/>
                <w:color w:val="000000"/>
                <w:sz w:val="16"/>
              </w:rPr>
              <w:t xml:space="preserve">604.50</w:t>
            </w:r>
          </w:p>
        </w:tc>
        <w:tc>
          <w:tcPr>
            <w:tcW w:w="1120" w:type="dxa"/>
            <w:tcBorders/>
            <w:vAlign w:val="center"/>
          </w:tcPr>
          <w:p>
            <w:pPr>
              <w:jc w:val="right"/>
            </w:pPr>
            <w:r>
              <w:rPr>
                <w:rFonts w:ascii="宋体" w:eastAsia="宋体" w:hAnsi="宋体" w:cs="宋体"/>
                <w:b/>
                <w:i w:val="0"/>
                <w:color w:val="000000"/>
                <w:sz w:val="16"/>
              </w:rPr>
              <w:t xml:space="preserve">48.04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510.88</w:t>
            </w:r>
          </w:p>
        </w:tc>
        <w:tc>
          <w:tcPr>
            <w:tcW w:w="1120" w:type="dxa"/>
            <w:tcBorders/>
            <w:vAlign w:val="center"/>
          </w:tcPr>
          <w:p>
            <w:pPr>
              <w:jc w:val="right"/>
            </w:pPr>
            <w:r>
              <w:rPr>
                <w:rFonts w:ascii="宋体" w:eastAsia="宋体" w:hAnsi="宋体" w:cs="宋体"/>
                <w:b w:val="0"/>
                <w:i w:val="0"/>
                <w:color w:val="000000"/>
                <w:sz w:val="16"/>
              </w:rPr>
              <w:t xml:space="preserve">462.84</w:t>
            </w:r>
          </w:p>
        </w:tc>
        <w:tc>
          <w:tcPr>
            <w:tcW w:w="1120" w:type="dxa"/>
            <w:tcBorders/>
            <w:vAlign w:val="center"/>
          </w:tcPr>
          <w:p>
            <w:pPr>
              <w:jc w:val="right"/>
            </w:pPr>
            <w:r>
              <w:rPr>
                <w:rFonts w:ascii="宋体" w:eastAsia="宋体" w:hAnsi="宋体" w:cs="宋体"/>
                <w:b w:val="0"/>
                <w:i w:val="0"/>
                <w:color w:val="000000"/>
                <w:sz w:val="16"/>
              </w:rPr>
              <w:t xml:space="preserve">48.05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510.88</w:t>
            </w:r>
          </w:p>
        </w:tc>
        <w:tc>
          <w:tcPr>
            <w:tcW w:w="1120" w:type="dxa"/>
            <w:tcBorders/>
            <w:vAlign w:val="center"/>
          </w:tcPr>
          <w:p>
            <w:pPr>
              <w:jc w:val="right"/>
            </w:pPr>
            <w:r>
              <w:rPr>
                <w:rFonts w:ascii="宋体" w:eastAsia="宋体" w:hAnsi="宋体" w:cs="宋体"/>
                <w:b w:val="0"/>
                <w:i w:val="0"/>
                <w:color w:val="000000"/>
                <w:sz w:val="16"/>
              </w:rPr>
              <w:t xml:space="preserve">462.84</w:t>
            </w:r>
          </w:p>
        </w:tc>
        <w:tc>
          <w:tcPr>
            <w:tcW w:w="1120" w:type="dxa"/>
            <w:tcBorders/>
            <w:vAlign w:val="center"/>
          </w:tcPr>
          <w:p>
            <w:pPr>
              <w:jc w:val="right"/>
            </w:pPr>
            <w:r>
              <w:rPr>
                <w:rFonts w:ascii="宋体" w:eastAsia="宋体" w:hAnsi="宋体" w:cs="宋体"/>
                <w:b w:val="0"/>
                <w:i w:val="0"/>
                <w:color w:val="000000"/>
                <w:sz w:val="16"/>
              </w:rPr>
              <w:t xml:space="preserve">48.05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298.37</w:t>
            </w:r>
          </w:p>
        </w:tc>
        <w:tc>
          <w:tcPr>
            <w:tcW w:w="1120" w:type="dxa"/>
            <w:tcBorders/>
            <w:vAlign w:val="center"/>
          </w:tcPr>
          <w:p>
            <w:pPr>
              <w:jc w:val="right"/>
            </w:pPr>
            <w:r>
              <w:rPr>
                <w:rFonts w:ascii="宋体" w:eastAsia="宋体" w:hAnsi="宋体" w:cs="宋体"/>
                <w:b w:val="0"/>
                <w:i w:val="0"/>
                <w:color w:val="000000"/>
                <w:sz w:val="16"/>
              </w:rPr>
              <w:t xml:space="preserve">298.37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133.95</w:t>
            </w:r>
          </w:p>
        </w:tc>
        <w:tc>
          <w:tcPr>
            <w:tcW w:w="1120" w:type="dxa"/>
            <w:tcBorders/>
            <w:vAlign w:val="center"/>
          </w:tcPr>
          <w:p>
            <w:pPr>
              <w:jc w:val="right"/>
            </w:pPr>
            <w:r>
              <w:rPr>
                <w:rFonts w:ascii="宋体" w:eastAsia="宋体" w:hAnsi="宋体" w:cs="宋体"/>
                <w:b w:val="0"/>
                <w:i w:val="0"/>
                <w:color w:val="000000"/>
                <w:sz w:val="16"/>
              </w:rPr>
              <w:t xml:space="preserve">133.95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47.18</w:t>
            </w:r>
          </w:p>
        </w:tc>
        <w:tc>
          <w:tcPr>
            <w:tcW w:w="1120" w:type="dxa"/>
            <w:tcBorders/>
            <w:vAlign w:val="center"/>
          </w:tcPr>
          <w:p>
            <w:pPr>
              <w:jc w:val="right"/>
            </w:pPr>
            <w:r>
              <w:rPr>
                <w:rFonts w:ascii="宋体" w:eastAsia="宋体" w:hAnsi="宋体" w:cs="宋体"/>
                <w:b w:val="0"/>
                <w:i w:val="0"/>
                <w:color w:val="000000"/>
                <w:sz w:val="16"/>
              </w:rPr>
              <w:t xml:space="preserve">30.52</w:t>
            </w:r>
          </w:p>
        </w:tc>
        <w:tc>
          <w:tcPr>
            <w:tcW w:w="1120" w:type="dxa"/>
            <w:tcBorders/>
            <w:vAlign w:val="center"/>
          </w:tcPr>
          <w:p>
            <w:pPr>
              <w:jc w:val="right"/>
            </w:pPr>
            <w:r>
              <w:rPr>
                <w:rFonts w:ascii="宋体" w:eastAsia="宋体" w:hAnsi="宋体" w:cs="宋体"/>
                <w:b w:val="0"/>
                <w:i w:val="0"/>
                <w:color w:val="000000"/>
                <w:sz w:val="16"/>
              </w:rPr>
              <w:t xml:space="preserve">16.67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71.07</w:t>
            </w:r>
          </w:p>
        </w:tc>
        <w:tc>
          <w:tcPr>
            <w:tcW w:w="1120" w:type="dxa"/>
            <w:tcBorders/>
            <w:vAlign w:val="center"/>
          </w:tcPr>
          <w:p>
            <w:pPr>
              <w:jc w:val="right"/>
            </w:pPr>
            <w:r>
              <w:rPr>
                <w:rFonts w:ascii="宋体" w:eastAsia="宋体" w:hAnsi="宋体" w:cs="宋体"/>
                <w:b w:val="0"/>
                <w:i w:val="0"/>
                <w:color w:val="000000"/>
                <w:sz w:val="16"/>
              </w:rPr>
              <w:t xml:space="preserve">71.07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61.55</w:t>
            </w:r>
          </w:p>
        </w:tc>
        <w:tc>
          <w:tcPr>
            <w:tcW w:w="1120" w:type="dxa"/>
            <w:tcBorders/>
            <w:vAlign w:val="center"/>
          </w:tcPr>
          <w:p>
            <w:pPr>
              <w:jc w:val="right"/>
            </w:pPr>
            <w:r>
              <w:rPr>
                <w:rFonts w:ascii="宋体" w:eastAsia="宋体" w:hAnsi="宋体" w:cs="宋体"/>
                <w:b w:val="0"/>
                <w:i w:val="0"/>
                <w:color w:val="000000"/>
                <w:sz w:val="16"/>
              </w:rPr>
              <w:t xml:space="preserve">61.55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23.10</w:t>
            </w:r>
          </w:p>
        </w:tc>
        <w:tc>
          <w:tcPr>
            <w:tcW w:w="1120" w:type="dxa"/>
            <w:tcBorders/>
            <w:vAlign w:val="center"/>
          </w:tcPr>
          <w:p>
            <w:pPr>
              <w:jc w:val="right"/>
            </w:pPr>
            <w:r>
              <w:rPr>
                <w:rFonts w:ascii="宋体" w:eastAsia="宋体" w:hAnsi="宋体" w:cs="宋体"/>
                <w:b w:val="0"/>
                <w:i w:val="0"/>
                <w:color w:val="000000"/>
                <w:sz w:val="16"/>
              </w:rPr>
              <w:t xml:space="preserve">23.10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22.68</w:t>
            </w:r>
          </w:p>
        </w:tc>
        <w:tc>
          <w:tcPr>
            <w:tcW w:w="1120" w:type="dxa"/>
            <w:tcBorders/>
            <w:vAlign w:val="center"/>
          </w:tcPr>
          <w:p>
            <w:pPr>
              <w:jc w:val="right"/>
            </w:pPr>
            <w:r>
              <w:rPr>
                <w:rFonts w:ascii="宋体" w:eastAsia="宋体" w:hAnsi="宋体" w:cs="宋体"/>
                <w:b w:val="0"/>
                <w:i w:val="0"/>
                <w:color w:val="000000"/>
                <w:sz w:val="16"/>
              </w:rPr>
              <w:t xml:space="preserve">22.68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jc w:val="right"/>
            </w:pPr>
            <w:r>
              <w:rPr>
                <w:rFonts w:ascii="宋体" w:eastAsia="宋体" w:hAnsi="宋体" w:cs="宋体"/>
                <w:b w:val="0"/>
                <w:i w:val="0"/>
                <w:color w:val="000000"/>
                <w:sz w:val="16"/>
              </w:rPr>
              <w:t xml:space="preserve">14.94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7.44</w:t>
            </w:r>
          </w:p>
        </w:tc>
        <w:tc>
          <w:tcPr>
            <w:tcW w:w="1120" w:type="dxa"/>
            <w:tcBorders/>
            <w:vAlign w:val="center"/>
          </w:tcPr>
          <w:p>
            <w:pPr>
              <w:jc w:val="right"/>
            </w:pPr>
            <w:r>
              <w:rPr>
                <w:rFonts w:ascii="宋体" w:eastAsia="宋体" w:hAnsi="宋体" w:cs="宋体"/>
                <w:b w:val="0"/>
                <w:i w:val="0"/>
                <w:color w:val="000000"/>
                <w:sz w:val="16"/>
              </w:rPr>
              <w:t xml:space="preserve">7.44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47.49</w:t>
            </w:r>
          </w:p>
        </w:tc>
        <w:tc>
          <w:tcPr>
            <w:tcW w:w="1120" w:type="dxa"/>
            <w:tcBorders/>
            <w:vAlign w:val="center"/>
          </w:tcPr>
          <w:p>
            <w:pPr>
              <w:jc w:val="right"/>
            </w:pPr>
            <w:r>
              <w:rPr>
                <w:rFonts w:ascii="宋体" w:eastAsia="宋体" w:hAnsi="宋体" w:cs="宋体"/>
                <w:b w:val="0"/>
                <w:i w:val="0"/>
                <w:color w:val="000000"/>
                <w:sz w:val="16"/>
              </w:rPr>
              <w:t xml:space="preserve">47.49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47.49</w:t>
            </w:r>
          </w:p>
        </w:tc>
        <w:tc>
          <w:tcPr>
            <w:tcW w:w="1120" w:type="dxa"/>
            <w:tcBorders/>
            <w:vAlign w:val="center"/>
          </w:tcPr>
          <w:p>
            <w:pPr>
              <w:jc w:val="right"/>
            </w:pPr>
            <w:r>
              <w:rPr>
                <w:rFonts w:ascii="宋体" w:eastAsia="宋体" w:hAnsi="宋体" w:cs="宋体"/>
                <w:b w:val="0"/>
                <w:i w:val="0"/>
                <w:color w:val="000000"/>
                <w:sz w:val="16"/>
              </w:rPr>
              <w:t xml:space="preserve">47.49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47.49</w:t>
            </w:r>
          </w:p>
        </w:tc>
        <w:tc>
          <w:tcPr>
            <w:tcW w:w="1120" w:type="dxa"/>
            <w:tcBorders/>
            <w:vAlign w:val="center"/>
          </w:tcPr>
          <w:p>
            <w:pPr>
              <w:jc w:val="right"/>
            </w:pPr>
            <w:r>
              <w:rPr>
                <w:rFonts w:ascii="宋体" w:eastAsia="宋体" w:hAnsi="宋体" w:cs="宋体"/>
                <w:b w:val="0"/>
                <w:i w:val="0"/>
                <w:color w:val="000000"/>
                <w:sz w:val="16"/>
              </w:rPr>
              <w:t xml:space="preserve">47.49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510.89</w:t>
            </w:r>
          </w:p>
        </w:tc>
        <w:tc>
          <w:tcPr>
            <w:tcW w:w="1100" w:type="dxa"/>
            <w:tcBorders/>
            <w:vAlign w:val="center"/>
          </w:tcPr>
          <w:p>
            <w:pPr>
              <w:jc w:val="right"/>
            </w:pPr>
            <w:r>
              <w:rPr>
                <w:rFonts w:ascii="宋体" w:eastAsia="宋体" w:hAnsi="宋体" w:cs="宋体"/>
                <w:b w:val="0"/>
                <w:i w:val="0"/>
                <w:color w:val="000000"/>
                <w:sz w:val="14"/>
              </w:rPr>
              <w:t xml:space="preserve">510.89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71.06</w:t>
            </w:r>
          </w:p>
        </w:tc>
        <w:tc>
          <w:tcPr>
            <w:tcW w:w="1100" w:type="dxa"/>
            <w:tcBorders/>
            <w:vAlign w:val="center"/>
          </w:tcPr>
          <w:p>
            <w:pPr>
              <w:jc w:val="right"/>
            </w:pPr>
            <w:r>
              <w:rPr>
                <w:rFonts w:ascii="宋体" w:eastAsia="宋体" w:hAnsi="宋体" w:cs="宋体"/>
                <w:b w:val="0"/>
                <w:i w:val="0"/>
                <w:color w:val="000000"/>
                <w:sz w:val="14"/>
              </w:rPr>
              <w:t xml:space="preserve">71.06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23.10</w:t>
            </w:r>
          </w:p>
        </w:tc>
        <w:tc>
          <w:tcPr>
            <w:tcW w:w="1100" w:type="dxa"/>
            <w:tcBorders/>
            <w:vAlign w:val="center"/>
          </w:tcPr>
          <w:p>
            <w:pPr>
              <w:jc w:val="right"/>
            </w:pPr>
            <w:r>
              <w:rPr>
                <w:rFonts w:ascii="宋体" w:eastAsia="宋体" w:hAnsi="宋体" w:cs="宋体"/>
                <w:b w:val="0"/>
                <w:i w:val="0"/>
                <w:color w:val="000000"/>
                <w:sz w:val="14"/>
              </w:rPr>
              <w:t xml:space="preserve">23.10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47.49</w:t>
            </w:r>
          </w:p>
        </w:tc>
        <w:tc>
          <w:tcPr>
            <w:tcW w:w="1100" w:type="dxa"/>
            <w:tcBorders/>
            <w:vAlign w:val="center"/>
          </w:tcPr>
          <w:p>
            <w:pPr>
              <w:jc w:val="right"/>
            </w:pPr>
            <w:r>
              <w:rPr>
                <w:rFonts w:ascii="宋体" w:eastAsia="宋体" w:hAnsi="宋体" w:cs="宋体"/>
                <w:b w:val="0"/>
                <w:i w:val="0"/>
                <w:color w:val="000000"/>
                <w:sz w:val="14"/>
              </w:rPr>
              <w:t xml:space="preserve">47.49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1100" w:type="dxa"/>
            <w:tcBorders/>
            <w:vAlign w:val="center"/>
          </w:tcPr>
          <w:p>
            <w:pPr>
              <w:jc w:val="right"/>
            </w:pPr>
            <w:r>
              <w:rPr>
                <w:rFonts w:ascii="宋体" w:eastAsia="宋体" w:hAnsi="宋体" w:cs="宋体"/>
                <w:b w:val="0"/>
                <w:i w:val="0"/>
                <w:color w:val="000000"/>
                <w:sz w:val="14"/>
              </w:rPr>
              <w:t xml:space="preserve">652.54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652.54</w:t>
            </w:r>
          </w:p>
        </w:tc>
        <w:tc>
          <w:tcPr>
            <w:tcW w:w="1980" w:type="dxa"/>
            <w:tcBorders/>
            <w:vAlign w:val="center"/>
          </w:tcPr>
          <w:p>
            <w:pPr>
              <w:jc w:val="right"/>
            </w:pPr>
            <w:r>
              <w:rPr>
                <w:rFonts w:ascii="宋体" w:eastAsia="宋体" w:hAnsi="宋体" w:cs="宋体"/>
                <w:b/>
                <w:i w:val="0"/>
                <w:color w:val="000000"/>
                <w:sz w:val="20"/>
              </w:rPr>
              <w:t xml:space="preserve">604.50</w:t>
            </w:r>
          </w:p>
        </w:tc>
        <w:tc>
          <w:tcPr>
            <w:tcW w:w="1952" w:type="dxa"/>
            <w:tcBorders/>
            <w:vAlign w:val="center"/>
          </w:tcPr>
          <w:p>
            <w:pPr>
              <w:jc w:val="right"/>
            </w:pPr>
            <w:r>
              <w:rPr>
                <w:rFonts w:ascii="宋体" w:eastAsia="宋体" w:hAnsi="宋体" w:cs="宋体"/>
                <w:b/>
                <w:i w:val="0"/>
                <w:color w:val="000000"/>
                <w:sz w:val="20"/>
              </w:rPr>
              <w:t xml:space="preserve">48.04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510.88</w:t>
            </w:r>
          </w:p>
        </w:tc>
        <w:tc>
          <w:tcPr>
            <w:tcW w:w="1980" w:type="dxa"/>
            <w:tcBorders/>
            <w:vAlign w:val="center"/>
          </w:tcPr>
          <w:p>
            <w:pPr>
              <w:jc w:val="right"/>
            </w:pPr>
            <w:r>
              <w:rPr>
                <w:rFonts w:ascii="宋体" w:eastAsia="宋体" w:hAnsi="宋体" w:cs="宋体"/>
                <w:b w:val="0"/>
                <w:i w:val="0"/>
                <w:color w:val="000000"/>
                <w:sz w:val="20"/>
              </w:rPr>
              <w:t xml:space="preserve">462.84</w:t>
            </w:r>
          </w:p>
        </w:tc>
        <w:tc>
          <w:tcPr>
            <w:tcW w:w="1952" w:type="dxa"/>
            <w:tcBorders/>
            <w:vAlign w:val="center"/>
          </w:tcPr>
          <w:p>
            <w:pPr>
              <w:jc w:val="right"/>
            </w:pPr>
            <w:r>
              <w:rPr>
                <w:rFonts w:ascii="宋体" w:eastAsia="宋体" w:hAnsi="宋体" w:cs="宋体"/>
                <w:b w:val="0"/>
                <w:i w:val="0"/>
                <w:color w:val="000000"/>
                <w:sz w:val="20"/>
              </w:rPr>
              <w:t xml:space="preserve">48.05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510.88</w:t>
            </w:r>
          </w:p>
        </w:tc>
        <w:tc>
          <w:tcPr>
            <w:tcW w:w="1980" w:type="dxa"/>
            <w:tcBorders/>
            <w:vAlign w:val="center"/>
          </w:tcPr>
          <w:p>
            <w:pPr>
              <w:jc w:val="right"/>
            </w:pPr>
            <w:r>
              <w:rPr>
                <w:rFonts w:ascii="宋体" w:eastAsia="宋体" w:hAnsi="宋体" w:cs="宋体"/>
                <w:b w:val="0"/>
                <w:i w:val="0"/>
                <w:color w:val="000000"/>
                <w:sz w:val="20"/>
              </w:rPr>
              <w:t xml:space="preserve">462.84</w:t>
            </w:r>
          </w:p>
        </w:tc>
        <w:tc>
          <w:tcPr>
            <w:tcW w:w="1952" w:type="dxa"/>
            <w:tcBorders/>
            <w:vAlign w:val="center"/>
          </w:tcPr>
          <w:p>
            <w:pPr>
              <w:jc w:val="right"/>
            </w:pPr>
            <w:r>
              <w:rPr>
                <w:rFonts w:ascii="宋体" w:eastAsia="宋体" w:hAnsi="宋体" w:cs="宋体"/>
                <w:b w:val="0"/>
                <w:i w:val="0"/>
                <w:color w:val="000000"/>
                <w:sz w:val="20"/>
              </w:rPr>
              <w:t xml:space="preserve">48.05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298.37</w:t>
            </w:r>
          </w:p>
        </w:tc>
        <w:tc>
          <w:tcPr>
            <w:tcW w:w="1980" w:type="dxa"/>
            <w:tcBorders/>
            <w:vAlign w:val="center"/>
          </w:tcPr>
          <w:p>
            <w:pPr>
              <w:jc w:val="right"/>
            </w:pPr>
            <w:r>
              <w:rPr>
                <w:rFonts w:ascii="宋体" w:eastAsia="宋体" w:hAnsi="宋体" w:cs="宋体"/>
                <w:b w:val="0"/>
                <w:i w:val="0"/>
                <w:color w:val="000000"/>
                <w:sz w:val="20"/>
              </w:rPr>
              <w:t xml:space="preserve">298.37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31.38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133.95</w:t>
            </w:r>
          </w:p>
        </w:tc>
        <w:tc>
          <w:tcPr>
            <w:tcW w:w="1980" w:type="dxa"/>
            <w:tcBorders/>
            <w:vAlign w:val="center"/>
          </w:tcPr>
          <w:p>
            <w:pPr>
              <w:jc w:val="right"/>
            </w:pPr>
            <w:r>
              <w:rPr>
                <w:rFonts w:ascii="宋体" w:eastAsia="宋体" w:hAnsi="宋体" w:cs="宋体"/>
                <w:b w:val="0"/>
                <w:i w:val="0"/>
                <w:color w:val="000000"/>
                <w:sz w:val="20"/>
              </w:rPr>
              <w:t xml:space="preserve">133.95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47.18</w:t>
            </w:r>
          </w:p>
        </w:tc>
        <w:tc>
          <w:tcPr>
            <w:tcW w:w="1980" w:type="dxa"/>
            <w:tcBorders/>
            <w:vAlign w:val="center"/>
          </w:tcPr>
          <w:p>
            <w:pPr>
              <w:jc w:val="right"/>
            </w:pPr>
            <w:r>
              <w:rPr>
                <w:rFonts w:ascii="宋体" w:eastAsia="宋体" w:hAnsi="宋体" w:cs="宋体"/>
                <w:b w:val="0"/>
                <w:i w:val="0"/>
                <w:color w:val="000000"/>
                <w:sz w:val="20"/>
              </w:rPr>
              <w:t xml:space="preserve">30.52</w:t>
            </w:r>
          </w:p>
        </w:tc>
        <w:tc>
          <w:tcPr>
            <w:tcW w:w="1952" w:type="dxa"/>
            <w:tcBorders/>
            <w:vAlign w:val="center"/>
          </w:tcPr>
          <w:p>
            <w:pPr>
              <w:jc w:val="right"/>
            </w:pPr>
            <w:r>
              <w:rPr>
                <w:rFonts w:ascii="宋体" w:eastAsia="宋体" w:hAnsi="宋体" w:cs="宋体"/>
                <w:b w:val="0"/>
                <w:i w:val="0"/>
                <w:color w:val="000000"/>
                <w:sz w:val="20"/>
              </w:rPr>
              <w:t xml:space="preserve">16.67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71.07</w:t>
            </w:r>
          </w:p>
        </w:tc>
        <w:tc>
          <w:tcPr>
            <w:tcW w:w="1980" w:type="dxa"/>
            <w:tcBorders/>
            <w:vAlign w:val="center"/>
          </w:tcPr>
          <w:p>
            <w:pPr>
              <w:jc w:val="right"/>
            </w:pPr>
            <w:r>
              <w:rPr>
                <w:rFonts w:ascii="宋体" w:eastAsia="宋体" w:hAnsi="宋体" w:cs="宋体"/>
                <w:b w:val="0"/>
                <w:i w:val="0"/>
                <w:color w:val="000000"/>
                <w:sz w:val="20"/>
              </w:rPr>
              <w:t xml:space="preserve">71.07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61.55</w:t>
            </w:r>
          </w:p>
        </w:tc>
        <w:tc>
          <w:tcPr>
            <w:tcW w:w="1980" w:type="dxa"/>
            <w:tcBorders/>
            <w:vAlign w:val="center"/>
          </w:tcPr>
          <w:p>
            <w:pPr>
              <w:jc w:val="right"/>
            </w:pPr>
            <w:r>
              <w:rPr>
                <w:rFonts w:ascii="宋体" w:eastAsia="宋体" w:hAnsi="宋体" w:cs="宋体"/>
                <w:b w:val="0"/>
                <w:i w:val="0"/>
                <w:color w:val="000000"/>
                <w:sz w:val="20"/>
              </w:rPr>
              <w:t xml:space="preserve">61.55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23.10</w:t>
            </w:r>
          </w:p>
        </w:tc>
        <w:tc>
          <w:tcPr>
            <w:tcW w:w="1980" w:type="dxa"/>
            <w:tcBorders/>
            <w:vAlign w:val="center"/>
          </w:tcPr>
          <w:p>
            <w:pPr>
              <w:jc w:val="right"/>
            </w:pPr>
            <w:r>
              <w:rPr>
                <w:rFonts w:ascii="宋体" w:eastAsia="宋体" w:hAnsi="宋体" w:cs="宋体"/>
                <w:b w:val="0"/>
                <w:i w:val="0"/>
                <w:color w:val="000000"/>
                <w:sz w:val="20"/>
              </w:rPr>
              <w:t xml:space="preserve">23.10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22.68</w:t>
            </w:r>
          </w:p>
        </w:tc>
        <w:tc>
          <w:tcPr>
            <w:tcW w:w="1980" w:type="dxa"/>
            <w:tcBorders/>
            <w:vAlign w:val="center"/>
          </w:tcPr>
          <w:p>
            <w:pPr>
              <w:jc w:val="right"/>
            </w:pPr>
            <w:r>
              <w:rPr>
                <w:rFonts w:ascii="宋体" w:eastAsia="宋体" w:hAnsi="宋体" w:cs="宋体"/>
                <w:b w:val="0"/>
                <w:i w:val="0"/>
                <w:color w:val="000000"/>
                <w:sz w:val="20"/>
              </w:rPr>
              <w:t xml:space="preserve">22.68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14.94</w:t>
            </w:r>
          </w:p>
        </w:tc>
        <w:tc>
          <w:tcPr>
            <w:tcW w:w="1980" w:type="dxa"/>
            <w:tcBorders/>
            <w:vAlign w:val="center"/>
          </w:tcPr>
          <w:p>
            <w:pPr>
              <w:jc w:val="right"/>
            </w:pPr>
            <w:r>
              <w:rPr>
                <w:rFonts w:ascii="宋体" w:eastAsia="宋体" w:hAnsi="宋体" w:cs="宋体"/>
                <w:b w:val="0"/>
                <w:i w:val="0"/>
                <w:color w:val="000000"/>
                <w:sz w:val="20"/>
              </w:rPr>
              <w:t xml:space="preserve">14.94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7.44</w:t>
            </w:r>
          </w:p>
        </w:tc>
        <w:tc>
          <w:tcPr>
            <w:tcW w:w="1980" w:type="dxa"/>
            <w:tcBorders/>
            <w:vAlign w:val="center"/>
          </w:tcPr>
          <w:p>
            <w:pPr>
              <w:jc w:val="right"/>
            </w:pPr>
            <w:r>
              <w:rPr>
                <w:rFonts w:ascii="宋体" w:eastAsia="宋体" w:hAnsi="宋体" w:cs="宋体"/>
                <w:b w:val="0"/>
                <w:i w:val="0"/>
                <w:color w:val="000000"/>
                <w:sz w:val="20"/>
              </w:rPr>
              <w:t xml:space="preserve">7.44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47.49</w:t>
            </w:r>
          </w:p>
        </w:tc>
        <w:tc>
          <w:tcPr>
            <w:tcW w:w="1980" w:type="dxa"/>
            <w:tcBorders/>
            <w:vAlign w:val="center"/>
          </w:tcPr>
          <w:p>
            <w:pPr>
              <w:jc w:val="right"/>
            </w:pPr>
            <w:r>
              <w:rPr>
                <w:rFonts w:ascii="宋体" w:eastAsia="宋体" w:hAnsi="宋体" w:cs="宋体"/>
                <w:b w:val="0"/>
                <w:i w:val="0"/>
                <w:color w:val="000000"/>
                <w:sz w:val="20"/>
              </w:rPr>
              <w:t xml:space="preserve">47.49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47.49</w:t>
            </w:r>
          </w:p>
        </w:tc>
        <w:tc>
          <w:tcPr>
            <w:tcW w:w="1980" w:type="dxa"/>
            <w:tcBorders/>
            <w:vAlign w:val="center"/>
          </w:tcPr>
          <w:p>
            <w:pPr>
              <w:jc w:val="right"/>
            </w:pPr>
            <w:r>
              <w:rPr>
                <w:rFonts w:ascii="宋体" w:eastAsia="宋体" w:hAnsi="宋体" w:cs="宋体"/>
                <w:b w:val="0"/>
                <w:i w:val="0"/>
                <w:color w:val="000000"/>
                <w:sz w:val="20"/>
              </w:rPr>
              <w:t xml:space="preserve">47.49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47.49</w:t>
            </w:r>
          </w:p>
        </w:tc>
        <w:tc>
          <w:tcPr>
            <w:tcW w:w="1980" w:type="dxa"/>
            <w:tcBorders/>
            <w:vAlign w:val="center"/>
          </w:tcPr>
          <w:p>
            <w:pPr>
              <w:jc w:val="right"/>
            </w:pPr>
            <w:r>
              <w:rPr>
                <w:rFonts w:ascii="宋体" w:eastAsia="宋体" w:hAnsi="宋体" w:cs="宋体"/>
                <w:b w:val="0"/>
                <w:i w:val="0"/>
                <w:color w:val="000000"/>
                <w:sz w:val="20"/>
              </w:rPr>
              <w:t xml:space="preserve">47.49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528.23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71.84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203.44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11.11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89.71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51.92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44.65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61.55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5.63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22.38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1.47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47.49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4.43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2.62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1.64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30.52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1.94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26.91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532.66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71.84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1.94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1.94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1.94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部门：辽宁省盘锦市大洼区营商环境建设局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020002盘锦市大洼区政务服务中心-211104000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141.84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加强政务服务管理，提高群众企业满意度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公共服务政务服务外网运营费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盘锦市大洼区政务服务中心-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13.6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按照全省“一网通办”改革工作部署，为完成好市、县区、镇（街）、村（社区）四级电子政务外网覆盖任务需使用政务服务外网。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020001盘锦市大洼区营商环境建设局本级-211104000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14.85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311.23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43.99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控制运行成本优化营商环境建设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调查成果辅助决策采纳率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上级主管部门满意度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开展信息调研</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开展调研</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优化提升营商环境建设及政务服务活动印刷、制作展板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为打造营商环境最优区建设，扩大优化全区营商环境宣传及开展政务（公开）服务活动，办快政务服务中心大厅标准化建设。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固定资产投资项目评审费用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43.7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大洼区每年上报国家、省级争取资金项目和重大项目，上报项目需进行可研评审和社会风险稳定评估。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政务服务中心便民服务费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47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营商局政务服务大厅日接待办事群众、企业近800余人，为更好的为进厅企业、群众服务，为办事群众提供饮用水、纸杯；提供免费复印、打印服务；免费为企业、群众提供邮寄服务等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服务窗口办公局域网络设备维护和耗材费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47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大洼区营商局（行政审批局）为更好地为企业、群众提供优质的窗口服务、提高办事效率。每年需对服务窗口办公局域网络进行设备更新及维护和服务窗口耗材需求。</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特种设备车辆场内牌照制作及各类审批证（照）、申请表格印刷费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47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大洼区营商局（行政审批局）具有审批事项51项，涉及办理证照25咱，需使用各类登记表、证（照）等30余类，每年需印刷各类审批证（照）、申请表格及制作特种设备车辆场内牌照。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租用辽宁电信语音中继线业务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营商局使用“12345平台”和“指尖大洼”APP受理群众投诉案件，租用辽宁电信语音中继线业务。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2019"/>
        <w:gridCol w:w="1663"/>
        <w:gridCol w:w="1824"/>
        <w:gridCol w:w="3810"/>
        <w:gridCol w:w="1163"/>
        <w:gridCol w:w="1567"/>
        <w:gridCol w:w="1163"/>
        <w:gridCol w:w="1631"/>
      </w:tblGrid>
      <w:tr>
        <w:trPr>
          <w:trHeight w:hRule="exact" w:val="501"/>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6"/>
              </w:rPr>
              <w:t xml:space="preserve">部门预算项目（政策）绩效目标表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14840" w:type="dxa"/>
            <w:hMerge w:val="restart"/>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w:t>
            </w: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32"/>
          <w:jc w:val="center"/>
        </w:trPr>
        <w:tc>
          <w:tcPr>
            <w:tcW w:w="14840" w:type="dxa"/>
            <w:hMerge w:val="restart"/>
            <w:tcBorders>
              <w:bottom w:val="single" w:sz="4" w:space="0" w:color="000000"/>
            </w:tcBorders>
            <w:shd w:val="clear" w:color="auto" w:fill="FFFFFF"/>
            <w:vAlign w:val="bottom"/>
          </w:tcPr>
          <w:p>
            <w:pPr>
              <w:snapToGrid w:val="0"/>
              <w:spacing w:before="0" w:beforeAutospacing="0" w:after="0" w:afterAutospacing="0" w:line="240" w:lineRule="auto"/>
              <w:jc w:val="right"/>
            </w:pPr>
            <w:r>
              <w:rPr>
                <w:rFonts w:ascii="SimSun-ExtB" w:eastAsia="SimSun-ExtB" w:hAnsi="SimSun-ExtB" w:cs="SimSun-ExtB"/>
                <w:b w:val="0"/>
                <w:i w:val="0"/>
                <w:color w:val="000000"/>
                <w:sz w:val="18"/>
              </w:rPr>
              <w:t xml:space="preserve">单位:万元</w:t>
            </w: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c>
          <w:tcPr>
            <w:tcW w:type="auto" w:w="0"/>
            <w:hMerge/>
            <w:tcBorders>
              <w:bottom w:val="single" w:sz="4" w:space="0" w:color="000000"/>
            </w:tcBorders>
            <w:shd w:val="clear" w:color="auto" w:fill="FFFFFF"/>
            <w:vAlign w:val="bottom"/>
          </w:tcPr>
          <w:p>
            <w:pPr>
              <w:snapToGrid w:val="0"/>
              <w:spacing w:before="0" w:beforeAutospacing="0" w:after="0" w:afterAutospacing="0" w:line="240" w:lineRule="auto"/>
              <w:jc w:val="right"/>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项目(政策)名称</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订阅《民心》杂志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主管部门</w:t>
            </w:r>
          </w:p>
        </w:tc>
        <w:tc>
          <w:tcPr>
            <w:tcW w:w="72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实施单位</w:t>
            </w:r>
          </w:p>
        </w:tc>
        <w:tc>
          <w:tcPr>
            <w:tcW w:w="436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盘锦市大洼区营商环境建设局本级-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6"/>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预算资金情况 </w:t>
            </w:r>
          </w:p>
        </w:tc>
        <w:tc>
          <w:tcPr>
            <w:tcW w:w="1282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6"/>
              </w:rPr>
              <w:t xml:space="preserve">0.66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r>
      <w:tr>
        <w:trPr>
          <w:trHeight w:hRule="exac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总体目标</w:t>
            </w:r>
          </w:p>
        </w:tc>
        <w:tc>
          <w:tcPr>
            <w:tcW w:w="1282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按照省营商局统一安排，大洼区营商局需每年为区直各单位统一订阅《民心》杂志。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89"/>
          <w:jc w:val="center"/>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绩效指标</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一级指标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二级指标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三级指标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运算</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符号</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指标值</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度量</w:t>
            </w:r>
          </w:p>
          <w:p>
            <w:pPr>
              <w:snapToGrid w:val="0"/>
              <w:spacing w:before="0" w:beforeAutospacing="0" w:after="0" w:afterAutospacing="0" w:line="240" w:lineRule="auto"/>
              <w:jc w:val="center"/>
              <w:rPr/>
            </w:pPr>
            <w:r>
              <w:rPr>
                <w:rFonts w:ascii="宋体" w:eastAsia="宋体" w:hAnsi="宋体" w:cs="宋体"/>
                <w:b w:val="0"/>
                <w:i w:val="0"/>
                <w:color w:val="000000"/>
                <w:sz w:val="16"/>
              </w:rPr>
              <w:t xml:space="preserve">单位</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完成时限</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产出指标</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数量指标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经费足额发放率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质量指标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正常运转率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发放到位率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时效指标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保障及时率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成本指标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按标准保障率</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100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效益指标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社会效益指标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确保机关事业单位平稳运行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平稳运行</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可持续影响指标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保障水平</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足额保障</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r>
        <w:trPr>
          <w:trHeight w:hRule="exact" w:val="489"/>
          <w:jc w:val="center"/>
        </w:trPr>
        <w:tc>
          <w:tcPr>
            <w:tcW w:w="2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满意度指标</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服务对象满意度指标</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机关事业单位干部群众满意度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&gt;=</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95</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