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辽宁省盘锦市大洼区营商环境建设局（本级）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辽宁省盘锦市大洼区营商环境建设局（本级）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辽宁省盘锦市大洼区营商环境建设局（本级）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辽宁省盘锦市大洼区营商环境建设局（本级）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辽宁省盘锦市大洼区营商环境建设局（本级）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辽宁省盘锦市大洼区营商环境建设局（本级）概况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贯彻落实党中央、国务院关于加强和优化营商环境建设的方针政策和相关法律法规及省委、省政府、市委、市政府、区委、区政府部署要求，执行相关地方性法规和市政府规章草案，制定部门规范性文件，组织贯彻落实《辽宁省优化营商环境条例》。</w:t>
        <w:br/>
        <w:t xml:space="preserve">    拟订全区营商环境建设工作规划和年度计划，拟订加强和优化全区营商环境建设的政策、措施和制度并组织实施，组织指导、统筹协调各镇街、经济区、各部门营商环境建设工作及信息统计、数据分析等工作。</w:t>
        <w:br/>
        <w:t xml:space="preserve">    负责全区营商环境建设监督检查工作，受理相关投诉、举报，查处营商环境建设违法、违纪、违规行为。</w:t>
        <w:br/>
        <w:t xml:space="preserve">    根据有关部署对全区贯彻落实区委、区政府关于优化营商环境建设工作进行考评。</w:t>
        <w:br/>
        <w:t xml:space="preserve">    负责推进全区简政放权放管结合优化服务改革及行政审批制度改革工作，指导镇街简政放权放管结合优化服务改革及行政审批制度改革工作。</w:t>
        <w:br/>
        <w:t xml:space="preserve">    负责制定全区政务服务运行规章制度、管理考核办法，并组织实施。负责区政务服务中心的运行和管理，负责对进驻服务中心政务服务事项的组织协调、监督管理、指导服务及综合受理。</w:t>
        <w:br/>
        <w:t xml:space="preserve">    负责全区行政权力运行制度系统、行政权力电子监察系统建设等工作，负责对区公共服务中心相关业务工作进行管理和指导，指导、协调、监督全区政务服务工作和各级政务服务中心及代办机构建设。统筹负责“互联网+政务”建设推进及政务服务和8890服务平台的大数据管理和应用。</w:t>
        <w:br/>
        <w:t xml:space="preserve">    负责8890非紧急类服务平台规划建设和日常运行监管工作，指导区民心网工作。</w:t>
        <w:br/>
        <w:t xml:space="preserve">    负责规范区级行政审批行为，建立和完善相应工作机制；负责对区级政务服务事项进行流程再造、优化环节、压缩时限，并对办理情况进行跟踪督办，协调解决事项办理中存在的问题。</w:t>
        <w:br/>
        <w:t xml:space="preserve">    负责办理划转的政务服务事项，实行全程代办；及时向区各职能部门通报行政审批事项办理情况；负责做好与各业务部门的沟通，做到审批与日常监管的无缝对接；负责涉及所承担的行政审批事项的现场勘查、专家评审、技术论证和社会听证等工作，并对审批行为承担相应的法律责任</w:t>
        <w:br/>
        <w:t xml:space="preserve">    负责派驻到政务服务大厅的垂管部门、双重管理部门的窗口设置及行政审批工作的规范、管理和监督；负责受理区级划转至区行政审批局及整建制派驻部门行政审批行为的投诉举报，会同有关部门查处行政审批方面的违法违纪行为。</w:t>
        <w:br/>
        <w:t xml:space="preserve">    负责行政审批工作人员的教育培训、管理和绩效考核。</w:t>
        <w:br/>
        <w:t xml:space="preserve">    承担区营商环境建设工作领导小组、区推进职能转变协调小组、区行政审批制度改革工作领导小组和区软环境建设领导小组日常工作。</w:t>
        <w:br/>
        <w:t xml:space="preserve">    完成区委、区政府交办的其他事项。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辽宁省盘锦市大洼区营商环境建设局（本级）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辽宁省盘锦市大洼区营商环境建设局（本级）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425.86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425.86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425.86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减少48.25万元，降低10.18%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项目资金减少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425.86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394.48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92.63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工资福利支出358.35万元；商品和服务支出32.99万元；对个人和家庭的补助3.14万元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31.38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主要包括特种设备车辆场内牌照制作及各类审批证（照）、申请表格印刷费等业务支出。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减少48.25万元，降低10.18%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425.86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394.48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31.38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减少48.25万元，降低10.18%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84.58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90.08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47.86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2023年度一般公共预算财政拨款支出425.86万元。按支出功能分类科目分，包括：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1.一般公共服务支出329.75万元，具体包括：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298.37万元,主要是工资福利支出、商品和服务支出等支出，完成年初预算的82.45%，决算数与年初预算数存在差异的主要原因是本年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一般行政管理事务（项）31.38万元,主要是办公费、印刷费等支出，完成年初预算的47.86%，决算数与年初预算数存在差异的主要原因是本年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2.社会保障和就业支出47.88万元，具体包括：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（1）社会保障和就业支出（类）行政事业单位养老支出（款）行政单位离退休（项）1.48万元,主要是退休人员取暖费等支出，完成年初预算的100%，决算数与年初预算数存在差异的主要原因是无。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39.89万元,主要是机关事业单位基本养老保险缴费等支出，完成年初预算的88.86%，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（3）社会保障和就业支出（类）行政事业单位养老支出（款）机关事业单位职业年金缴费支出（项）5.63万元,主要是职业年金缴费等支出，完成年初预算的100%，决算数与年初预算数存在差异的主要原因是无。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0.88万元,主要是工伤保险缴费等支出，完成年初预算的154.39%，决算数与年初预算数存在差异的主要原因是补缴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3.卫生健康支出15.55万元，具体包括：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（1）卫生健康支出（类）公共卫生（款）重大公共卫生服务（项）0.42万元,主要是防疫检查点一线工作人员临时性补助等支出，完成年初预算的100%，决算数与年初预算数存在差异的主要原因是无。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（2）卫生健康支出（类）行政事业单位医疗（款）行政单位医疗（项）14.94万元,主要是职工基本医疗缴费等支出，完成年初预算的76.07%，决算数与年初预算数存在差异的主要原因是人员减少。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（3）卫生健康支出（类）行政事业单位医疗（款）其他行政事业单位医疗支出（项）0.19万元,主要是大额医疗保险缴费等支出，完成年初预算的95%，决算数与年初预算数存在差异的主要原因是人员减少。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4.住房保障支出32.69万元，具体包括：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（1）住房保障支出（类）住房改革支出（款）住房公积金（项）32.69万元,主要是住房公积金缴存支出等支出，完成年初预算的88.93%，决算数与年初预算数存在差异的主要原因是人员减少。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39.60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公务用车运行维护减少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39.60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公务用车运行维护减少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比上年增加0.44万元，增长80.00%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本年度较上年度公务用车量及运行维护有所增加。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主要用于车辆保险缴纳及公务用运行维护等，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394.48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361.49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32.99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32.99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比上年增加0.56万元，增长1.73%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办公费、印刷费、公务用车运行维护费有所增加，其他交通补助减少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0.33</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0.33</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0.33</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0.33</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盘锦市大洼区营商环境建设局2023年部门整体绩效目标503.49万元，其中基本支出437.93万元，项目支出65.56万元。2023年应编制部门预算项目（政策）绩效目标的项目共0个，实际编制0个，涉及资金0万元。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425.86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329.75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47.87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15.55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32.69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425.86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425.86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425.86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425.86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425.86</w:t>
            </w:r>
          </w:p>
        </w:tc>
        <w:tc>
          <w:tcPr>
            <w:tcW w:w="1160" w:type="dxa"/>
            <w:tcBorders/>
            <w:vAlign w:val="center"/>
          </w:tcPr>
          <w:p>
            <w:pPr>
              <w:jc w:val="right"/>
            </w:pPr>
            <w:r>
              <w:rPr>
                <w:rFonts w:ascii="宋体" w:eastAsia="宋体" w:hAnsi="宋体" w:cs="宋体"/>
                <w:b/>
                <w:i w:val="0"/>
                <w:color w:val="000000"/>
                <w:sz w:val="14"/>
              </w:rPr>
              <w:t xml:space="preserve">425.86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329.75</w:t>
            </w:r>
          </w:p>
        </w:tc>
        <w:tc>
          <w:tcPr>
            <w:tcW w:w="1160" w:type="dxa"/>
            <w:tcBorders/>
            <w:vAlign w:val="center"/>
          </w:tcPr>
          <w:p>
            <w:pPr>
              <w:jc w:val="right"/>
            </w:pPr>
            <w:r>
              <w:rPr>
                <w:rFonts w:ascii="宋体" w:eastAsia="宋体" w:hAnsi="宋体" w:cs="宋体"/>
                <w:b w:val="0"/>
                <w:i w:val="0"/>
                <w:color w:val="000000"/>
                <w:sz w:val="14"/>
              </w:rPr>
              <w:t xml:space="preserve">329.75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329.75</w:t>
            </w:r>
          </w:p>
        </w:tc>
        <w:tc>
          <w:tcPr>
            <w:tcW w:w="1160" w:type="dxa"/>
            <w:tcBorders/>
            <w:vAlign w:val="center"/>
          </w:tcPr>
          <w:p>
            <w:pPr>
              <w:jc w:val="right"/>
            </w:pPr>
            <w:r>
              <w:rPr>
                <w:rFonts w:ascii="宋体" w:eastAsia="宋体" w:hAnsi="宋体" w:cs="宋体"/>
                <w:b w:val="0"/>
                <w:i w:val="0"/>
                <w:color w:val="000000"/>
                <w:sz w:val="14"/>
              </w:rPr>
              <w:t xml:space="preserve">329.75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298.37</w:t>
            </w:r>
          </w:p>
        </w:tc>
        <w:tc>
          <w:tcPr>
            <w:tcW w:w="1160" w:type="dxa"/>
            <w:tcBorders/>
            <w:vAlign w:val="center"/>
          </w:tcPr>
          <w:p>
            <w:pPr>
              <w:jc w:val="right"/>
            </w:pPr>
            <w:r>
              <w:rPr>
                <w:rFonts w:ascii="宋体" w:eastAsia="宋体" w:hAnsi="宋体" w:cs="宋体"/>
                <w:b w:val="0"/>
                <w:i w:val="0"/>
                <w:color w:val="000000"/>
                <w:sz w:val="14"/>
              </w:rPr>
              <w:t xml:space="preserve">298.37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31.38</w:t>
            </w:r>
          </w:p>
        </w:tc>
        <w:tc>
          <w:tcPr>
            <w:tcW w:w="1160" w:type="dxa"/>
            <w:tcBorders/>
            <w:vAlign w:val="center"/>
          </w:tcPr>
          <w:p>
            <w:pPr>
              <w:jc w:val="right"/>
            </w:pPr>
            <w:r>
              <w:rPr>
                <w:rFonts w:ascii="宋体" w:eastAsia="宋体" w:hAnsi="宋体" w:cs="宋体"/>
                <w:b w:val="0"/>
                <w:i w:val="0"/>
                <w:color w:val="000000"/>
                <w:sz w:val="14"/>
              </w:rPr>
              <w:t xml:space="preserve">31.38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47.88</w:t>
            </w:r>
          </w:p>
        </w:tc>
        <w:tc>
          <w:tcPr>
            <w:tcW w:w="1160" w:type="dxa"/>
            <w:tcBorders/>
            <w:vAlign w:val="center"/>
          </w:tcPr>
          <w:p>
            <w:pPr>
              <w:jc w:val="right"/>
            </w:pPr>
            <w:r>
              <w:rPr>
                <w:rFonts w:ascii="宋体" w:eastAsia="宋体" w:hAnsi="宋体" w:cs="宋体"/>
                <w:b w:val="0"/>
                <w:i w:val="0"/>
                <w:color w:val="000000"/>
                <w:sz w:val="14"/>
              </w:rPr>
              <w:t xml:space="preserve">47.88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47.00</w:t>
            </w:r>
          </w:p>
        </w:tc>
        <w:tc>
          <w:tcPr>
            <w:tcW w:w="1160" w:type="dxa"/>
            <w:tcBorders/>
            <w:vAlign w:val="center"/>
          </w:tcPr>
          <w:p>
            <w:pPr>
              <w:jc w:val="right"/>
            </w:pPr>
            <w:r>
              <w:rPr>
                <w:rFonts w:ascii="宋体" w:eastAsia="宋体" w:hAnsi="宋体" w:cs="宋体"/>
                <w:b w:val="0"/>
                <w:i w:val="0"/>
                <w:color w:val="000000"/>
                <w:sz w:val="14"/>
              </w:rPr>
              <w:t xml:space="preserve">47.00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39.89</w:t>
            </w:r>
          </w:p>
        </w:tc>
        <w:tc>
          <w:tcPr>
            <w:tcW w:w="1160" w:type="dxa"/>
            <w:tcBorders/>
            <w:vAlign w:val="center"/>
          </w:tcPr>
          <w:p>
            <w:pPr>
              <w:jc w:val="right"/>
            </w:pPr>
            <w:r>
              <w:rPr>
                <w:rFonts w:ascii="宋体" w:eastAsia="宋体" w:hAnsi="宋体" w:cs="宋体"/>
                <w:b w:val="0"/>
                <w:i w:val="0"/>
                <w:color w:val="000000"/>
                <w:sz w:val="14"/>
              </w:rPr>
              <w:t xml:space="preserve">39.89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15.55</w:t>
            </w:r>
          </w:p>
        </w:tc>
        <w:tc>
          <w:tcPr>
            <w:tcW w:w="1160" w:type="dxa"/>
            <w:tcBorders/>
            <w:vAlign w:val="center"/>
          </w:tcPr>
          <w:p>
            <w:pPr>
              <w:jc w:val="right"/>
            </w:pPr>
            <w:r>
              <w:rPr>
                <w:rFonts w:ascii="宋体" w:eastAsia="宋体" w:hAnsi="宋体" w:cs="宋体"/>
                <w:b w:val="0"/>
                <w:i w:val="0"/>
                <w:color w:val="000000"/>
                <w:sz w:val="14"/>
              </w:rPr>
              <w:t xml:space="preserve">15.55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15.13</w:t>
            </w:r>
          </w:p>
        </w:tc>
        <w:tc>
          <w:tcPr>
            <w:tcW w:w="1160" w:type="dxa"/>
            <w:tcBorders/>
            <w:vAlign w:val="center"/>
          </w:tcPr>
          <w:p>
            <w:pPr>
              <w:jc w:val="right"/>
            </w:pPr>
            <w:r>
              <w:rPr>
                <w:rFonts w:ascii="宋体" w:eastAsia="宋体" w:hAnsi="宋体" w:cs="宋体"/>
                <w:b w:val="0"/>
                <w:i w:val="0"/>
                <w:color w:val="000000"/>
                <w:sz w:val="14"/>
              </w:rPr>
              <w:t xml:space="preserve">15.13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14.94</w:t>
            </w:r>
          </w:p>
        </w:tc>
        <w:tc>
          <w:tcPr>
            <w:tcW w:w="1160" w:type="dxa"/>
            <w:tcBorders/>
            <w:vAlign w:val="center"/>
          </w:tcPr>
          <w:p>
            <w:pPr>
              <w:jc w:val="right"/>
            </w:pPr>
            <w:r>
              <w:rPr>
                <w:rFonts w:ascii="宋体" w:eastAsia="宋体" w:hAnsi="宋体" w:cs="宋体"/>
                <w:b w:val="0"/>
                <w:i w:val="0"/>
                <w:color w:val="000000"/>
                <w:sz w:val="14"/>
              </w:rPr>
              <w:t xml:space="preserve">14.94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32.69</w:t>
            </w:r>
          </w:p>
        </w:tc>
        <w:tc>
          <w:tcPr>
            <w:tcW w:w="1160" w:type="dxa"/>
            <w:tcBorders/>
            <w:vAlign w:val="center"/>
          </w:tcPr>
          <w:p>
            <w:pPr>
              <w:jc w:val="right"/>
            </w:pPr>
            <w:r>
              <w:rPr>
                <w:rFonts w:ascii="宋体" w:eastAsia="宋体" w:hAnsi="宋体" w:cs="宋体"/>
                <w:b w:val="0"/>
                <w:i w:val="0"/>
                <w:color w:val="000000"/>
                <w:sz w:val="14"/>
              </w:rPr>
              <w:t xml:space="preserve">32.69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32.69</w:t>
            </w:r>
          </w:p>
        </w:tc>
        <w:tc>
          <w:tcPr>
            <w:tcW w:w="1160" w:type="dxa"/>
            <w:tcBorders/>
            <w:vAlign w:val="center"/>
          </w:tcPr>
          <w:p>
            <w:pPr>
              <w:jc w:val="right"/>
            </w:pPr>
            <w:r>
              <w:rPr>
                <w:rFonts w:ascii="宋体" w:eastAsia="宋体" w:hAnsi="宋体" w:cs="宋体"/>
                <w:b w:val="0"/>
                <w:i w:val="0"/>
                <w:color w:val="000000"/>
                <w:sz w:val="14"/>
              </w:rPr>
              <w:t xml:space="preserve">32.69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32.69</w:t>
            </w:r>
          </w:p>
        </w:tc>
        <w:tc>
          <w:tcPr>
            <w:tcW w:w="1160" w:type="dxa"/>
            <w:tcBorders/>
            <w:vAlign w:val="center"/>
          </w:tcPr>
          <w:p>
            <w:pPr>
              <w:jc w:val="right"/>
            </w:pPr>
            <w:r>
              <w:rPr>
                <w:rFonts w:ascii="宋体" w:eastAsia="宋体" w:hAnsi="宋体" w:cs="宋体"/>
                <w:b w:val="0"/>
                <w:i w:val="0"/>
                <w:color w:val="000000"/>
                <w:sz w:val="14"/>
              </w:rPr>
              <w:t xml:space="preserve">32.69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425.86</w:t>
            </w:r>
          </w:p>
        </w:tc>
        <w:tc>
          <w:tcPr>
            <w:tcW w:w="1120" w:type="dxa"/>
            <w:tcBorders/>
            <w:vAlign w:val="center"/>
          </w:tcPr>
          <w:p>
            <w:pPr>
              <w:jc w:val="right"/>
            </w:pPr>
            <w:r>
              <w:rPr>
                <w:rFonts w:ascii="宋体" w:eastAsia="宋体" w:hAnsi="宋体" w:cs="宋体"/>
                <w:b/>
                <w:i w:val="0"/>
                <w:color w:val="000000"/>
                <w:sz w:val="16"/>
              </w:rPr>
              <w:t xml:space="preserve">394.48</w:t>
            </w:r>
          </w:p>
        </w:tc>
        <w:tc>
          <w:tcPr>
            <w:tcW w:w="1120" w:type="dxa"/>
            <w:tcBorders/>
            <w:vAlign w:val="center"/>
          </w:tcPr>
          <w:p>
            <w:pPr>
              <w:jc w:val="right"/>
            </w:pPr>
            <w:r>
              <w:rPr>
                <w:rFonts w:ascii="宋体" w:eastAsia="宋体" w:hAnsi="宋体" w:cs="宋体"/>
                <w:b/>
                <w:i w:val="0"/>
                <w:color w:val="000000"/>
                <w:sz w:val="16"/>
              </w:rPr>
              <w:t xml:space="preserve">31.38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329.75</w:t>
            </w:r>
          </w:p>
        </w:tc>
        <w:tc>
          <w:tcPr>
            <w:tcW w:w="1120" w:type="dxa"/>
            <w:tcBorders/>
            <w:vAlign w:val="center"/>
          </w:tcPr>
          <w:p>
            <w:pPr>
              <w:jc w:val="right"/>
            </w:pPr>
            <w:r>
              <w:rPr>
                <w:rFonts w:ascii="宋体" w:eastAsia="宋体" w:hAnsi="宋体" w:cs="宋体"/>
                <w:b w:val="0"/>
                <w:i w:val="0"/>
                <w:color w:val="000000"/>
                <w:sz w:val="16"/>
              </w:rPr>
              <w:t xml:space="preserve">298.37</w:t>
            </w:r>
          </w:p>
        </w:tc>
        <w:tc>
          <w:tcPr>
            <w:tcW w:w="1120" w:type="dxa"/>
            <w:tcBorders/>
            <w:vAlign w:val="center"/>
          </w:tcPr>
          <w:p>
            <w:pPr>
              <w:jc w:val="right"/>
            </w:pPr>
            <w:r>
              <w:rPr>
                <w:rFonts w:ascii="宋体" w:eastAsia="宋体" w:hAnsi="宋体" w:cs="宋体"/>
                <w:b w:val="0"/>
                <w:i w:val="0"/>
                <w:color w:val="000000"/>
                <w:sz w:val="16"/>
              </w:rPr>
              <w:t xml:space="preserve">31.38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329.75</w:t>
            </w:r>
          </w:p>
        </w:tc>
        <w:tc>
          <w:tcPr>
            <w:tcW w:w="1120" w:type="dxa"/>
            <w:tcBorders/>
            <w:vAlign w:val="center"/>
          </w:tcPr>
          <w:p>
            <w:pPr>
              <w:jc w:val="right"/>
            </w:pPr>
            <w:r>
              <w:rPr>
                <w:rFonts w:ascii="宋体" w:eastAsia="宋体" w:hAnsi="宋体" w:cs="宋体"/>
                <w:b w:val="0"/>
                <w:i w:val="0"/>
                <w:color w:val="000000"/>
                <w:sz w:val="16"/>
              </w:rPr>
              <w:t xml:space="preserve">298.37</w:t>
            </w:r>
          </w:p>
        </w:tc>
        <w:tc>
          <w:tcPr>
            <w:tcW w:w="1120" w:type="dxa"/>
            <w:tcBorders/>
            <w:vAlign w:val="center"/>
          </w:tcPr>
          <w:p>
            <w:pPr>
              <w:jc w:val="right"/>
            </w:pPr>
            <w:r>
              <w:rPr>
                <w:rFonts w:ascii="宋体" w:eastAsia="宋体" w:hAnsi="宋体" w:cs="宋体"/>
                <w:b w:val="0"/>
                <w:i w:val="0"/>
                <w:color w:val="000000"/>
                <w:sz w:val="16"/>
              </w:rPr>
              <w:t xml:space="preserve">31.38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298.37</w:t>
            </w:r>
          </w:p>
        </w:tc>
        <w:tc>
          <w:tcPr>
            <w:tcW w:w="1120" w:type="dxa"/>
            <w:tcBorders/>
            <w:vAlign w:val="center"/>
          </w:tcPr>
          <w:p>
            <w:pPr>
              <w:jc w:val="right"/>
            </w:pPr>
            <w:r>
              <w:rPr>
                <w:rFonts w:ascii="宋体" w:eastAsia="宋体" w:hAnsi="宋体" w:cs="宋体"/>
                <w:b w:val="0"/>
                <w:i w:val="0"/>
                <w:color w:val="000000"/>
                <w:sz w:val="16"/>
              </w:rPr>
              <w:t xml:space="preserve">298.37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31.38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47.88</w:t>
            </w:r>
          </w:p>
        </w:tc>
        <w:tc>
          <w:tcPr>
            <w:tcW w:w="1120" w:type="dxa"/>
            <w:tcBorders/>
            <w:vAlign w:val="center"/>
          </w:tcPr>
          <w:p>
            <w:pPr>
              <w:jc w:val="right"/>
            </w:pPr>
            <w:r>
              <w:rPr>
                <w:rFonts w:ascii="宋体" w:eastAsia="宋体" w:hAnsi="宋体" w:cs="宋体"/>
                <w:b w:val="0"/>
                <w:i w:val="0"/>
                <w:color w:val="000000"/>
                <w:sz w:val="16"/>
              </w:rPr>
              <w:t xml:space="preserve">47.88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47.00</w:t>
            </w:r>
          </w:p>
        </w:tc>
        <w:tc>
          <w:tcPr>
            <w:tcW w:w="1120" w:type="dxa"/>
            <w:tcBorders/>
            <w:vAlign w:val="center"/>
          </w:tcPr>
          <w:p>
            <w:pPr>
              <w:jc w:val="right"/>
            </w:pPr>
            <w:r>
              <w:rPr>
                <w:rFonts w:ascii="宋体" w:eastAsia="宋体" w:hAnsi="宋体" w:cs="宋体"/>
                <w:b w:val="0"/>
                <w:i w:val="0"/>
                <w:color w:val="000000"/>
                <w:sz w:val="16"/>
              </w:rPr>
              <w:t xml:space="preserve">47.00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39.89</w:t>
            </w:r>
          </w:p>
        </w:tc>
        <w:tc>
          <w:tcPr>
            <w:tcW w:w="1120" w:type="dxa"/>
            <w:tcBorders/>
            <w:vAlign w:val="center"/>
          </w:tcPr>
          <w:p>
            <w:pPr>
              <w:jc w:val="right"/>
            </w:pPr>
            <w:r>
              <w:rPr>
                <w:rFonts w:ascii="宋体" w:eastAsia="宋体" w:hAnsi="宋体" w:cs="宋体"/>
                <w:b w:val="0"/>
                <w:i w:val="0"/>
                <w:color w:val="000000"/>
                <w:sz w:val="16"/>
              </w:rPr>
              <w:t xml:space="preserve">39.89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5.63</w:t>
            </w:r>
          </w:p>
        </w:tc>
        <w:tc>
          <w:tcPr>
            <w:tcW w:w="1120" w:type="dxa"/>
            <w:tcBorders/>
            <w:vAlign w:val="center"/>
          </w:tcPr>
          <w:p>
            <w:pPr>
              <w:jc w:val="right"/>
            </w:pPr>
            <w:r>
              <w:rPr>
                <w:rFonts w:ascii="宋体" w:eastAsia="宋体" w:hAnsi="宋体" w:cs="宋体"/>
                <w:b w:val="0"/>
                <w:i w:val="0"/>
                <w:color w:val="000000"/>
                <w:sz w:val="16"/>
              </w:rPr>
              <w:t xml:space="preserve">5.63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15.55</w:t>
            </w:r>
          </w:p>
        </w:tc>
        <w:tc>
          <w:tcPr>
            <w:tcW w:w="1120" w:type="dxa"/>
            <w:tcBorders/>
            <w:vAlign w:val="center"/>
          </w:tcPr>
          <w:p>
            <w:pPr>
              <w:jc w:val="right"/>
            </w:pPr>
            <w:r>
              <w:rPr>
                <w:rFonts w:ascii="宋体" w:eastAsia="宋体" w:hAnsi="宋体" w:cs="宋体"/>
                <w:b w:val="0"/>
                <w:i w:val="0"/>
                <w:color w:val="000000"/>
                <w:sz w:val="16"/>
              </w:rPr>
              <w:t xml:space="preserve">15.55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15.13</w:t>
            </w:r>
          </w:p>
        </w:tc>
        <w:tc>
          <w:tcPr>
            <w:tcW w:w="1120" w:type="dxa"/>
            <w:tcBorders/>
            <w:vAlign w:val="center"/>
          </w:tcPr>
          <w:p>
            <w:pPr>
              <w:jc w:val="right"/>
            </w:pPr>
            <w:r>
              <w:rPr>
                <w:rFonts w:ascii="宋体" w:eastAsia="宋体" w:hAnsi="宋体" w:cs="宋体"/>
                <w:b w:val="0"/>
                <w:i w:val="0"/>
                <w:color w:val="000000"/>
                <w:sz w:val="16"/>
              </w:rPr>
              <w:t xml:space="preserve">15.13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32.69</w:t>
            </w:r>
          </w:p>
        </w:tc>
        <w:tc>
          <w:tcPr>
            <w:tcW w:w="1120" w:type="dxa"/>
            <w:tcBorders/>
            <w:vAlign w:val="center"/>
          </w:tcPr>
          <w:p>
            <w:pPr>
              <w:jc w:val="right"/>
            </w:pPr>
            <w:r>
              <w:rPr>
                <w:rFonts w:ascii="宋体" w:eastAsia="宋体" w:hAnsi="宋体" w:cs="宋体"/>
                <w:b w:val="0"/>
                <w:i w:val="0"/>
                <w:color w:val="000000"/>
                <w:sz w:val="16"/>
              </w:rPr>
              <w:t xml:space="preserve">32.69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32.69</w:t>
            </w:r>
          </w:p>
        </w:tc>
        <w:tc>
          <w:tcPr>
            <w:tcW w:w="1120" w:type="dxa"/>
            <w:tcBorders/>
            <w:vAlign w:val="center"/>
          </w:tcPr>
          <w:p>
            <w:pPr>
              <w:jc w:val="right"/>
            </w:pPr>
            <w:r>
              <w:rPr>
                <w:rFonts w:ascii="宋体" w:eastAsia="宋体" w:hAnsi="宋体" w:cs="宋体"/>
                <w:b w:val="0"/>
                <w:i w:val="0"/>
                <w:color w:val="000000"/>
                <w:sz w:val="16"/>
              </w:rPr>
              <w:t xml:space="preserve">32.69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32.69</w:t>
            </w:r>
          </w:p>
        </w:tc>
        <w:tc>
          <w:tcPr>
            <w:tcW w:w="1120" w:type="dxa"/>
            <w:tcBorders/>
            <w:vAlign w:val="center"/>
          </w:tcPr>
          <w:p>
            <w:pPr>
              <w:jc w:val="right"/>
            </w:pPr>
            <w:r>
              <w:rPr>
                <w:rFonts w:ascii="宋体" w:eastAsia="宋体" w:hAnsi="宋体" w:cs="宋体"/>
                <w:b w:val="0"/>
                <w:i w:val="0"/>
                <w:color w:val="000000"/>
                <w:sz w:val="16"/>
              </w:rPr>
              <w:t xml:space="preserve">32.69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425.86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329.75</w:t>
            </w:r>
          </w:p>
        </w:tc>
        <w:tc>
          <w:tcPr>
            <w:tcW w:w="1100" w:type="dxa"/>
            <w:tcBorders/>
            <w:vAlign w:val="center"/>
          </w:tcPr>
          <w:p>
            <w:pPr>
              <w:jc w:val="right"/>
            </w:pPr>
            <w:r>
              <w:rPr>
                <w:rFonts w:ascii="宋体" w:eastAsia="宋体" w:hAnsi="宋体" w:cs="宋体"/>
                <w:b w:val="0"/>
                <w:i w:val="0"/>
                <w:color w:val="000000"/>
                <w:sz w:val="14"/>
              </w:rPr>
              <w:t xml:space="preserve">329.75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47.87</w:t>
            </w:r>
          </w:p>
        </w:tc>
        <w:tc>
          <w:tcPr>
            <w:tcW w:w="1100" w:type="dxa"/>
            <w:tcBorders/>
            <w:vAlign w:val="center"/>
          </w:tcPr>
          <w:p>
            <w:pPr>
              <w:jc w:val="right"/>
            </w:pPr>
            <w:r>
              <w:rPr>
                <w:rFonts w:ascii="宋体" w:eastAsia="宋体" w:hAnsi="宋体" w:cs="宋体"/>
                <w:b w:val="0"/>
                <w:i w:val="0"/>
                <w:color w:val="000000"/>
                <w:sz w:val="14"/>
              </w:rPr>
              <w:t xml:space="preserve">47.87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15.55</w:t>
            </w:r>
          </w:p>
        </w:tc>
        <w:tc>
          <w:tcPr>
            <w:tcW w:w="1100" w:type="dxa"/>
            <w:tcBorders/>
            <w:vAlign w:val="center"/>
          </w:tcPr>
          <w:p>
            <w:pPr>
              <w:jc w:val="right"/>
            </w:pPr>
            <w:r>
              <w:rPr>
                <w:rFonts w:ascii="宋体" w:eastAsia="宋体" w:hAnsi="宋体" w:cs="宋体"/>
                <w:b w:val="0"/>
                <w:i w:val="0"/>
                <w:color w:val="000000"/>
                <w:sz w:val="14"/>
              </w:rPr>
              <w:t xml:space="preserve">15.55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32.69</w:t>
            </w:r>
          </w:p>
        </w:tc>
        <w:tc>
          <w:tcPr>
            <w:tcW w:w="1100" w:type="dxa"/>
            <w:tcBorders/>
            <w:vAlign w:val="center"/>
          </w:tcPr>
          <w:p>
            <w:pPr>
              <w:jc w:val="right"/>
            </w:pPr>
            <w:r>
              <w:rPr>
                <w:rFonts w:ascii="宋体" w:eastAsia="宋体" w:hAnsi="宋体" w:cs="宋体"/>
                <w:b w:val="0"/>
                <w:i w:val="0"/>
                <w:color w:val="000000"/>
                <w:sz w:val="14"/>
              </w:rPr>
              <w:t xml:space="preserve">32.69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425.86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425.86</w:t>
            </w:r>
          </w:p>
        </w:tc>
        <w:tc>
          <w:tcPr>
            <w:tcW w:w="1100" w:type="dxa"/>
            <w:tcBorders/>
            <w:vAlign w:val="center"/>
          </w:tcPr>
          <w:p>
            <w:pPr>
              <w:jc w:val="right"/>
            </w:pPr>
            <w:r>
              <w:rPr>
                <w:rFonts w:ascii="宋体" w:eastAsia="宋体" w:hAnsi="宋体" w:cs="宋体"/>
                <w:b w:val="0"/>
                <w:i w:val="0"/>
                <w:color w:val="000000"/>
                <w:sz w:val="14"/>
              </w:rPr>
              <w:t xml:space="preserve">425.86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425.86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425.86</w:t>
            </w:r>
          </w:p>
        </w:tc>
        <w:tc>
          <w:tcPr>
            <w:tcW w:w="1100" w:type="dxa"/>
            <w:tcBorders/>
            <w:vAlign w:val="center"/>
          </w:tcPr>
          <w:p>
            <w:pPr>
              <w:jc w:val="right"/>
            </w:pPr>
            <w:r>
              <w:rPr>
                <w:rFonts w:ascii="宋体" w:eastAsia="宋体" w:hAnsi="宋体" w:cs="宋体"/>
                <w:b w:val="0"/>
                <w:i w:val="0"/>
                <w:color w:val="000000"/>
                <w:sz w:val="14"/>
              </w:rPr>
              <w:t xml:space="preserve">425.86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425.86</w:t>
            </w:r>
          </w:p>
        </w:tc>
        <w:tc>
          <w:tcPr>
            <w:tcW w:w="1980" w:type="dxa"/>
            <w:tcBorders/>
            <w:vAlign w:val="center"/>
          </w:tcPr>
          <w:p>
            <w:pPr>
              <w:jc w:val="right"/>
            </w:pPr>
            <w:r>
              <w:rPr>
                <w:rFonts w:ascii="宋体" w:eastAsia="宋体" w:hAnsi="宋体" w:cs="宋体"/>
                <w:b/>
                <w:i w:val="0"/>
                <w:color w:val="000000"/>
                <w:sz w:val="20"/>
              </w:rPr>
              <w:t xml:space="preserve">394.48</w:t>
            </w:r>
          </w:p>
        </w:tc>
        <w:tc>
          <w:tcPr>
            <w:tcW w:w="1952" w:type="dxa"/>
            <w:tcBorders/>
            <w:vAlign w:val="center"/>
          </w:tcPr>
          <w:p>
            <w:pPr>
              <w:jc w:val="right"/>
            </w:pPr>
            <w:r>
              <w:rPr>
                <w:rFonts w:ascii="宋体" w:eastAsia="宋体" w:hAnsi="宋体" w:cs="宋体"/>
                <w:b/>
                <w:i w:val="0"/>
                <w:color w:val="000000"/>
                <w:sz w:val="20"/>
              </w:rPr>
              <w:t xml:space="preserve">31.38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329.75</w:t>
            </w:r>
          </w:p>
        </w:tc>
        <w:tc>
          <w:tcPr>
            <w:tcW w:w="1980" w:type="dxa"/>
            <w:tcBorders/>
            <w:vAlign w:val="center"/>
          </w:tcPr>
          <w:p>
            <w:pPr>
              <w:jc w:val="right"/>
            </w:pPr>
            <w:r>
              <w:rPr>
                <w:rFonts w:ascii="宋体" w:eastAsia="宋体" w:hAnsi="宋体" w:cs="宋体"/>
                <w:b w:val="0"/>
                <w:i w:val="0"/>
                <w:color w:val="000000"/>
                <w:sz w:val="20"/>
              </w:rPr>
              <w:t xml:space="preserve">298.37</w:t>
            </w:r>
          </w:p>
        </w:tc>
        <w:tc>
          <w:tcPr>
            <w:tcW w:w="1952" w:type="dxa"/>
            <w:tcBorders/>
            <w:vAlign w:val="center"/>
          </w:tcPr>
          <w:p>
            <w:pPr>
              <w:jc w:val="right"/>
            </w:pPr>
            <w:r>
              <w:rPr>
                <w:rFonts w:ascii="宋体" w:eastAsia="宋体" w:hAnsi="宋体" w:cs="宋体"/>
                <w:b w:val="0"/>
                <w:i w:val="0"/>
                <w:color w:val="000000"/>
                <w:sz w:val="20"/>
              </w:rPr>
              <w:t xml:space="preserve">31.38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329.75</w:t>
            </w:r>
          </w:p>
        </w:tc>
        <w:tc>
          <w:tcPr>
            <w:tcW w:w="1980" w:type="dxa"/>
            <w:tcBorders/>
            <w:vAlign w:val="center"/>
          </w:tcPr>
          <w:p>
            <w:pPr>
              <w:jc w:val="right"/>
            </w:pPr>
            <w:r>
              <w:rPr>
                <w:rFonts w:ascii="宋体" w:eastAsia="宋体" w:hAnsi="宋体" w:cs="宋体"/>
                <w:b w:val="0"/>
                <w:i w:val="0"/>
                <w:color w:val="000000"/>
                <w:sz w:val="20"/>
              </w:rPr>
              <w:t xml:space="preserve">298.37</w:t>
            </w:r>
          </w:p>
        </w:tc>
        <w:tc>
          <w:tcPr>
            <w:tcW w:w="1952" w:type="dxa"/>
            <w:tcBorders/>
            <w:vAlign w:val="center"/>
          </w:tcPr>
          <w:p>
            <w:pPr>
              <w:jc w:val="right"/>
            </w:pPr>
            <w:r>
              <w:rPr>
                <w:rFonts w:ascii="宋体" w:eastAsia="宋体" w:hAnsi="宋体" w:cs="宋体"/>
                <w:b w:val="0"/>
                <w:i w:val="0"/>
                <w:color w:val="000000"/>
                <w:sz w:val="20"/>
              </w:rPr>
              <w:t xml:space="preserve">31.38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298.37</w:t>
            </w:r>
          </w:p>
        </w:tc>
        <w:tc>
          <w:tcPr>
            <w:tcW w:w="1980" w:type="dxa"/>
            <w:tcBorders/>
            <w:vAlign w:val="center"/>
          </w:tcPr>
          <w:p>
            <w:pPr>
              <w:jc w:val="right"/>
            </w:pPr>
            <w:r>
              <w:rPr>
                <w:rFonts w:ascii="宋体" w:eastAsia="宋体" w:hAnsi="宋体" w:cs="宋体"/>
                <w:b w:val="0"/>
                <w:i w:val="0"/>
                <w:color w:val="000000"/>
                <w:sz w:val="20"/>
              </w:rPr>
              <w:t xml:space="preserve">298.37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31.38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47.88</w:t>
            </w:r>
          </w:p>
        </w:tc>
        <w:tc>
          <w:tcPr>
            <w:tcW w:w="1980" w:type="dxa"/>
            <w:tcBorders/>
            <w:vAlign w:val="center"/>
          </w:tcPr>
          <w:p>
            <w:pPr>
              <w:jc w:val="right"/>
            </w:pPr>
            <w:r>
              <w:rPr>
                <w:rFonts w:ascii="宋体" w:eastAsia="宋体" w:hAnsi="宋体" w:cs="宋体"/>
                <w:b w:val="0"/>
                <w:i w:val="0"/>
                <w:color w:val="000000"/>
                <w:sz w:val="20"/>
              </w:rPr>
              <w:t xml:space="preserve">47.88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47.00</w:t>
            </w:r>
          </w:p>
        </w:tc>
        <w:tc>
          <w:tcPr>
            <w:tcW w:w="1980" w:type="dxa"/>
            <w:tcBorders/>
            <w:vAlign w:val="center"/>
          </w:tcPr>
          <w:p>
            <w:pPr>
              <w:jc w:val="right"/>
            </w:pPr>
            <w:r>
              <w:rPr>
                <w:rFonts w:ascii="宋体" w:eastAsia="宋体" w:hAnsi="宋体" w:cs="宋体"/>
                <w:b w:val="0"/>
                <w:i w:val="0"/>
                <w:color w:val="000000"/>
                <w:sz w:val="20"/>
              </w:rPr>
              <w:t xml:space="preserve">47.00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39.89</w:t>
            </w:r>
          </w:p>
        </w:tc>
        <w:tc>
          <w:tcPr>
            <w:tcW w:w="1980" w:type="dxa"/>
            <w:tcBorders/>
            <w:vAlign w:val="center"/>
          </w:tcPr>
          <w:p>
            <w:pPr>
              <w:jc w:val="right"/>
            </w:pPr>
            <w:r>
              <w:rPr>
                <w:rFonts w:ascii="宋体" w:eastAsia="宋体" w:hAnsi="宋体" w:cs="宋体"/>
                <w:b w:val="0"/>
                <w:i w:val="0"/>
                <w:color w:val="000000"/>
                <w:sz w:val="20"/>
              </w:rPr>
              <w:t xml:space="preserve">39.89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5.63</w:t>
            </w:r>
          </w:p>
        </w:tc>
        <w:tc>
          <w:tcPr>
            <w:tcW w:w="1980" w:type="dxa"/>
            <w:tcBorders/>
            <w:vAlign w:val="center"/>
          </w:tcPr>
          <w:p>
            <w:pPr>
              <w:jc w:val="right"/>
            </w:pPr>
            <w:r>
              <w:rPr>
                <w:rFonts w:ascii="宋体" w:eastAsia="宋体" w:hAnsi="宋体" w:cs="宋体"/>
                <w:b w:val="0"/>
                <w:i w:val="0"/>
                <w:color w:val="000000"/>
                <w:sz w:val="20"/>
              </w:rPr>
              <w:t xml:space="preserve">5.63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15.55</w:t>
            </w:r>
          </w:p>
        </w:tc>
        <w:tc>
          <w:tcPr>
            <w:tcW w:w="1980" w:type="dxa"/>
            <w:tcBorders/>
            <w:vAlign w:val="center"/>
          </w:tcPr>
          <w:p>
            <w:pPr>
              <w:jc w:val="right"/>
            </w:pPr>
            <w:r>
              <w:rPr>
                <w:rFonts w:ascii="宋体" w:eastAsia="宋体" w:hAnsi="宋体" w:cs="宋体"/>
                <w:b w:val="0"/>
                <w:i w:val="0"/>
                <w:color w:val="000000"/>
                <w:sz w:val="20"/>
              </w:rPr>
              <w:t xml:space="preserve">15.55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15.13</w:t>
            </w:r>
          </w:p>
        </w:tc>
        <w:tc>
          <w:tcPr>
            <w:tcW w:w="1980" w:type="dxa"/>
            <w:tcBorders/>
            <w:vAlign w:val="center"/>
          </w:tcPr>
          <w:p>
            <w:pPr>
              <w:jc w:val="right"/>
            </w:pPr>
            <w:r>
              <w:rPr>
                <w:rFonts w:ascii="宋体" w:eastAsia="宋体" w:hAnsi="宋体" w:cs="宋体"/>
                <w:b w:val="0"/>
                <w:i w:val="0"/>
                <w:color w:val="000000"/>
                <w:sz w:val="20"/>
              </w:rPr>
              <w:t xml:space="preserve">15.13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14.94</w:t>
            </w:r>
          </w:p>
        </w:tc>
        <w:tc>
          <w:tcPr>
            <w:tcW w:w="1980" w:type="dxa"/>
            <w:tcBorders/>
            <w:vAlign w:val="center"/>
          </w:tcPr>
          <w:p>
            <w:pPr>
              <w:jc w:val="right"/>
            </w:pPr>
            <w:r>
              <w:rPr>
                <w:rFonts w:ascii="宋体" w:eastAsia="宋体" w:hAnsi="宋体" w:cs="宋体"/>
                <w:b w:val="0"/>
                <w:i w:val="0"/>
                <w:color w:val="000000"/>
                <w:sz w:val="20"/>
              </w:rPr>
              <w:t xml:space="preserve">14.94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32.69</w:t>
            </w:r>
          </w:p>
        </w:tc>
        <w:tc>
          <w:tcPr>
            <w:tcW w:w="1980" w:type="dxa"/>
            <w:tcBorders/>
            <w:vAlign w:val="center"/>
          </w:tcPr>
          <w:p>
            <w:pPr>
              <w:jc w:val="right"/>
            </w:pPr>
            <w:r>
              <w:rPr>
                <w:rFonts w:ascii="宋体" w:eastAsia="宋体" w:hAnsi="宋体" w:cs="宋体"/>
                <w:b w:val="0"/>
                <w:i w:val="0"/>
                <w:color w:val="000000"/>
                <w:sz w:val="20"/>
              </w:rPr>
              <w:t xml:space="preserve">32.69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32.69</w:t>
            </w:r>
          </w:p>
        </w:tc>
        <w:tc>
          <w:tcPr>
            <w:tcW w:w="1980" w:type="dxa"/>
            <w:tcBorders/>
            <w:vAlign w:val="center"/>
          </w:tcPr>
          <w:p>
            <w:pPr>
              <w:jc w:val="right"/>
            </w:pPr>
            <w:r>
              <w:rPr>
                <w:rFonts w:ascii="宋体" w:eastAsia="宋体" w:hAnsi="宋体" w:cs="宋体"/>
                <w:b w:val="0"/>
                <w:i w:val="0"/>
                <w:color w:val="000000"/>
                <w:sz w:val="20"/>
              </w:rPr>
              <w:t xml:space="preserve">32.69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32.69</w:t>
            </w:r>
          </w:p>
        </w:tc>
        <w:tc>
          <w:tcPr>
            <w:tcW w:w="1980" w:type="dxa"/>
            <w:tcBorders/>
            <w:vAlign w:val="center"/>
          </w:tcPr>
          <w:p>
            <w:pPr>
              <w:jc w:val="right"/>
            </w:pPr>
            <w:r>
              <w:rPr>
                <w:rFonts w:ascii="宋体" w:eastAsia="宋体" w:hAnsi="宋体" w:cs="宋体"/>
                <w:b w:val="0"/>
                <w:i w:val="0"/>
                <w:color w:val="000000"/>
                <w:sz w:val="20"/>
              </w:rPr>
              <w:t xml:space="preserve">32.69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358.35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32.99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136.84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7.80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75.38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51.92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39.89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5.63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14.94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1.07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32.69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3.14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1.43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1.64</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0.99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23.01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361.49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32.99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020001盘锦市大洼区营商环境建设局本级-211104000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14.85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311.23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43.99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控制运行成本优化营商环境建设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调查成果辅助决策采纳率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窗口服务效率满意度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主管部门满意度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上级主管部门满意度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规范机制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体制改革成效</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体制改革</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创新驱动发展</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开展信息调研</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开展调研</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订阅《民心》杂志</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0.66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按照省营商局统一安排，大洼区营商局需每年为区直各单位统一订阅《民心》杂志。</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服务窗口办公局域网络设备维护和耗材费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47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大洼区营商局（行政审批局）为更好地为企业、群众提供优质的窗口服务、提高办事效率。每年需对服务窗口办公局域网络进行设备更新及维护和服务窗口耗材需求。</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固定资产投资项目评审费用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43.7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大洼区每年上报国家、省级争取资金项目和重大项目，上报项目需进行可研评审和社会风险稳定评估。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特种设备车辆场内牌照制作及各类审批证（照）、申请表格印刷费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47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大洼区营商局（行政审批局）具有审批事项51项，涉及办理证照25咱，需使用各类登记表、证（照）等30余类，每年需印刷各类审批证（照）、申请表格及制作特种设备车辆场内牌照。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优化提升营商环境建设及政务服务活动印刷、制作展板</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为打造营商环境最优区建设，扩大优化全区营商环境宣传及开展政务（公开）服务活动，办快政务服务中心大厅标准化建设。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政务服务中心便民服务费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47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营商局政务服务大厅日接待办事群众、企业近800余人，为更好的为进厅企业、群众服务，为办事群众提供饮用水、纸杯；提供免费复印、打印服务；免费为企业、群众提供邮寄服务等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租用辽宁电信语音中继线业务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1.2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营商局使用“12345平台”和“指尖大洼”APP受理群众投诉案件，租用辽宁电信语音中继线业务。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