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辽宁省盘锦市大洼区信访事务服务中心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辽宁省盘锦市大洼区信访事务服务中心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辽宁省盘锦市大洼区信访事务服务中心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辽宁省盘锦市大洼区信访事务服务中心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辽宁省盘锦市大洼区信访事务服务中心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辽宁省盘锦市大洼区信访事务服务中心概况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1、为全区人民信访事项提供服务保障。</w:t>
        <w:br/>
        <w:t xml:space="preserve">    2、承担群众来信、来访、来电和网上投诉受理服务工作。</w:t>
        <w:br/>
        <w:t xml:space="preserve">    3、承担区委区政府信访局交办的其他工作。</w:t>
        <w:br/>
        <w:t xml:space="preserve">    根据本部门主要职责，内设机构：盘锦市大洼区信访事务服务中心为大洼区委区政府信访局所属事业单位，内设综合办公室。</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辽宁省盘锦市大洼区信访事务服务中心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盘锦市大洼区信访事务服务中心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118.90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118.90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118.90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增加21.80万元，增长22.46%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人员变动</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118.90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118.90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工资福利支出114.74万元；商品和服务支出4.13万元；对个人和家庭的补助0.04万元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增加21.80万元，增长22.46%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人员变动</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118.90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118.90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增加21.80万元，增长22.46%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人员变动</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107.47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107.47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2023年度一般公共预算财政拨款支出118.90万元。按支出功能分类科目分，包括：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1.一般公共服务支出90.18万元，具体包括：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90.18万元,主要是工资福利支出、商品和服务支出、对个人和家庭的补助等支出，完成年初预算的106.52%，决算数与年初预算数存在差异的主要原因是工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2.社会保障和就业支出13.15万元，具体包括：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12.99万元,主要是养老保险等支出，完成年初预算的110.27%，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（2）社会保障和就业支出（类）其他社会保障和就业支出（款）其他社会保障和就业支出（项）0.16万元,主要是工伤保险等支出，完成年初预算的106.67%，决算数与年初预算数存在差异的主要原因是基数调整。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（1）卫生健康支出（类）行政事业单位医疗（款）事业单位医疗（项）5.42万元,主要是医疗保险等支出，完成年初预算的103.83%，决算数与年初预算数存在差异的主要原因是基数调整。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（2）卫生健康支出（类）行政事业单位医疗（款）其他行政事业单位医疗支出（项）0.06万元,主要是大额医疗等支出，完成年初预算的100%，决算数与年初预算数存在差异的主要原因是无变化。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4.住房保障支出10.09万元，具体包括：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（1）住房保障支出（类）住房改革支出（款）住房公积金（项）10.09万元,主要是住房公积金等支出，完成年初预算的114.27%，决算数与年初预算数存在差异的主要原因是基数调整。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118.91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114.78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4.13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根据预算绩效管理要求，本部门组织对2023年度预算项目支出全面开展绩效自评，共涉及预算支出项目0个。</w:t>
        <w:br/>
        <w:t xml:space="preserve">    2.项目绩效自评结果。</w:t>
        <w:br/>
        <w:t xml:space="preserve">    本部门在2023年度省直部门决算中反映0个项目绩效自评结果。</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 行政事业性收费收入：指依据法律、行政法规、国务院有关规定、国务院财政部门会同价格主管部门共同发布的规章或者规定，省、自治区、直辖市人民政府财政部门会同价格主管部门共同发布的规定所收取的各项收费收入。 </w:t>
        <w:br/>
        <w:t xml:space="preserve">    17.政府性基金收入：反映各级政府及其所属部门根据法律、行政法规规定并经国务院或财政部批准，向公民、法人和其他组织征收的政府性基金，以及参照政府性基金管理或纳入基金预算、具有特定用途的财政资金。 </w:t>
        <w:br/>
        <w:t xml:space="preserve">    18.社会保障和就业（类）行政事业单位养老支出（款）行政单位离退休（项）：反映行政单位（包括实行公务员管理的事业单位）开支的离退休经费。 </w:t>
        <w:br/>
        <w:t xml:space="preserve">    19.社会保障和就业（类）行政事业单位养老支出（款）事业单位离退休（项）：反映事业单位开支的离退休经费。 </w:t>
        <w:br/>
        <w:t xml:space="preserve">    20.社会保障和就业（类）行政事业单位养老支出（款）机关事业单位基本养老保险缴费支出（项）：反映机关事业单位实施养老保险制度由单位缴纳的基本养老保险费支出。 </w:t>
        <w:br/>
        <w:t xml:space="preserve">    21.社会保障和就业（类）行政事业单位养老支出（款）机关事业单位职业年金缴费支出（项）：反映机关事业单位实施养老保险制度由单位实际缴纳的职业年金支出。 </w:t>
        <w:br/>
        <w:t xml:space="preserve">    22.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 </w:t>
        <w:br/>
        <w:t xml:space="preserve">    23.卫生健康支出（类）行政事业单位医疗（款）事业单位医疗（项）：反映财政部门安排的事业单位基本医疗保险缴费经费，未参加医疗保险的事业单位的公费医疗经费，按国家规定享受离休人员待遇的医疗经费。 </w:t>
        <w:br/>
        <w:t xml:space="preserve">    24.住房保障（类）住房改革（款）住房公积金（项）：反映行政事业单位按人力资源和社会保障部、财政部规定的基本工资和津贴补贴以及规定比例为职工缴纳的住房公积金。    </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118.90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90.18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5.48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118.90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118.90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118.90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118.90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118.90</w:t>
            </w:r>
          </w:p>
        </w:tc>
        <w:tc>
          <w:tcPr>
            <w:tcW w:w="1160" w:type="dxa"/>
            <w:tcBorders/>
            <w:vAlign w:val="center"/>
          </w:tcPr>
          <w:p>
            <w:pPr>
              <w:jc w:val="right"/>
            </w:pPr>
            <w:r>
              <w:rPr>
                <w:rFonts w:ascii="宋体" w:eastAsia="宋体" w:hAnsi="宋体" w:cs="宋体"/>
                <w:b/>
                <w:i w:val="0"/>
                <w:color w:val="000000"/>
                <w:sz w:val="14"/>
              </w:rPr>
              <w:t xml:space="preserve">118.90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90.18</w:t>
            </w:r>
          </w:p>
        </w:tc>
        <w:tc>
          <w:tcPr>
            <w:tcW w:w="1160" w:type="dxa"/>
            <w:tcBorders/>
            <w:vAlign w:val="center"/>
          </w:tcPr>
          <w:p>
            <w:pPr>
              <w:jc w:val="right"/>
            </w:pPr>
            <w:r>
              <w:rPr>
                <w:rFonts w:ascii="宋体" w:eastAsia="宋体" w:hAnsi="宋体" w:cs="宋体"/>
                <w:b w:val="0"/>
                <w:i w:val="0"/>
                <w:color w:val="000000"/>
                <w:sz w:val="14"/>
              </w:rPr>
              <w:t xml:space="preserve">90.18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90.18</w:t>
            </w:r>
          </w:p>
        </w:tc>
        <w:tc>
          <w:tcPr>
            <w:tcW w:w="1160" w:type="dxa"/>
            <w:tcBorders/>
            <w:vAlign w:val="center"/>
          </w:tcPr>
          <w:p>
            <w:pPr>
              <w:jc w:val="right"/>
            </w:pPr>
            <w:r>
              <w:rPr>
                <w:rFonts w:ascii="宋体" w:eastAsia="宋体" w:hAnsi="宋体" w:cs="宋体"/>
                <w:b w:val="0"/>
                <w:i w:val="0"/>
                <w:color w:val="000000"/>
                <w:sz w:val="14"/>
              </w:rPr>
              <w:t xml:space="preserve">90.18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90.18</w:t>
            </w:r>
          </w:p>
        </w:tc>
        <w:tc>
          <w:tcPr>
            <w:tcW w:w="1160" w:type="dxa"/>
            <w:tcBorders/>
            <w:vAlign w:val="center"/>
          </w:tcPr>
          <w:p>
            <w:pPr>
              <w:jc w:val="right"/>
            </w:pPr>
            <w:r>
              <w:rPr>
                <w:rFonts w:ascii="宋体" w:eastAsia="宋体" w:hAnsi="宋体" w:cs="宋体"/>
                <w:b w:val="0"/>
                <w:i w:val="0"/>
                <w:color w:val="000000"/>
                <w:sz w:val="14"/>
              </w:rPr>
              <w:t xml:space="preserve">90.18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13.15</w:t>
            </w:r>
          </w:p>
        </w:tc>
        <w:tc>
          <w:tcPr>
            <w:tcW w:w="1160" w:type="dxa"/>
            <w:tcBorders/>
            <w:vAlign w:val="center"/>
          </w:tcPr>
          <w:p>
            <w:pPr>
              <w:jc w:val="right"/>
            </w:pPr>
            <w:r>
              <w:rPr>
                <w:rFonts w:ascii="宋体" w:eastAsia="宋体" w:hAnsi="宋体" w:cs="宋体"/>
                <w:b w:val="0"/>
                <w:i w:val="0"/>
                <w:color w:val="000000"/>
                <w:sz w:val="14"/>
              </w:rPr>
              <w:t xml:space="preserve">13.15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12.99</w:t>
            </w:r>
          </w:p>
        </w:tc>
        <w:tc>
          <w:tcPr>
            <w:tcW w:w="1160" w:type="dxa"/>
            <w:tcBorders/>
            <w:vAlign w:val="center"/>
          </w:tcPr>
          <w:p>
            <w:pPr>
              <w:jc w:val="right"/>
            </w:pPr>
            <w:r>
              <w:rPr>
                <w:rFonts w:ascii="宋体" w:eastAsia="宋体" w:hAnsi="宋体" w:cs="宋体"/>
                <w:b w:val="0"/>
                <w:i w:val="0"/>
                <w:color w:val="000000"/>
                <w:sz w:val="14"/>
              </w:rPr>
              <w:t xml:space="preserve">12.99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12.99</w:t>
            </w:r>
          </w:p>
        </w:tc>
        <w:tc>
          <w:tcPr>
            <w:tcW w:w="1160" w:type="dxa"/>
            <w:tcBorders/>
            <w:vAlign w:val="center"/>
          </w:tcPr>
          <w:p>
            <w:pPr>
              <w:jc w:val="right"/>
            </w:pPr>
            <w:r>
              <w:rPr>
                <w:rFonts w:ascii="宋体" w:eastAsia="宋体" w:hAnsi="宋体" w:cs="宋体"/>
                <w:b w:val="0"/>
                <w:i w:val="0"/>
                <w:color w:val="000000"/>
                <w:sz w:val="14"/>
              </w:rPr>
              <w:t xml:space="preserve">12.99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5.48</w:t>
            </w:r>
          </w:p>
        </w:tc>
        <w:tc>
          <w:tcPr>
            <w:tcW w:w="1160" w:type="dxa"/>
            <w:tcBorders/>
            <w:vAlign w:val="center"/>
          </w:tcPr>
          <w:p>
            <w:pPr>
              <w:jc w:val="right"/>
            </w:pPr>
            <w:r>
              <w:rPr>
                <w:rFonts w:ascii="宋体" w:eastAsia="宋体" w:hAnsi="宋体" w:cs="宋体"/>
                <w:b w:val="0"/>
                <w:i w:val="0"/>
                <w:color w:val="000000"/>
                <w:sz w:val="14"/>
              </w:rPr>
              <w:t xml:space="preserve">5.48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5.48</w:t>
            </w:r>
          </w:p>
        </w:tc>
        <w:tc>
          <w:tcPr>
            <w:tcW w:w="1160" w:type="dxa"/>
            <w:tcBorders/>
            <w:vAlign w:val="center"/>
          </w:tcPr>
          <w:p>
            <w:pPr>
              <w:jc w:val="right"/>
            </w:pPr>
            <w:r>
              <w:rPr>
                <w:rFonts w:ascii="宋体" w:eastAsia="宋体" w:hAnsi="宋体" w:cs="宋体"/>
                <w:b w:val="0"/>
                <w:i w:val="0"/>
                <w:color w:val="000000"/>
                <w:sz w:val="14"/>
              </w:rPr>
              <w:t xml:space="preserve">5.48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5.42</w:t>
            </w:r>
          </w:p>
        </w:tc>
        <w:tc>
          <w:tcPr>
            <w:tcW w:w="1160" w:type="dxa"/>
            <w:tcBorders/>
            <w:vAlign w:val="center"/>
          </w:tcPr>
          <w:p>
            <w:pPr>
              <w:jc w:val="right"/>
            </w:pPr>
            <w:r>
              <w:rPr>
                <w:rFonts w:ascii="宋体" w:eastAsia="宋体" w:hAnsi="宋体" w:cs="宋体"/>
                <w:b w:val="0"/>
                <w:i w:val="0"/>
                <w:color w:val="000000"/>
                <w:sz w:val="14"/>
              </w:rPr>
              <w:t xml:space="preserve">5.42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118.90</w:t>
            </w:r>
          </w:p>
        </w:tc>
        <w:tc>
          <w:tcPr>
            <w:tcW w:w="1120" w:type="dxa"/>
            <w:tcBorders/>
            <w:vAlign w:val="center"/>
          </w:tcPr>
          <w:p>
            <w:pPr>
              <w:jc w:val="right"/>
            </w:pPr>
            <w:r>
              <w:rPr>
                <w:rFonts w:ascii="宋体" w:eastAsia="宋体" w:hAnsi="宋体" w:cs="宋体"/>
                <w:b/>
                <w:i w:val="0"/>
                <w:color w:val="000000"/>
                <w:sz w:val="16"/>
              </w:rPr>
              <w:t xml:space="preserve">118.90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90.18</w:t>
            </w:r>
          </w:p>
        </w:tc>
        <w:tc>
          <w:tcPr>
            <w:tcW w:w="1120" w:type="dxa"/>
            <w:tcBorders/>
            <w:vAlign w:val="center"/>
          </w:tcPr>
          <w:p>
            <w:pPr>
              <w:jc w:val="right"/>
            </w:pPr>
            <w:r>
              <w:rPr>
                <w:rFonts w:ascii="宋体" w:eastAsia="宋体" w:hAnsi="宋体" w:cs="宋体"/>
                <w:b w:val="0"/>
                <w:i w:val="0"/>
                <w:color w:val="000000"/>
                <w:sz w:val="16"/>
              </w:rPr>
              <w:t xml:space="preserve">90.18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90.18</w:t>
            </w:r>
          </w:p>
        </w:tc>
        <w:tc>
          <w:tcPr>
            <w:tcW w:w="1120" w:type="dxa"/>
            <w:tcBorders/>
            <w:vAlign w:val="center"/>
          </w:tcPr>
          <w:p>
            <w:pPr>
              <w:jc w:val="right"/>
            </w:pPr>
            <w:r>
              <w:rPr>
                <w:rFonts w:ascii="宋体" w:eastAsia="宋体" w:hAnsi="宋体" w:cs="宋体"/>
                <w:b w:val="0"/>
                <w:i w:val="0"/>
                <w:color w:val="000000"/>
                <w:sz w:val="16"/>
              </w:rPr>
              <w:t xml:space="preserve">90.18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90.18</w:t>
            </w:r>
          </w:p>
        </w:tc>
        <w:tc>
          <w:tcPr>
            <w:tcW w:w="1120" w:type="dxa"/>
            <w:tcBorders/>
            <w:vAlign w:val="center"/>
          </w:tcPr>
          <w:p>
            <w:pPr>
              <w:jc w:val="right"/>
            </w:pPr>
            <w:r>
              <w:rPr>
                <w:rFonts w:ascii="宋体" w:eastAsia="宋体" w:hAnsi="宋体" w:cs="宋体"/>
                <w:b w:val="0"/>
                <w:i w:val="0"/>
                <w:color w:val="000000"/>
                <w:sz w:val="16"/>
              </w:rPr>
              <w:t xml:space="preserve">90.18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13.15</w:t>
            </w:r>
          </w:p>
        </w:tc>
        <w:tc>
          <w:tcPr>
            <w:tcW w:w="1120" w:type="dxa"/>
            <w:tcBorders/>
            <w:vAlign w:val="center"/>
          </w:tcPr>
          <w:p>
            <w:pPr>
              <w:jc w:val="right"/>
            </w:pPr>
            <w:r>
              <w:rPr>
                <w:rFonts w:ascii="宋体" w:eastAsia="宋体" w:hAnsi="宋体" w:cs="宋体"/>
                <w:b w:val="0"/>
                <w:i w:val="0"/>
                <w:color w:val="000000"/>
                <w:sz w:val="16"/>
              </w:rPr>
              <w:t xml:space="preserve">13.15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12.99</w:t>
            </w:r>
          </w:p>
        </w:tc>
        <w:tc>
          <w:tcPr>
            <w:tcW w:w="1120" w:type="dxa"/>
            <w:tcBorders/>
            <w:vAlign w:val="center"/>
          </w:tcPr>
          <w:p>
            <w:pPr>
              <w:jc w:val="right"/>
            </w:pPr>
            <w:r>
              <w:rPr>
                <w:rFonts w:ascii="宋体" w:eastAsia="宋体" w:hAnsi="宋体" w:cs="宋体"/>
                <w:b w:val="0"/>
                <w:i w:val="0"/>
                <w:color w:val="000000"/>
                <w:sz w:val="16"/>
              </w:rPr>
              <w:t xml:space="preserve">12.99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12.99</w:t>
            </w:r>
          </w:p>
        </w:tc>
        <w:tc>
          <w:tcPr>
            <w:tcW w:w="1120" w:type="dxa"/>
            <w:tcBorders/>
            <w:vAlign w:val="center"/>
          </w:tcPr>
          <w:p>
            <w:pPr>
              <w:jc w:val="right"/>
            </w:pPr>
            <w:r>
              <w:rPr>
                <w:rFonts w:ascii="宋体" w:eastAsia="宋体" w:hAnsi="宋体" w:cs="宋体"/>
                <w:b w:val="0"/>
                <w:i w:val="0"/>
                <w:color w:val="000000"/>
                <w:sz w:val="16"/>
              </w:rPr>
              <w:t xml:space="preserve">12.99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5.48</w:t>
            </w:r>
          </w:p>
        </w:tc>
        <w:tc>
          <w:tcPr>
            <w:tcW w:w="1120" w:type="dxa"/>
            <w:tcBorders/>
            <w:vAlign w:val="center"/>
          </w:tcPr>
          <w:p>
            <w:pPr>
              <w:jc w:val="right"/>
            </w:pPr>
            <w:r>
              <w:rPr>
                <w:rFonts w:ascii="宋体" w:eastAsia="宋体" w:hAnsi="宋体" w:cs="宋体"/>
                <w:b w:val="0"/>
                <w:i w:val="0"/>
                <w:color w:val="000000"/>
                <w:sz w:val="16"/>
              </w:rPr>
              <w:t xml:space="preserve">5.48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5.48</w:t>
            </w:r>
          </w:p>
        </w:tc>
        <w:tc>
          <w:tcPr>
            <w:tcW w:w="1120" w:type="dxa"/>
            <w:tcBorders/>
            <w:vAlign w:val="center"/>
          </w:tcPr>
          <w:p>
            <w:pPr>
              <w:jc w:val="right"/>
            </w:pPr>
            <w:r>
              <w:rPr>
                <w:rFonts w:ascii="宋体" w:eastAsia="宋体" w:hAnsi="宋体" w:cs="宋体"/>
                <w:b w:val="0"/>
                <w:i w:val="0"/>
                <w:color w:val="000000"/>
                <w:sz w:val="16"/>
              </w:rPr>
              <w:t xml:space="preserve">5.48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5.42</w:t>
            </w:r>
          </w:p>
        </w:tc>
        <w:tc>
          <w:tcPr>
            <w:tcW w:w="1120" w:type="dxa"/>
            <w:tcBorders/>
            <w:vAlign w:val="center"/>
          </w:tcPr>
          <w:p>
            <w:pPr>
              <w:jc w:val="right"/>
            </w:pPr>
            <w:r>
              <w:rPr>
                <w:rFonts w:ascii="宋体" w:eastAsia="宋体" w:hAnsi="宋体" w:cs="宋体"/>
                <w:b w:val="0"/>
                <w:i w:val="0"/>
                <w:color w:val="000000"/>
                <w:sz w:val="16"/>
              </w:rPr>
              <w:t xml:space="preserve">5.42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118.90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90.18</w:t>
            </w:r>
          </w:p>
        </w:tc>
        <w:tc>
          <w:tcPr>
            <w:tcW w:w="1100" w:type="dxa"/>
            <w:tcBorders/>
            <w:vAlign w:val="center"/>
          </w:tcPr>
          <w:p>
            <w:pPr>
              <w:jc w:val="right"/>
            </w:pPr>
            <w:r>
              <w:rPr>
                <w:rFonts w:ascii="宋体" w:eastAsia="宋体" w:hAnsi="宋体" w:cs="宋体"/>
                <w:b w:val="0"/>
                <w:i w:val="0"/>
                <w:color w:val="000000"/>
                <w:sz w:val="14"/>
              </w:rPr>
              <w:t xml:space="preserve">90.18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13.15</w:t>
            </w:r>
          </w:p>
        </w:tc>
        <w:tc>
          <w:tcPr>
            <w:tcW w:w="1100" w:type="dxa"/>
            <w:tcBorders/>
            <w:vAlign w:val="center"/>
          </w:tcPr>
          <w:p>
            <w:pPr>
              <w:jc w:val="right"/>
            </w:pPr>
            <w:r>
              <w:rPr>
                <w:rFonts w:ascii="宋体" w:eastAsia="宋体" w:hAnsi="宋体" w:cs="宋体"/>
                <w:b w:val="0"/>
                <w:i w:val="0"/>
                <w:color w:val="000000"/>
                <w:sz w:val="14"/>
              </w:rPr>
              <w:t xml:space="preserve">13.15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5.48</w:t>
            </w:r>
          </w:p>
        </w:tc>
        <w:tc>
          <w:tcPr>
            <w:tcW w:w="1100" w:type="dxa"/>
            <w:tcBorders/>
            <w:vAlign w:val="center"/>
          </w:tcPr>
          <w:p>
            <w:pPr>
              <w:jc w:val="right"/>
            </w:pPr>
            <w:r>
              <w:rPr>
                <w:rFonts w:ascii="宋体" w:eastAsia="宋体" w:hAnsi="宋体" w:cs="宋体"/>
                <w:b w:val="0"/>
                <w:i w:val="0"/>
                <w:color w:val="000000"/>
                <w:sz w:val="14"/>
              </w:rPr>
              <w:t xml:space="preserve">5.48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10.09</w:t>
            </w:r>
          </w:p>
        </w:tc>
        <w:tc>
          <w:tcPr>
            <w:tcW w:w="1100" w:type="dxa"/>
            <w:tcBorders/>
            <w:vAlign w:val="center"/>
          </w:tcPr>
          <w:p>
            <w:pPr>
              <w:jc w:val="right"/>
            </w:pPr>
            <w:r>
              <w:rPr>
                <w:rFonts w:ascii="宋体" w:eastAsia="宋体" w:hAnsi="宋体" w:cs="宋体"/>
                <w:b w:val="0"/>
                <w:i w:val="0"/>
                <w:color w:val="000000"/>
                <w:sz w:val="14"/>
              </w:rPr>
              <w:t xml:space="preserve">10.09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118.90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118.90</w:t>
            </w:r>
          </w:p>
        </w:tc>
        <w:tc>
          <w:tcPr>
            <w:tcW w:w="1100" w:type="dxa"/>
            <w:tcBorders/>
            <w:vAlign w:val="center"/>
          </w:tcPr>
          <w:p>
            <w:pPr>
              <w:jc w:val="right"/>
            </w:pPr>
            <w:r>
              <w:rPr>
                <w:rFonts w:ascii="宋体" w:eastAsia="宋体" w:hAnsi="宋体" w:cs="宋体"/>
                <w:b w:val="0"/>
                <w:i w:val="0"/>
                <w:color w:val="000000"/>
                <w:sz w:val="14"/>
              </w:rPr>
              <w:t xml:space="preserve">118.90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118.90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118.90</w:t>
            </w:r>
          </w:p>
        </w:tc>
        <w:tc>
          <w:tcPr>
            <w:tcW w:w="1100" w:type="dxa"/>
            <w:tcBorders/>
            <w:vAlign w:val="center"/>
          </w:tcPr>
          <w:p>
            <w:pPr>
              <w:jc w:val="right"/>
            </w:pPr>
            <w:r>
              <w:rPr>
                <w:rFonts w:ascii="宋体" w:eastAsia="宋体" w:hAnsi="宋体" w:cs="宋体"/>
                <w:b w:val="0"/>
                <w:i w:val="0"/>
                <w:color w:val="000000"/>
                <w:sz w:val="14"/>
              </w:rPr>
              <w:t xml:space="preserve">118.90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118.90</w:t>
            </w:r>
          </w:p>
        </w:tc>
        <w:tc>
          <w:tcPr>
            <w:tcW w:w="1980" w:type="dxa"/>
            <w:tcBorders/>
            <w:vAlign w:val="center"/>
          </w:tcPr>
          <w:p>
            <w:pPr>
              <w:jc w:val="right"/>
            </w:pPr>
            <w:r>
              <w:rPr>
                <w:rFonts w:ascii="宋体" w:eastAsia="宋体" w:hAnsi="宋体" w:cs="宋体"/>
                <w:b/>
                <w:i w:val="0"/>
                <w:color w:val="000000"/>
                <w:sz w:val="20"/>
              </w:rPr>
              <w:t xml:space="preserve">118.90</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90.18</w:t>
            </w:r>
          </w:p>
        </w:tc>
        <w:tc>
          <w:tcPr>
            <w:tcW w:w="1980" w:type="dxa"/>
            <w:tcBorders/>
            <w:vAlign w:val="center"/>
          </w:tcPr>
          <w:p>
            <w:pPr>
              <w:jc w:val="right"/>
            </w:pPr>
            <w:r>
              <w:rPr>
                <w:rFonts w:ascii="宋体" w:eastAsia="宋体" w:hAnsi="宋体" w:cs="宋体"/>
                <w:b w:val="0"/>
                <w:i w:val="0"/>
                <w:color w:val="000000"/>
                <w:sz w:val="20"/>
              </w:rPr>
              <w:t xml:space="preserve">90.18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90.18</w:t>
            </w:r>
          </w:p>
        </w:tc>
        <w:tc>
          <w:tcPr>
            <w:tcW w:w="1980" w:type="dxa"/>
            <w:tcBorders/>
            <w:vAlign w:val="center"/>
          </w:tcPr>
          <w:p>
            <w:pPr>
              <w:jc w:val="right"/>
            </w:pPr>
            <w:r>
              <w:rPr>
                <w:rFonts w:ascii="宋体" w:eastAsia="宋体" w:hAnsi="宋体" w:cs="宋体"/>
                <w:b w:val="0"/>
                <w:i w:val="0"/>
                <w:color w:val="000000"/>
                <w:sz w:val="20"/>
              </w:rPr>
              <w:t xml:space="preserve">90.18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90.18</w:t>
            </w:r>
          </w:p>
        </w:tc>
        <w:tc>
          <w:tcPr>
            <w:tcW w:w="1980" w:type="dxa"/>
            <w:tcBorders/>
            <w:vAlign w:val="center"/>
          </w:tcPr>
          <w:p>
            <w:pPr>
              <w:jc w:val="right"/>
            </w:pPr>
            <w:r>
              <w:rPr>
                <w:rFonts w:ascii="宋体" w:eastAsia="宋体" w:hAnsi="宋体" w:cs="宋体"/>
                <w:b w:val="0"/>
                <w:i w:val="0"/>
                <w:color w:val="000000"/>
                <w:sz w:val="20"/>
              </w:rPr>
              <w:t xml:space="preserve">90.18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13.15</w:t>
            </w:r>
          </w:p>
        </w:tc>
        <w:tc>
          <w:tcPr>
            <w:tcW w:w="1980" w:type="dxa"/>
            <w:tcBorders/>
            <w:vAlign w:val="center"/>
          </w:tcPr>
          <w:p>
            <w:pPr>
              <w:jc w:val="right"/>
            </w:pPr>
            <w:r>
              <w:rPr>
                <w:rFonts w:ascii="宋体" w:eastAsia="宋体" w:hAnsi="宋体" w:cs="宋体"/>
                <w:b w:val="0"/>
                <w:i w:val="0"/>
                <w:color w:val="000000"/>
                <w:sz w:val="20"/>
              </w:rPr>
              <w:t xml:space="preserve">13.15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12.99</w:t>
            </w:r>
          </w:p>
        </w:tc>
        <w:tc>
          <w:tcPr>
            <w:tcW w:w="1980" w:type="dxa"/>
            <w:tcBorders/>
            <w:vAlign w:val="center"/>
          </w:tcPr>
          <w:p>
            <w:pPr>
              <w:jc w:val="right"/>
            </w:pPr>
            <w:r>
              <w:rPr>
                <w:rFonts w:ascii="宋体" w:eastAsia="宋体" w:hAnsi="宋体" w:cs="宋体"/>
                <w:b w:val="0"/>
                <w:i w:val="0"/>
                <w:color w:val="000000"/>
                <w:sz w:val="20"/>
              </w:rPr>
              <w:t xml:space="preserve">12.99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12.99</w:t>
            </w:r>
          </w:p>
        </w:tc>
        <w:tc>
          <w:tcPr>
            <w:tcW w:w="1980" w:type="dxa"/>
            <w:tcBorders/>
            <w:vAlign w:val="center"/>
          </w:tcPr>
          <w:p>
            <w:pPr>
              <w:jc w:val="right"/>
            </w:pPr>
            <w:r>
              <w:rPr>
                <w:rFonts w:ascii="宋体" w:eastAsia="宋体" w:hAnsi="宋体" w:cs="宋体"/>
                <w:b w:val="0"/>
                <w:i w:val="0"/>
                <w:color w:val="000000"/>
                <w:sz w:val="20"/>
              </w:rPr>
              <w:t xml:space="preserve">12.99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5.48</w:t>
            </w:r>
          </w:p>
        </w:tc>
        <w:tc>
          <w:tcPr>
            <w:tcW w:w="1980" w:type="dxa"/>
            <w:tcBorders/>
            <w:vAlign w:val="center"/>
          </w:tcPr>
          <w:p>
            <w:pPr>
              <w:jc w:val="right"/>
            </w:pPr>
            <w:r>
              <w:rPr>
                <w:rFonts w:ascii="宋体" w:eastAsia="宋体" w:hAnsi="宋体" w:cs="宋体"/>
                <w:b w:val="0"/>
                <w:i w:val="0"/>
                <w:color w:val="000000"/>
                <w:sz w:val="20"/>
              </w:rPr>
              <w:t xml:space="preserve">5.48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5.48</w:t>
            </w:r>
          </w:p>
        </w:tc>
        <w:tc>
          <w:tcPr>
            <w:tcW w:w="1980" w:type="dxa"/>
            <w:tcBorders/>
            <w:vAlign w:val="center"/>
          </w:tcPr>
          <w:p>
            <w:pPr>
              <w:jc w:val="right"/>
            </w:pPr>
            <w:r>
              <w:rPr>
                <w:rFonts w:ascii="宋体" w:eastAsia="宋体" w:hAnsi="宋体" w:cs="宋体"/>
                <w:b w:val="0"/>
                <w:i w:val="0"/>
                <w:color w:val="000000"/>
                <w:sz w:val="20"/>
              </w:rPr>
              <w:t xml:space="preserve">5.48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5.42</w:t>
            </w:r>
          </w:p>
        </w:tc>
        <w:tc>
          <w:tcPr>
            <w:tcW w:w="1980" w:type="dxa"/>
            <w:tcBorders/>
            <w:vAlign w:val="center"/>
          </w:tcPr>
          <w:p>
            <w:pPr>
              <w:jc w:val="right"/>
            </w:pPr>
            <w:r>
              <w:rPr>
                <w:rFonts w:ascii="宋体" w:eastAsia="宋体" w:hAnsi="宋体" w:cs="宋体"/>
                <w:b w:val="0"/>
                <w:i w:val="0"/>
                <w:color w:val="000000"/>
                <w:sz w:val="20"/>
              </w:rPr>
              <w:t xml:space="preserve">5.42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114.74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4.13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46.91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4.13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30.29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8.81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12.99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5.42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10.09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114.78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4.13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034002盘锦市大洼区信访事务服务中心-211104000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110.64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110.64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102.44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102.43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完成全年履职效能、执行预算指标、配合区信访局完成接访维稳等工作。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完成全年履职效能，执行预算指标，配合全区信访工作，完成接访稳定工作。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息诉罢访率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有利于维护社会稳定</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社会稳定</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信访下降率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群众网上投诉形势平稳向好</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投诉率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信息化相关制度完善度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完善程度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