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辽宁省盘锦市大洼区卫生健康监督中心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辽宁省盘锦市大洼区卫生健康监督中心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辽宁省盘锦市大洼区卫生健康监督中心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辽宁省盘锦市大洼区卫生健康监督中心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辽宁省盘锦市大洼区卫生健康监督中心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辽宁省盘锦市大洼区卫生健康监督中心概况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党中央和省委、市委和区委关于卫生监督工作的方针政策、决策部署，贯彻执行国家和省、市、区关于卫生健康领域的法律法规、规章及政策等，参与拟定全区卫生健康监督执法工作规划、年度工作度划和卫生健康监督执法标准规范，并对各类违反卫生法律、法规等行为开展执法工作。</w:t>
        <w:br/>
        <w:t xml:space="preserve">    （二）承担医疗机构、采供血机构、计划生育、中医与母婴保健等医疗卫生领域的执法职能。</w:t>
        <w:br/>
        <w:t xml:space="preserve">    （三）承担公共卫场所卫生、饮用水卫生、学校卫生等公共卫生领域的执法职能。</w:t>
        <w:br/>
        <w:t xml:space="preserve">    （四）承担传染病防治、消毒产品、餐饮具集中消毒等传染病防治领域的执法职能。</w:t>
        <w:br/>
        <w:t xml:space="preserve">    （五）承担传染病防治、消毒产品、餐饮具集中消毒等传染病防治领域的执法职能。</w:t>
        <w:br/>
        <w:t xml:space="preserve">    （六）承担卫生健康监督执法有关的应急工作。</w:t>
        <w:br/>
        <w:t xml:space="preserve">    （七）承担卫生健康监督领域爱国卫生监督相关工作。</w:t>
        <w:br/>
        <w:t xml:space="preserve">    （八）负责对全区卫生监督执法行为进行稽查，查处违法违规行为。</w:t>
        <w:br/>
        <w:t xml:space="preserve">    （九）完成区卫生健康局交办的其他工作。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辽宁省盘锦市大洼区卫生健康监督中心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盘锦市大洼区卫生健康监督中心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277.33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277.23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99.96</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277.23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0.11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增加11.06万元，增长4.15%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变动调整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277.33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277.23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99.96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工资福利支出266.12万元；商品和服务支出7.64万元；对个人和家庭的补助3.46万元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主要包括疫情高速补助等业务支出。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增加11.06万元，增长4.15%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变动调整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主要是无等原因形成的结余。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277.23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277.23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增加10.95万元，增长4.11%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变动调整</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99.98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99.98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2023年度一般公共预算财政拨款支出277.23万元。按支出功能分类科目分，包括：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1.社会保障和就业支出35.16万元，具体包括：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（1）社会保障和就业支出（类）行政事业单位养老支出（款）事业单位离退休（项）3.46万元,主要是用于退休职工取暖费发放等支出，完成年初预算的100%，决算数与年初预算数存在差异的主要原因是无。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30.44万元,主要是用于在职职工养老保险缴纳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0.90万元,主要是用于职工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0.36万元,主要是用于职工工伤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2.卫生健康支出219.33万元，具体包括：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（1）卫生健康支出（类）公共卫生（款）卫生监督机构（项）206.89万元,主要是用于工资福利支出、商品和服务支出等支出，完成年初预算的100%，决算数与年初预算数存在差异的主要原因是无。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（2）卫生健康支出（类）行政事业单位医疗（款）事业单位医疗（项）12.24万元,主要是用于职工医疗保险缴纳等支出，完成年初预算的100%，决算数与年初预算数存在差异的主要原因是无。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（3）卫生健康支出（类）行政事业单位医疗（款）其他行政事业单位医疗支出（项）0.20万元,主要是用于职工大额医疗保险缴纳等支出，完成年初预算的100%，决算数与年初预算数存在差异的主要原因是无。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3.住房保障支出22.72万元，具体包括：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（1）住房保障支出（类）住房改革支出（款）住房公积金（项）22.72万元,主要是用于职工住房公积金的缴纳等支出，完成年初预算的100%，决算数与年初预算数存在差异的主要原因是无。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2.54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101.60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结转上年度未支付燃油费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2.54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2.54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101.60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结转上年度未支付燃油费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比上年增加1.85万元，增长268.12%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结转上年度未支付燃油费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2.54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主要用于车辆保险、车辆燃油、车辆维修等，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277.22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269.58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7.64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，其他用车主要是单位公务用车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支出全面开展绩效自评，自评覆盖率（开展绩效自评的项目数/年初批复绩效目标的项目数*100%）达到100%，自评平均分（开展绩效自评的项目分数总和/开展绩效自评的项目数）100分,本年度完成的整体绩效非常好.</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16.社会保障和就业（类）行政事业单位养老支出（款）事业单位离退休（项）：反映事业单位开支的离退休经费。</w:t>
        <w:br/>
        <w:t xml:space="preserve">    17.社会保障和就业（类）行政事业单位养老支出（款）机关事业单位基本养老保险缴费支出（项）：反映机关事业单位实施养老保险制度由单位缴纳的基本养老保险费支出。</w:t>
        <w:br/>
        <w:t xml:space="preserve">    18.社会保障和就业（类）行政事业单位养老支出（款）机关事业单位职业年金缴费支出（项）：反映机关事业单位实施养老保险制度由单位实际缴纳的职业年金支出。</w:t>
        <w:br/>
        <w:t xml:space="preserve">    19.社会保障和就业支出（类）其他社会保障和就业支出（款）其他社会保障和就业支出（项）：反映除上述项目以外其他用于社会保障和就业方面的支出。</w:t>
        <w:br/>
        <w:t xml:space="preserve">    20.卫生健康支出（类）公共卫生（款）卫生监督机构（项）:反映卫生健康、疾病预防控制部门所属卫生监督机构的支出。</w:t>
        <w:br/>
        <w:t xml:space="preserve">    21.卫生健康支出（类）行政事业单位医疗（款）其他行政事业单位医疗支出（项）：反映除上述项目以外的其他用于行政事业单位医疗方面的支出。</w:t>
        <w:br/>
        <w:t xml:space="preserve">    22.卫生健康支出（类）行政事业单位医疗（款）事业单位医疗（项）：反映财政部门安排的事业单位基本医疗保险缴费经费，未参加医疗保险的事业单位的公费医疗经费，按国家规定享受离休人员待遇的医疗经费。</w:t>
        <w:br/>
        <w:t xml:space="preserve">    23.住房保障（类）住房改革（款）住房公积金（项）：反映行政事业单位按人力资源和社会保障部、财政部规定的基本工资和津贴补贴以及规定比例为职工缴纳的住房公积金。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277.23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0.11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35.17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219.44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22.72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277.33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277.33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277.33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277.33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277.33</w:t>
            </w:r>
          </w:p>
        </w:tc>
        <w:tc>
          <w:tcPr>
            <w:tcW w:w="1160" w:type="dxa"/>
            <w:tcBorders/>
            <w:vAlign w:val="center"/>
          </w:tcPr>
          <w:p>
            <w:pPr>
              <w:jc w:val="right"/>
            </w:pPr>
            <w:r>
              <w:rPr>
                <w:rFonts w:ascii="宋体" w:eastAsia="宋体" w:hAnsi="宋体" w:cs="宋体"/>
                <w:b/>
                <w:i w:val="0"/>
                <w:color w:val="000000"/>
                <w:sz w:val="14"/>
              </w:rPr>
              <w:t xml:space="preserve">277.23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0.11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35.16</w:t>
            </w:r>
          </w:p>
        </w:tc>
        <w:tc>
          <w:tcPr>
            <w:tcW w:w="1160" w:type="dxa"/>
            <w:tcBorders/>
            <w:vAlign w:val="center"/>
          </w:tcPr>
          <w:p>
            <w:pPr>
              <w:jc w:val="right"/>
            </w:pPr>
            <w:r>
              <w:rPr>
                <w:rFonts w:ascii="宋体" w:eastAsia="宋体" w:hAnsi="宋体" w:cs="宋体"/>
                <w:b w:val="0"/>
                <w:i w:val="0"/>
                <w:color w:val="000000"/>
                <w:sz w:val="14"/>
              </w:rPr>
              <w:t xml:space="preserve">35.16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34.80</w:t>
            </w:r>
          </w:p>
        </w:tc>
        <w:tc>
          <w:tcPr>
            <w:tcW w:w="1160" w:type="dxa"/>
            <w:tcBorders/>
            <w:vAlign w:val="center"/>
          </w:tcPr>
          <w:p>
            <w:pPr>
              <w:jc w:val="right"/>
            </w:pPr>
            <w:r>
              <w:rPr>
                <w:rFonts w:ascii="宋体" w:eastAsia="宋体" w:hAnsi="宋体" w:cs="宋体"/>
                <w:b w:val="0"/>
                <w:i w:val="0"/>
                <w:color w:val="000000"/>
                <w:sz w:val="14"/>
              </w:rPr>
              <w:t xml:space="preserve">34.80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3.46</w:t>
            </w:r>
          </w:p>
        </w:tc>
        <w:tc>
          <w:tcPr>
            <w:tcW w:w="1160" w:type="dxa"/>
            <w:tcBorders/>
            <w:vAlign w:val="center"/>
          </w:tcPr>
          <w:p>
            <w:pPr>
              <w:jc w:val="right"/>
            </w:pPr>
            <w:r>
              <w:rPr>
                <w:rFonts w:ascii="宋体" w:eastAsia="宋体" w:hAnsi="宋体" w:cs="宋体"/>
                <w:b w:val="0"/>
                <w:i w:val="0"/>
                <w:color w:val="000000"/>
                <w:sz w:val="14"/>
              </w:rPr>
              <w:t xml:space="preserve">3.46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30.44</w:t>
            </w:r>
          </w:p>
        </w:tc>
        <w:tc>
          <w:tcPr>
            <w:tcW w:w="1160" w:type="dxa"/>
            <w:tcBorders/>
            <w:vAlign w:val="center"/>
          </w:tcPr>
          <w:p>
            <w:pPr>
              <w:jc w:val="right"/>
            </w:pPr>
            <w:r>
              <w:rPr>
                <w:rFonts w:ascii="宋体" w:eastAsia="宋体" w:hAnsi="宋体" w:cs="宋体"/>
                <w:b w:val="0"/>
                <w:i w:val="0"/>
                <w:color w:val="000000"/>
                <w:sz w:val="14"/>
              </w:rPr>
              <w:t xml:space="preserve">30.44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0.90</w:t>
            </w:r>
          </w:p>
        </w:tc>
        <w:tc>
          <w:tcPr>
            <w:tcW w:w="1160" w:type="dxa"/>
            <w:tcBorders/>
            <w:vAlign w:val="center"/>
          </w:tcPr>
          <w:p>
            <w:pPr>
              <w:jc w:val="right"/>
            </w:pPr>
            <w:r>
              <w:rPr>
                <w:rFonts w:ascii="宋体" w:eastAsia="宋体" w:hAnsi="宋体" w:cs="宋体"/>
                <w:b w:val="0"/>
                <w:i w:val="0"/>
                <w:color w:val="000000"/>
                <w:sz w:val="14"/>
              </w:rPr>
              <w:t xml:space="preserve">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219.44</w:t>
            </w:r>
          </w:p>
        </w:tc>
        <w:tc>
          <w:tcPr>
            <w:tcW w:w="1160" w:type="dxa"/>
            <w:tcBorders/>
            <w:vAlign w:val="center"/>
          </w:tcPr>
          <w:p>
            <w:pPr>
              <w:jc w:val="right"/>
            </w:pPr>
            <w:r>
              <w:rPr>
                <w:rFonts w:ascii="宋体" w:eastAsia="宋体" w:hAnsi="宋体" w:cs="宋体"/>
                <w:b w:val="0"/>
                <w:i w:val="0"/>
                <w:color w:val="000000"/>
                <w:sz w:val="14"/>
              </w:rPr>
              <w:t xml:space="preserve">219.33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207.00</w:t>
            </w:r>
          </w:p>
        </w:tc>
        <w:tc>
          <w:tcPr>
            <w:tcW w:w="1160" w:type="dxa"/>
            <w:tcBorders/>
            <w:vAlign w:val="center"/>
          </w:tcPr>
          <w:p>
            <w:pPr>
              <w:jc w:val="right"/>
            </w:pPr>
            <w:r>
              <w:rPr>
                <w:rFonts w:ascii="宋体" w:eastAsia="宋体" w:hAnsi="宋体" w:cs="宋体"/>
                <w:b w:val="0"/>
                <w:i w:val="0"/>
                <w:color w:val="000000"/>
                <w:sz w:val="14"/>
              </w:rPr>
              <w:t xml:space="preserve">206.89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卫生监督机构</w:t>
            </w:r>
          </w:p>
        </w:tc>
        <w:tc>
          <w:tcPr>
            <w:tcW w:w="1160" w:type="dxa"/>
            <w:tcBorders/>
            <w:vAlign w:val="center"/>
          </w:tcPr>
          <w:p>
            <w:pPr>
              <w:jc w:val="right"/>
            </w:pPr>
            <w:r>
              <w:rPr>
                <w:rFonts w:ascii="宋体" w:eastAsia="宋体" w:hAnsi="宋体" w:cs="宋体"/>
                <w:b w:val="0"/>
                <w:i w:val="0"/>
                <w:color w:val="000000"/>
                <w:sz w:val="14"/>
              </w:rPr>
              <w:t xml:space="preserve">206.89</w:t>
            </w:r>
          </w:p>
        </w:tc>
        <w:tc>
          <w:tcPr>
            <w:tcW w:w="1160" w:type="dxa"/>
            <w:tcBorders/>
            <w:vAlign w:val="center"/>
          </w:tcPr>
          <w:p>
            <w:pPr>
              <w:jc w:val="right"/>
            </w:pPr>
            <w:r>
              <w:rPr>
                <w:rFonts w:ascii="宋体" w:eastAsia="宋体" w:hAnsi="宋体" w:cs="宋体"/>
                <w:b w:val="0"/>
                <w:i w:val="0"/>
                <w:color w:val="000000"/>
                <w:sz w:val="14"/>
              </w:rPr>
              <w:t xml:space="preserve">206.89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0.11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12.44</w:t>
            </w:r>
          </w:p>
        </w:tc>
        <w:tc>
          <w:tcPr>
            <w:tcW w:w="1160" w:type="dxa"/>
            <w:tcBorders/>
            <w:vAlign w:val="center"/>
          </w:tcPr>
          <w:p>
            <w:pPr>
              <w:jc w:val="right"/>
            </w:pPr>
            <w:r>
              <w:rPr>
                <w:rFonts w:ascii="宋体" w:eastAsia="宋体" w:hAnsi="宋体" w:cs="宋体"/>
                <w:b w:val="0"/>
                <w:i w:val="0"/>
                <w:color w:val="000000"/>
                <w:sz w:val="14"/>
              </w:rPr>
              <w:t xml:space="preserve">12.44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12.24</w:t>
            </w:r>
          </w:p>
        </w:tc>
        <w:tc>
          <w:tcPr>
            <w:tcW w:w="1160" w:type="dxa"/>
            <w:tcBorders/>
            <w:vAlign w:val="center"/>
          </w:tcPr>
          <w:p>
            <w:pPr>
              <w:jc w:val="right"/>
            </w:pPr>
            <w:r>
              <w:rPr>
                <w:rFonts w:ascii="宋体" w:eastAsia="宋体" w:hAnsi="宋体" w:cs="宋体"/>
                <w:b w:val="0"/>
                <w:i w:val="0"/>
                <w:color w:val="000000"/>
                <w:sz w:val="14"/>
              </w:rPr>
              <w:t xml:space="preserve">12.24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22.72</w:t>
            </w:r>
          </w:p>
        </w:tc>
        <w:tc>
          <w:tcPr>
            <w:tcW w:w="1160" w:type="dxa"/>
            <w:tcBorders/>
            <w:vAlign w:val="center"/>
          </w:tcPr>
          <w:p>
            <w:pPr>
              <w:jc w:val="right"/>
            </w:pPr>
            <w:r>
              <w:rPr>
                <w:rFonts w:ascii="宋体" w:eastAsia="宋体" w:hAnsi="宋体" w:cs="宋体"/>
                <w:b w:val="0"/>
                <w:i w:val="0"/>
                <w:color w:val="000000"/>
                <w:sz w:val="14"/>
              </w:rPr>
              <w:t xml:space="preserve">22.72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22.72</w:t>
            </w:r>
          </w:p>
        </w:tc>
        <w:tc>
          <w:tcPr>
            <w:tcW w:w="1160" w:type="dxa"/>
            <w:tcBorders/>
            <w:vAlign w:val="center"/>
          </w:tcPr>
          <w:p>
            <w:pPr>
              <w:jc w:val="right"/>
            </w:pPr>
            <w:r>
              <w:rPr>
                <w:rFonts w:ascii="宋体" w:eastAsia="宋体" w:hAnsi="宋体" w:cs="宋体"/>
                <w:b w:val="0"/>
                <w:i w:val="0"/>
                <w:color w:val="000000"/>
                <w:sz w:val="14"/>
              </w:rPr>
              <w:t xml:space="preserve">22.72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22.72</w:t>
            </w:r>
          </w:p>
        </w:tc>
        <w:tc>
          <w:tcPr>
            <w:tcW w:w="1160" w:type="dxa"/>
            <w:tcBorders/>
            <w:vAlign w:val="center"/>
          </w:tcPr>
          <w:p>
            <w:pPr>
              <w:jc w:val="right"/>
            </w:pPr>
            <w:r>
              <w:rPr>
                <w:rFonts w:ascii="宋体" w:eastAsia="宋体" w:hAnsi="宋体" w:cs="宋体"/>
                <w:b w:val="0"/>
                <w:i w:val="0"/>
                <w:color w:val="000000"/>
                <w:sz w:val="14"/>
              </w:rPr>
              <w:t xml:space="preserve">22.72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277.33</w:t>
            </w:r>
          </w:p>
        </w:tc>
        <w:tc>
          <w:tcPr>
            <w:tcW w:w="1120" w:type="dxa"/>
            <w:tcBorders/>
            <w:vAlign w:val="center"/>
          </w:tcPr>
          <w:p>
            <w:pPr>
              <w:jc w:val="right"/>
            </w:pPr>
            <w:r>
              <w:rPr>
                <w:rFonts w:ascii="宋体" w:eastAsia="宋体" w:hAnsi="宋体" w:cs="宋体"/>
                <w:b/>
                <w:i w:val="0"/>
                <w:color w:val="000000"/>
                <w:sz w:val="16"/>
              </w:rPr>
              <w:t xml:space="preserve">277.23</w:t>
            </w:r>
          </w:p>
        </w:tc>
        <w:tc>
          <w:tcPr>
            <w:tcW w:w="1120" w:type="dxa"/>
            <w:tcBorders/>
            <w:vAlign w:val="center"/>
          </w:tcPr>
          <w:p>
            <w:pPr>
              <w:jc w:val="right"/>
            </w:pPr>
            <w:r>
              <w:rPr>
                <w:rFonts w:ascii="宋体" w:eastAsia="宋体" w:hAnsi="宋体" w:cs="宋体"/>
                <w:b/>
                <w:i w:val="0"/>
                <w:color w:val="000000"/>
                <w:sz w:val="16"/>
              </w:rPr>
              <w:t xml:space="preserve">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35.16</w:t>
            </w:r>
          </w:p>
        </w:tc>
        <w:tc>
          <w:tcPr>
            <w:tcW w:w="1120" w:type="dxa"/>
            <w:tcBorders/>
            <w:vAlign w:val="center"/>
          </w:tcPr>
          <w:p>
            <w:pPr>
              <w:jc w:val="right"/>
            </w:pPr>
            <w:r>
              <w:rPr>
                <w:rFonts w:ascii="宋体" w:eastAsia="宋体" w:hAnsi="宋体" w:cs="宋体"/>
                <w:b w:val="0"/>
                <w:i w:val="0"/>
                <w:color w:val="000000"/>
                <w:sz w:val="16"/>
              </w:rPr>
              <w:t xml:space="preserve">35.16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34.80</w:t>
            </w:r>
          </w:p>
        </w:tc>
        <w:tc>
          <w:tcPr>
            <w:tcW w:w="1120" w:type="dxa"/>
            <w:tcBorders/>
            <w:vAlign w:val="center"/>
          </w:tcPr>
          <w:p>
            <w:pPr>
              <w:jc w:val="right"/>
            </w:pPr>
            <w:r>
              <w:rPr>
                <w:rFonts w:ascii="宋体" w:eastAsia="宋体" w:hAnsi="宋体" w:cs="宋体"/>
                <w:b w:val="0"/>
                <w:i w:val="0"/>
                <w:color w:val="000000"/>
                <w:sz w:val="16"/>
              </w:rPr>
              <w:t xml:space="preserve">34.80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3.46</w:t>
            </w:r>
          </w:p>
        </w:tc>
        <w:tc>
          <w:tcPr>
            <w:tcW w:w="1120" w:type="dxa"/>
            <w:tcBorders/>
            <w:vAlign w:val="center"/>
          </w:tcPr>
          <w:p>
            <w:pPr>
              <w:jc w:val="right"/>
            </w:pPr>
            <w:r>
              <w:rPr>
                <w:rFonts w:ascii="宋体" w:eastAsia="宋体" w:hAnsi="宋体" w:cs="宋体"/>
                <w:b w:val="0"/>
                <w:i w:val="0"/>
                <w:color w:val="000000"/>
                <w:sz w:val="16"/>
              </w:rPr>
              <w:t xml:space="preserve">3.46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30.44</w:t>
            </w:r>
          </w:p>
        </w:tc>
        <w:tc>
          <w:tcPr>
            <w:tcW w:w="1120" w:type="dxa"/>
            <w:tcBorders/>
            <w:vAlign w:val="center"/>
          </w:tcPr>
          <w:p>
            <w:pPr>
              <w:jc w:val="right"/>
            </w:pPr>
            <w:r>
              <w:rPr>
                <w:rFonts w:ascii="宋体" w:eastAsia="宋体" w:hAnsi="宋体" w:cs="宋体"/>
                <w:b w:val="0"/>
                <w:i w:val="0"/>
                <w:color w:val="000000"/>
                <w:sz w:val="16"/>
              </w:rPr>
              <w:t xml:space="preserve">30.44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0.90</w:t>
            </w:r>
          </w:p>
        </w:tc>
        <w:tc>
          <w:tcPr>
            <w:tcW w:w="1120" w:type="dxa"/>
            <w:tcBorders/>
            <w:vAlign w:val="center"/>
          </w:tcPr>
          <w:p>
            <w:pPr>
              <w:jc w:val="right"/>
            </w:pPr>
            <w:r>
              <w:rPr>
                <w:rFonts w:ascii="宋体" w:eastAsia="宋体" w:hAnsi="宋体" w:cs="宋体"/>
                <w:b w:val="0"/>
                <w:i w:val="0"/>
                <w:color w:val="000000"/>
                <w:sz w:val="16"/>
              </w:rPr>
              <w:t xml:space="preserve">0.90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219.44</w:t>
            </w:r>
          </w:p>
        </w:tc>
        <w:tc>
          <w:tcPr>
            <w:tcW w:w="1120" w:type="dxa"/>
            <w:tcBorders/>
            <w:vAlign w:val="center"/>
          </w:tcPr>
          <w:p>
            <w:pPr>
              <w:jc w:val="right"/>
            </w:pPr>
            <w:r>
              <w:rPr>
                <w:rFonts w:ascii="宋体" w:eastAsia="宋体" w:hAnsi="宋体" w:cs="宋体"/>
                <w:b w:val="0"/>
                <w:i w:val="0"/>
                <w:color w:val="000000"/>
                <w:sz w:val="16"/>
              </w:rPr>
              <w:t xml:space="preserve">219.33</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207.00</w:t>
            </w:r>
          </w:p>
        </w:tc>
        <w:tc>
          <w:tcPr>
            <w:tcW w:w="1120" w:type="dxa"/>
            <w:tcBorders/>
            <w:vAlign w:val="center"/>
          </w:tcPr>
          <w:p>
            <w:pPr>
              <w:jc w:val="right"/>
            </w:pPr>
            <w:r>
              <w:rPr>
                <w:rFonts w:ascii="宋体" w:eastAsia="宋体" w:hAnsi="宋体" w:cs="宋体"/>
                <w:b w:val="0"/>
                <w:i w:val="0"/>
                <w:color w:val="000000"/>
                <w:sz w:val="16"/>
              </w:rPr>
              <w:t xml:space="preserve">206.89</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卫生监督机构</w:t>
            </w:r>
          </w:p>
        </w:tc>
        <w:tc>
          <w:tcPr>
            <w:tcW w:w="1120" w:type="dxa"/>
            <w:tcBorders/>
            <w:vAlign w:val="center"/>
          </w:tcPr>
          <w:p>
            <w:pPr>
              <w:jc w:val="right"/>
            </w:pPr>
            <w:r>
              <w:rPr>
                <w:rFonts w:ascii="宋体" w:eastAsia="宋体" w:hAnsi="宋体" w:cs="宋体"/>
                <w:b w:val="0"/>
                <w:i w:val="0"/>
                <w:color w:val="000000"/>
                <w:sz w:val="16"/>
              </w:rPr>
              <w:t xml:space="preserve">206.89</w:t>
            </w:r>
          </w:p>
        </w:tc>
        <w:tc>
          <w:tcPr>
            <w:tcW w:w="1120" w:type="dxa"/>
            <w:tcBorders/>
            <w:vAlign w:val="center"/>
          </w:tcPr>
          <w:p>
            <w:pPr>
              <w:jc w:val="right"/>
            </w:pPr>
            <w:r>
              <w:rPr>
                <w:rFonts w:ascii="宋体" w:eastAsia="宋体" w:hAnsi="宋体" w:cs="宋体"/>
                <w:b w:val="0"/>
                <w:i w:val="0"/>
                <w:color w:val="000000"/>
                <w:sz w:val="16"/>
              </w:rPr>
              <w:t xml:space="preserve">206.89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12.44</w:t>
            </w:r>
          </w:p>
        </w:tc>
        <w:tc>
          <w:tcPr>
            <w:tcW w:w="1120" w:type="dxa"/>
            <w:tcBorders/>
            <w:vAlign w:val="center"/>
          </w:tcPr>
          <w:p>
            <w:pPr>
              <w:jc w:val="right"/>
            </w:pPr>
            <w:r>
              <w:rPr>
                <w:rFonts w:ascii="宋体" w:eastAsia="宋体" w:hAnsi="宋体" w:cs="宋体"/>
                <w:b w:val="0"/>
                <w:i w:val="0"/>
                <w:color w:val="000000"/>
                <w:sz w:val="16"/>
              </w:rPr>
              <w:t xml:space="preserve">12.44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12.24</w:t>
            </w:r>
          </w:p>
        </w:tc>
        <w:tc>
          <w:tcPr>
            <w:tcW w:w="1120" w:type="dxa"/>
            <w:tcBorders/>
            <w:vAlign w:val="center"/>
          </w:tcPr>
          <w:p>
            <w:pPr>
              <w:jc w:val="right"/>
            </w:pPr>
            <w:r>
              <w:rPr>
                <w:rFonts w:ascii="宋体" w:eastAsia="宋体" w:hAnsi="宋体" w:cs="宋体"/>
                <w:b w:val="0"/>
                <w:i w:val="0"/>
                <w:color w:val="000000"/>
                <w:sz w:val="16"/>
              </w:rPr>
              <w:t xml:space="preserve">12.24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22.72</w:t>
            </w:r>
          </w:p>
        </w:tc>
        <w:tc>
          <w:tcPr>
            <w:tcW w:w="1120" w:type="dxa"/>
            <w:tcBorders/>
            <w:vAlign w:val="center"/>
          </w:tcPr>
          <w:p>
            <w:pPr>
              <w:jc w:val="right"/>
            </w:pPr>
            <w:r>
              <w:rPr>
                <w:rFonts w:ascii="宋体" w:eastAsia="宋体" w:hAnsi="宋体" w:cs="宋体"/>
                <w:b w:val="0"/>
                <w:i w:val="0"/>
                <w:color w:val="000000"/>
                <w:sz w:val="16"/>
              </w:rPr>
              <w:t xml:space="preserve">22.72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22.72</w:t>
            </w:r>
          </w:p>
        </w:tc>
        <w:tc>
          <w:tcPr>
            <w:tcW w:w="1120" w:type="dxa"/>
            <w:tcBorders/>
            <w:vAlign w:val="center"/>
          </w:tcPr>
          <w:p>
            <w:pPr>
              <w:jc w:val="right"/>
            </w:pPr>
            <w:r>
              <w:rPr>
                <w:rFonts w:ascii="宋体" w:eastAsia="宋体" w:hAnsi="宋体" w:cs="宋体"/>
                <w:b w:val="0"/>
                <w:i w:val="0"/>
                <w:color w:val="000000"/>
                <w:sz w:val="16"/>
              </w:rPr>
              <w:t xml:space="preserve">22.72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22.72</w:t>
            </w:r>
          </w:p>
        </w:tc>
        <w:tc>
          <w:tcPr>
            <w:tcW w:w="1120" w:type="dxa"/>
            <w:tcBorders/>
            <w:vAlign w:val="center"/>
          </w:tcPr>
          <w:p>
            <w:pPr>
              <w:jc w:val="right"/>
            </w:pPr>
            <w:r>
              <w:rPr>
                <w:rFonts w:ascii="宋体" w:eastAsia="宋体" w:hAnsi="宋体" w:cs="宋体"/>
                <w:b w:val="0"/>
                <w:i w:val="0"/>
                <w:color w:val="000000"/>
                <w:sz w:val="16"/>
              </w:rPr>
              <w:t xml:space="preserve">22.72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277.23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35.17</w:t>
            </w:r>
          </w:p>
        </w:tc>
        <w:tc>
          <w:tcPr>
            <w:tcW w:w="1100" w:type="dxa"/>
            <w:tcBorders/>
            <w:vAlign w:val="center"/>
          </w:tcPr>
          <w:p>
            <w:pPr>
              <w:jc w:val="right"/>
            </w:pPr>
            <w:r>
              <w:rPr>
                <w:rFonts w:ascii="宋体" w:eastAsia="宋体" w:hAnsi="宋体" w:cs="宋体"/>
                <w:b w:val="0"/>
                <w:i w:val="0"/>
                <w:color w:val="000000"/>
                <w:sz w:val="14"/>
              </w:rPr>
              <w:t xml:space="preserve">35.17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219.33</w:t>
            </w:r>
          </w:p>
        </w:tc>
        <w:tc>
          <w:tcPr>
            <w:tcW w:w="1100" w:type="dxa"/>
            <w:tcBorders/>
            <w:vAlign w:val="center"/>
          </w:tcPr>
          <w:p>
            <w:pPr>
              <w:jc w:val="right"/>
            </w:pPr>
            <w:r>
              <w:rPr>
                <w:rFonts w:ascii="宋体" w:eastAsia="宋体" w:hAnsi="宋体" w:cs="宋体"/>
                <w:b w:val="0"/>
                <w:i w:val="0"/>
                <w:color w:val="000000"/>
                <w:sz w:val="14"/>
              </w:rPr>
              <w:t xml:space="preserve">219.33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22.72</w:t>
            </w:r>
          </w:p>
        </w:tc>
        <w:tc>
          <w:tcPr>
            <w:tcW w:w="1100" w:type="dxa"/>
            <w:tcBorders/>
            <w:vAlign w:val="center"/>
          </w:tcPr>
          <w:p>
            <w:pPr>
              <w:jc w:val="right"/>
            </w:pPr>
            <w:r>
              <w:rPr>
                <w:rFonts w:ascii="宋体" w:eastAsia="宋体" w:hAnsi="宋体" w:cs="宋体"/>
                <w:b w:val="0"/>
                <w:i w:val="0"/>
                <w:color w:val="000000"/>
                <w:sz w:val="14"/>
              </w:rPr>
              <w:t xml:space="preserve">22.72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277.23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277.23</w:t>
            </w:r>
          </w:p>
        </w:tc>
        <w:tc>
          <w:tcPr>
            <w:tcW w:w="1100" w:type="dxa"/>
            <w:tcBorders/>
            <w:vAlign w:val="center"/>
          </w:tcPr>
          <w:p>
            <w:pPr>
              <w:jc w:val="right"/>
            </w:pPr>
            <w:r>
              <w:rPr>
                <w:rFonts w:ascii="宋体" w:eastAsia="宋体" w:hAnsi="宋体" w:cs="宋体"/>
                <w:b w:val="0"/>
                <w:i w:val="0"/>
                <w:color w:val="000000"/>
                <w:sz w:val="14"/>
              </w:rPr>
              <w:t xml:space="preserve">277.23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277.23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277.23</w:t>
            </w:r>
          </w:p>
        </w:tc>
        <w:tc>
          <w:tcPr>
            <w:tcW w:w="1100" w:type="dxa"/>
            <w:tcBorders/>
            <w:vAlign w:val="center"/>
          </w:tcPr>
          <w:p>
            <w:pPr>
              <w:jc w:val="right"/>
            </w:pPr>
            <w:r>
              <w:rPr>
                <w:rFonts w:ascii="宋体" w:eastAsia="宋体" w:hAnsi="宋体" w:cs="宋体"/>
                <w:b w:val="0"/>
                <w:i w:val="0"/>
                <w:color w:val="000000"/>
                <w:sz w:val="14"/>
              </w:rPr>
              <w:t xml:space="preserve">277.23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277.23</w:t>
            </w:r>
          </w:p>
        </w:tc>
        <w:tc>
          <w:tcPr>
            <w:tcW w:w="1980" w:type="dxa"/>
            <w:tcBorders/>
            <w:vAlign w:val="center"/>
          </w:tcPr>
          <w:p>
            <w:pPr>
              <w:jc w:val="right"/>
            </w:pPr>
            <w:r>
              <w:rPr>
                <w:rFonts w:ascii="宋体" w:eastAsia="宋体" w:hAnsi="宋体" w:cs="宋体"/>
                <w:b/>
                <w:i w:val="0"/>
                <w:color w:val="000000"/>
                <w:sz w:val="20"/>
              </w:rPr>
              <w:t xml:space="preserve">277.23</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35.16</w:t>
            </w:r>
          </w:p>
        </w:tc>
        <w:tc>
          <w:tcPr>
            <w:tcW w:w="1980" w:type="dxa"/>
            <w:tcBorders/>
            <w:vAlign w:val="center"/>
          </w:tcPr>
          <w:p>
            <w:pPr>
              <w:jc w:val="right"/>
            </w:pPr>
            <w:r>
              <w:rPr>
                <w:rFonts w:ascii="宋体" w:eastAsia="宋体" w:hAnsi="宋体" w:cs="宋体"/>
                <w:b w:val="0"/>
                <w:i w:val="0"/>
                <w:color w:val="000000"/>
                <w:sz w:val="20"/>
              </w:rPr>
              <w:t xml:space="preserve">35.16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34.80</w:t>
            </w:r>
          </w:p>
        </w:tc>
        <w:tc>
          <w:tcPr>
            <w:tcW w:w="1980" w:type="dxa"/>
            <w:tcBorders/>
            <w:vAlign w:val="center"/>
          </w:tcPr>
          <w:p>
            <w:pPr>
              <w:jc w:val="right"/>
            </w:pPr>
            <w:r>
              <w:rPr>
                <w:rFonts w:ascii="宋体" w:eastAsia="宋体" w:hAnsi="宋体" w:cs="宋体"/>
                <w:b w:val="0"/>
                <w:i w:val="0"/>
                <w:color w:val="000000"/>
                <w:sz w:val="20"/>
              </w:rPr>
              <w:t xml:space="preserve">34.80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3.46</w:t>
            </w:r>
          </w:p>
        </w:tc>
        <w:tc>
          <w:tcPr>
            <w:tcW w:w="1980" w:type="dxa"/>
            <w:tcBorders/>
            <w:vAlign w:val="center"/>
          </w:tcPr>
          <w:p>
            <w:pPr>
              <w:jc w:val="right"/>
            </w:pPr>
            <w:r>
              <w:rPr>
                <w:rFonts w:ascii="宋体" w:eastAsia="宋体" w:hAnsi="宋体" w:cs="宋体"/>
                <w:b w:val="0"/>
                <w:i w:val="0"/>
                <w:color w:val="000000"/>
                <w:sz w:val="20"/>
              </w:rPr>
              <w:t xml:space="preserve">3.46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30.44</w:t>
            </w:r>
          </w:p>
        </w:tc>
        <w:tc>
          <w:tcPr>
            <w:tcW w:w="1980" w:type="dxa"/>
            <w:tcBorders/>
            <w:vAlign w:val="center"/>
          </w:tcPr>
          <w:p>
            <w:pPr>
              <w:jc w:val="right"/>
            </w:pPr>
            <w:r>
              <w:rPr>
                <w:rFonts w:ascii="宋体" w:eastAsia="宋体" w:hAnsi="宋体" w:cs="宋体"/>
                <w:b w:val="0"/>
                <w:i w:val="0"/>
                <w:color w:val="000000"/>
                <w:sz w:val="20"/>
              </w:rPr>
              <w:t xml:space="preserve">30.44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0.90</w:t>
            </w:r>
          </w:p>
        </w:tc>
        <w:tc>
          <w:tcPr>
            <w:tcW w:w="1980" w:type="dxa"/>
            <w:tcBorders/>
            <w:vAlign w:val="center"/>
          </w:tcPr>
          <w:p>
            <w:pPr>
              <w:jc w:val="right"/>
            </w:pPr>
            <w:r>
              <w:rPr>
                <w:rFonts w:ascii="宋体" w:eastAsia="宋体" w:hAnsi="宋体" w:cs="宋体"/>
                <w:b w:val="0"/>
                <w:i w:val="0"/>
                <w:color w:val="000000"/>
                <w:sz w:val="20"/>
              </w:rPr>
              <w:t xml:space="preserve">0.90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219.33</w:t>
            </w:r>
          </w:p>
        </w:tc>
        <w:tc>
          <w:tcPr>
            <w:tcW w:w="1980" w:type="dxa"/>
            <w:tcBorders/>
            <w:vAlign w:val="center"/>
          </w:tcPr>
          <w:p>
            <w:pPr>
              <w:jc w:val="right"/>
            </w:pPr>
            <w:r>
              <w:rPr>
                <w:rFonts w:ascii="宋体" w:eastAsia="宋体" w:hAnsi="宋体" w:cs="宋体"/>
                <w:b w:val="0"/>
                <w:i w:val="0"/>
                <w:color w:val="000000"/>
                <w:sz w:val="20"/>
              </w:rPr>
              <w:t xml:space="preserve">219.33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206.89</w:t>
            </w:r>
          </w:p>
        </w:tc>
        <w:tc>
          <w:tcPr>
            <w:tcW w:w="1980" w:type="dxa"/>
            <w:tcBorders/>
            <w:vAlign w:val="center"/>
          </w:tcPr>
          <w:p>
            <w:pPr>
              <w:jc w:val="right"/>
            </w:pPr>
            <w:r>
              <w:rPr>
                <w:rFonts w:ascii="宋体" w:eastAsia="宋体" w:hAnsi="宋体" w:cs="宋体"/>
                <w:b w:val="0"/>
                <w:i w:val="0"/>
                <w:color w:val="000000"/>
                <w:sz w:val="20"/>
              </w:rPr>
              <w:t xml:space="preserve">206.89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卫生监督机构</w:t>
            </w:r>
          </w:p>
        </w:tc>
        <w:tc>
          <w:tcPr>
            <w:tcW w:w="1980" w:type="dxa"/>
            <w:tcBorders/>
            <w:vAlign w:val="center"/>
          </w:tcPr>
          <w:p>
            <w:pPr>
              <w:jc w:val="right"/>
            </w:pPr>
            <w:r>
              <w:rPr>
                <w:rFonts w:ascii="宋体" w:eastAsia="宋体" w:hAnsi="宋体" w:cs="宋体"/>
                <w:b w:val="0"/>
                <w:i w:val="0"/>
                <w:color w:val="000000"/>
                <w:sz w:val="20"/>
              </w:rPr>
              <w:t xml:space="preserve">206.89</w:t>
            </w:r>
          </w:p>
        </w:tc>
        <w:tc>
          <w:tcPr>
            <w:tcW w:w="1980" w:type="dxa"/>
            <w:tcBorders/>
            <w:vAlign w:val="center"/>
          </w:tcPr>
          <w:p>
            <w:pPr>
              <w:jc w:val="right"/>
            </w:pPr>
            <w:r>
              <w:rPr>
                <w:rFonts w:ascii="宋体" w:eastAsia="宋体" w:hAnsi="宋体" w:cs="宋体"/>
                <w:b w:val="0"/>
                <w:i w:val="0"/>
                <w:color w:val="000000"/>
                <w:sz w:val="20"/>
              </w:rPr>
              <w:t xml:space="preserve">206.89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12.44</w:t>
            </w:r>
          </w:p>
        </w:tc>
        <w:tc>
          <w:tcPr>
            <w:tcW w:w="1980" w:type="dxa"/>
            <w:tcBorders/>
            <w:vAlign w:val="center"/>
          </w:tcPr>
          <w:p>
            <w:pPr>
              <w:jc w:val="right"/>
            </w:pPr>
            <w:r>
              <w:rPr>
                <w:rFonts w:ascii="宋体" w:eastAsia="宋体" w:hAnsi="宋体" w:cs="宋体"/>
                <w:b w:val="0"/>
                <w:i w:val="0"/>
                <w:color w:val="000000"/>
                <w:sz w:val="20"/>
              </w:rPr>
              <w:t xml:space="preserve">12.44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12.24</w:t>
            </w:r>
          </w:p>
        </w:tc>
        <w:tc>
          <w:tcPr>
            <w:tcW w:w="1980" w:type="dxa"/>
            <w:tcBorders/>
            <w:vAlign w:val="center"/>
          </w:tcPr>
          <w:p>
            <w:pPr>
              <w:jc w:val="right"/>
            </w:pPr>
            <w:r>
              <w:rPr>
                <w:rFonts w:ascii="宋体" w:eastAsia="宋体" w:hAnsi="宋体" w:cs="宋体"/>
                <w:b w:val="0"/>
                <w:i w:val="0"/>
                <w:color w:val="000000"/>
                <w:sz w:val="20"/>
              </w:rPr>
              <w:t xml:space="preserve">12.24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22.72</w:t>
            </w:r>
          </w:p>
        </w:tc>
        <w:tc>
          <w:tcPr>
            <w:tcW w:w="1980" w:type="dxa"/>
            <w:tcBorders/>
            <w:vAlign w:val="center"/>
          </w:tcPr>
          <w:p>
            <w:pPr>
              <w:jc w:val="right"/>
            </w:pPr>
            <w:r>
              <w:rPr>
                <w:rFonts w:ascii="宋体" w:eastAsia="宋体" w:hAnsi="宋体" w:cs="宋体"/>
                <w:b w:val="0"/>
                <w:i w:val="0"/>
                <w:color w:val="000000"/>
                <w:sz w:val="20"/>
              </w:rPr>
              <w:t xml:space="preserve">22.72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22.72</w:t>
            </w:r>
          </w:p>
        </w:tc>
        <w:tc>
          <w:tcPr>
            <w:tcW w:w="1980" w:type="dxa"/>
            <w:tcBorders/>
            <w:vAlign w:val="center"/>
          </w:tcPr>
          <w:p>
            <w:pPr>
              <w:jc w:val="right"/>
            </w:pPr>
            <w:r>
              <w:rPr>
                <w:rFonts w:ascii="宋体" w:eastAsia="宋体" w:hAnsi="宋体" w:cs="宋体"/>
                <w:b w:val="0"/>
                <w:i w:val="0"/>
                <w:color w:val="000000"/>
                <w:sz w:val="20"/>
              </w:rPr>
              <w:t xml:space="preserve">22.72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22.72</w:t>
            </w:r>
          </w:p>
        </w:tc>
        <w:tc>
          <w:tcPr>
            <w:tcW w:w="1980" w:type="dxa"/>
            <w:tcBorders/>
            <w:vAlign w:val="center"/>
          </w:tcPr>
          <w:p>
            <w:pPr>
              <w:jc w:val="right"/>
            </w:pPr>
            <w:r>
              <w:rPr>
                <w:rFonts w:ascii="宋体" w:eastAsia="宋体" w:hAnsi="宋体" w:cs="宋体"/>
                <w:b w:val="0"/>
                <w:i w:val="0"/>
                <w:color w:val="000000"/>
                <w:sz w:val="20"/>
              </w:rPr>
              <w:t xml:space="preserve">22.72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266.12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7.64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115.11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6.09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78.04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30.44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0.63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0.90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12.24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3.07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22.72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3.46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3.33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2.54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269.58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7.64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单位：辽宁省盘锦市大洼区卫生健康监督中心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041008盘锦市大洼区卫生健康监督中心-211104000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251.75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15.98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9.39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按照年初计划完成全年指标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突发公共安全事件应急任务完成率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社会公众对卫生健康监督工作满意度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科学研究和社会服务</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项</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