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辽宁省盘锦市大洼区统计局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辽宁省盘锦市大洼区统计局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辽宁省盘锦市大洼区统计局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辽宁省盘锦市大洼区统计局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辽宁省盘锦市大洼区统计局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辽宁省盘锦市大洼区统计局概况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（1）、贯彻执行国家、省、市、县关于发展服务业的法律法规、方针政策和规范性文件；拟定全县服务业发展规划，负责起草规范服务业经济秩序和市场规则的行政规章性公文并监督指导实施。</w:t>
        <w:br/>
        <w:t xml:space="preserve">    （2）、负责汇总全县服务业发展总体情况、统计报表，分析服务业发展动态和运行趋势，提出解决相关问题的意见和建议；协调解决服务业发展中的重大问题；综合研究服务业集聚区布局以及重大项目推动等重大问题，提出相关对策和建议；承担县服务业局归口的服务业发展和商贸流通业专项资金管理工作。</w:t>
        <w:br/>
        <w:t xml:space="preserve">    （3）、负责推进流通产业结构调整，指导流通体制改革，流通服务业和社区商业发展；提出促进流通服务业中小企业发展的政策建议，推动流通标准化和连锁经营、物流配送、电子商务等现代化流通方式的发展。</w:t>
        <w:br/>
        <w:t xml:space="preserve">    （4）、拟定流通服务业发展规划，促进城乡市场发展，研究提出引导国内外资金投向市场体系建设的政策，指导大宗产品批发市场规划和县域商业网点规划、商业体系建设工作，推进农村市场体系建设，组织实施农村现代流通网络工程。</w:t>
        <w:br/>
        <w:t xml:space="preserve">    （5）、牵头协调整顿和规范市场经济秩序工作，负责起草有关流通服务业的规范性文件，推动流通领域依法行政和信用建设，指导商业诚信销售，建立市场诚信公共平台，按有关规定对特殊流通行业进行监督管理。</w:t>
        <w:br/>
        <w:t xml:space="preserve">    （6）、负责餐饮业、住宿业、冷链物流、租赁业、旧货业、展览业等行业的监督管理；负责对成品油流通、酒类流通、散装水泥推广、报废汽车回收和老旧汽车更新改造、定点屠宰进行监督管理。</w:t>
        <w:br/>
        <w:t xml:space="preserve">    （7）、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br/>
        <w:t xml:space="preserve">    （8）、承办县政府交办的其他事项。</w:t>
        <w:br/>
        <w:t xml:space="preserve">    二、机构设置</w:t>
        <w:br/>
        <w:t xml:space="preserve">    根据本部门主要职责，内设机构如下：</w:t>
        <w:br/>
        <w:t xml:space="preserve">    1、办公室</w:t>
        <w:br/>
        <w:t xml:space="preserve">    负责局机关人事、财务、文电、会务、机要、档案等工作；负责信息、安全、保密、信访、政务公开、党建、精神文明等工作，负责局机关党务、离退休、后勤工作管理和群团工作。</w:t>
        <w:br/>
        <w:t xml:space="preserve">    2、综合统计股</w:t>
        <w:br/>
        <w:t xml:space="preserve">    负责对全区社会经济运行状况和社会发展目标进行分析和预测，并提出宏观调控咨询建议；负责国民经济核算、国民财产综合平衡、生产总值的测算和社会综合服务业核算工作；负责对外提供资料和编辑社会经济资料及资料管理；负责人口、财政、金融、保险、科技、教育、文化体育、卫生、妇儿计划生育、气象、民政、环保、广播电影电视等部门统计资料搜集工作；负责社会劳动力工资统计调查工作；负责组织实施有关普查、重点调查和专项调查。</w:t>
        <w:br/>
        <w:t xml:space="preserve">    3、农业股</w:t>
        <w:br/>
        <w:t xml:space="preserve">    负责全区农业、农垦统计工作；负责镇、村统计网络建设和基础建设工作；负责农业主要统计数据完成情况的评估论证和信息资料分析反馈工作；负责农业统计执法检查工作；负责做好有关普查工作及专项调查。</w:t>
        <w:br/>
        <w:t xml:space="preserve">    4、工业科技能源股</w:t>
        <w:br/>
        <w:t xml:space="preserve">    负责工业相关经营活动的调研分析工作；负责抓好所属专业统计基础建设工作；负责所属专业统计执法检查工作；负责工业统计调查；负责科技研发投入统计调查；负责工业品价格指数抽样调查；负责能源统计调查；负责组织做好有关普查工作和专项调查。</w:t>
        <w:br/>
        <w:t xml:space="preserve">    5、服务业股</w:t>
        <w:br/>
        <w:t xml:space="preserve">    负责服务业基本单位名录库建设、维护和更新服务业统计数据的审核、汇总、评估和发布；负责服务业统计工作的组织协调和业务指导；负责住宿餐饮批发零售及成品油调查；负责区域内限额以上服务业企业联网直报，限额以下抽样调查工作；负责所属专业统计执法检查工作。</w:t>
        <w:br/>
        <w:t xml:space="preserve">    6、投资股</w:t>
        <w:br/>
        <w:t xml:space="preserve">    负责固定资产统计调查工作；负责建筑业统计调查工作；负责房地产业统计调查工作；负责保障性住房统计调查工作；负责建筑领域经营活动的调研分析工作；负责所属专业统计执法检查工作；负责组织做好有关普查工作和专项调查工作。</w:t>
        <w:br/>
        <w:t xml:space="preserve">    7、政策法规股</w:t>
        <w:br/>
        <w:t xml:space="preserve">    拟定全区性统计规章制度；组织统计法律法规的宣传贯彻实施；依法检查和处理统计违法案件；负责相关法律法规执法情况的统计调查，负责统计刊物征订发行工作；负责案件档案管理工作，负责统计人员培训及再教育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辽宁省盘锦市大洼区统计局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盘锦市大洼区统计局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192.42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189.01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98.23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189.01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3.41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1.77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主要是上级拨款等收入。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增加27.77万元，增长16.86%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普查经费项目增加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189.01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162.90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86.18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工资福利支出100.62万元；商品和服务支出11.52万元；对个人和家庭的补助50.76万元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13.82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主要包括普查经费等业务支出。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增加24.36万元，增长14.80%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普查经费项目支出增加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3.41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主要是国家统计局辽宁调查总队拨畜禽监测调查经费、辽宁省统计局调查队数字经济、辽宁省统计局调查队规上服务业项目经费等原因形成的结余。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增加3.41万元，增长58652.81%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国家统计局辽宁调查总队拨畜禽监测调查经费、辽宁省统计局调查队数字经济、辽宁省统计局调查队规上服务业项目经费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189.01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162.90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26.12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增加27.65万元，增长17.14%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普查经费项目支出增加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97.12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136.18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34.82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2023年度一般公共预算财政拨款支出189.01万元。按支出功能分类科目分，包括：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1.一般公共服务支出107.53万元，具体包括：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（1）一般公共服务支出（类）统计信息事务（款）行政运行（项）81.41万元,主要是人员经费和公用经费等支出，完成年初预算的91%，决算数与年初预算数存在差异的主要原因是人员调整。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（2）一般公共服务支出（类）统计信息事务（款）一般行政管理事务（项）26.12万元,主要是普查经费项目等支出，完成年初预算的19%，决算数与年初预算数存在差异的主要原因是项目经费减少。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2.社会保障和就业支出69.03万元，具体包括：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3.69万元,主要是退休人员独生子女费和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10.23万元,主要是职工养老保险等支出，完成年初预算的87%，决算数与年初预算数存在差异的主要原因是保险基数调整及在职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（3）社会保障和就业支出（类）行政事业单位养老支出（款）机关事业单位职业年金缴费支出（项）7.81万元,主要是职业年金等支出，完成年初预算的0%，决算数与年初预算数存在差异的主要原因是无年初预算。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（4）社会保障和就业支出（类）抚恤（款）死亡抚恤（项）47.07万元,主要是死亡人员丧葬费等支出，完成年初预算的0%，决算数与年初预算数存在差异的主要原因是无年初预算。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0.23万元,主要是工伤保险等支出，完成年初预算的153%，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（1）卫生健康支出（类）行政事业单位医疗（款）行政单位医疗（项）3.84万元,主要是医疗保险缴费等支出，完成年初预算的73%，决算数与年初预算数存在差异的主要原因是人员减少。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（2）卫生健康支出（类）行政事业单位医疗（款）其他行政事业单位医疗支出（项）0.12万元,主要是大额医疗保险等支出，完成年初预算的100%，决算数与年初预算数存在差异的主要原因是无差异。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（1）住房保障支出（类）住房改革支出（款）住房公积金（项）8.52万元,主要是住房公积金等支出，完成年初预算的89%，决算数与年初预算数存在差异的主要原因是住房公积金基数调整。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0.71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0.71</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0.71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比上年减少1.69万元，降低70.42%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0.71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主要用于业务活动减少等，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162.90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151.38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11.52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11.52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比上年减少3.49万元，降低23.25%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公务经费减少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0.22</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0.22</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0.22</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0.22</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2个，涉及资金60万元，自评覆盖率（开展绩效自评的项目数/年初批复绩效目标的项目数）达到100%，自评平均分（开展绩效自评的项目分数总和/开展绩效自评的项目数）99.5分。组织对1个单位开展整体绩效自评，涉及资金119.62万元，自评平均分99.5分。</w:t>
        <w:br/>
        <w:t xml:space="preserve">    （2）部门评价情况。我部门组织对“实施在地统计工作经费、普查经费”等2个项目开展了部门评价，涉及资金60万元。</w:t>
        <w:br/>
        <w:t xml:space="preserve">    2.部门决算中项目绩效自评结果。</w:t>
        <w:br/>
        <w:t xml:space="preserve">    （1）“实施在地统计工作经费、普查经费”项目自评综述：根据年初设定的绩效目标，项目自评得分99.5分。项目年初预算数为60万元，执行数为26.1万元，完成预算的44%。项目绩效目标完成情况：一是提高软件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16.一般公共服务支出（类）统计事务（款）行政运行（项）：反映行政单位（包括实行公务员管理的事业单位）的基本支出。</w:t>
        <w:br/>
        <w:t xml:space="preserve">    17.一般公共服务支出（类）统计事务（款）一般行政管理事务（项）：反映行政单位（包括实行公务员管理的事业单位）未单独设置项级科目的其他项目支出。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189.01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107.52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3.41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69.02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192.42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189.01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192.42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192.42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192.42</w:t>
            </w:r>
          </w:p>
        </w:tc>
        <w:tc>
          <w:tcPr>
            <w:tcW w:w="1160" w:type="dxa"/>
            <w:tcBorders/>
            <w:vAlign w:val="center"/>
          </w:tcPr>
          <w:p>
            <w:pPr>
              <w:jc w:val="right"/>
            </w:pPr>
            <w:r>
              <w:rPr>
                <w:rFonts w:ascii="宋体" w:eastAsia="宋体" w:hAnsi="宋体" w:cs="宋体"/>
                <w:b/>
                <w:i w:val="0"/>
                <w:color w:val="000000"/>
                <w:sz w:val="14"/>
              </w:rPr>
              <w:t xml:space="preserve">189.01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3.41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110.93</w:t>
            </w:r>
          </w:p>
        </w:tc>
        <w:tc>
          <w:tcPr>
            <w:tcW w:w="1160" w:type="dxa"/>
            <w:tcBorders/>
            <w:vAlign w:val="center"/>
          </w:tcPr>
          <w:p>
            <w:pPr>
              <w:jc w:val="right"/>
            </w:pPr>
            <w:r>
              <w:rPr>
                <w:rFonts w:ascii="宋体" w:eastAsia="宋体" w:hAnsi="宋体" w:cs="宋体"/>
                <w:b w:val="0"/>
                <w:i w:val="0"/>
                <w:color w:val="000000"/>
                <w:sz w:val="14"/>
              </w:rPr>
              <w:t xml:space="preserve">107.53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110.93</w:t>
            </w:r>
          </w:p>
        </w:tc>
        <w:tc>
          <w:tcPr>
            <w:tcW w:w="1160" w:type="dxa"/>
            <w:tcBorders/>
            <w:vAlign w:val="center"/>
          </w:tcPr>
          <w:p>
            <w:pPr>
              <w:jc w:val="right"/>
            </w:pPr>
            <w:r>
              <w:rPr>
                <w:rFonts w:ascii="宋体" w:eastAsia="宋体" w:hAnsi="宋体" w:cs="宋体"/>
                <w:b w:val="0"/>
                <w:i w:val="0"/>
                <w:color w:val="000000"/>
                <w:sz w:val="14"/>
              </w:rPr>
              <w:t xml:space="preserve">107.53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81.41</w:t>
            </w:r>
          </w:p>
        </w:tc>
        <w:tc>
          <w:tcPr>
            <w:tcW w:w="1160" w:type="dxa"/>
            <w:tcBorders/>
            <w:vAlign w:val="center"/>
          </w:tcPr>
          <w:p>
            <w:pPr>
              <w:jc w:val="right"/>
            </w:pPr>
            <w:r>
              <w:rPr>
                <w:rFonts w:ascii="宋体" w:eastAsia="宋体" w:hAnsi="宋体" w:cs="宋体"/>
                <w:b w:val="0"/>
                <w:i w:val="0"/>
                <w:color w:val="000000"/>
                <w:sz w:val="14"/>
              </w:rPr>
              <w:t xml:space="preserve">81.41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26.12</w:t>
            </w:r>
          </w:p>
        </w:tc>
        <w:tc>
          <w:tcPr>
            <w:tcW w:w="1160" w:type="dxa"/>
            <w:tcBorders/>
            <w:vAlign w:val="center"/>
          </w:tcPr>
          <w:p>
            <w:pPr>
              <w:jc w:val="right"/>
            </w:pPr>
            <w:r>
              <w:rPr>
                <w:rFonts w:ascii="宋体" w:eastAsia="宋体" w:hAnsi="宋体" w:cs="宋体"/>
                <w:b w:val="0"/>
                <w:i w:val="0"/>
                <w:color w:val="000000"/>
                <w:sz w:val="14"/>
              </w:rPr>
              <w:t xml:space="preserve">26.12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专项统计业务</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69.03</w:t>
            </w:r>
          </w:p>
        </w:tc>
        <w:tc>
          <w:tcPr>
            <w:tcW w:w="1160" w:type="dxa"/>
            <w:tcBorders/>
            <w:vAlign w:val="center"/>
          </w:tcPr>
          <w:p>
            <w:pPr>
              <w:jc w:val="right"/>
            </w:pPr>
            <w:r>
              <w:rPr>
                <w:rFonts w:ascii="宋体" w:eastAsia="宋体" w:hAnsi="宋体" w:cs="宋体"/>
                <w:b w:val="0"/>
                <w:i w:val="0"/>
                <w:color w:val="000000"/>
                <w:sz w:val="14"/>
              </w:rPr>
              <w:t xml:space="preserve">69.03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21.73</w:t>
            </w:r>
          </w:p>
        </w:tc>
        <w:tc>
          <w:tcPr>
            <w:tcW w:w="1160" w:type="dxa"/>
            <w:tcBorders/>
            <w:vAlign w:val="center"/>
          </w:tcPr>
          <w:p>
            <w:pPr>
              <w:jc w:val="right"/>
            </w:pPr>
            <w:r>
              <w:rPr>
                <w:rFonts w:ascii="宋体" w:eastAsia="宋体" w:hAnsi="宋体" w:cs="宋体"/>
                <w:b w:val="0"/>
                <w:i w:val="0"/>
                <w:color w:val="000000"/>
                <w:sz w:val="14"/>
              </w:rPr>
              <w:t xml:space="preserve">21.73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10.23</w:t>
            </w:r>
          </w:p>
        </w:tc>
        <w:tc>
          <w:tcPr>
            <w:tcW w:w="1160" w:type="dxa"/>
            <w:tcBorders/>
            <w:vAlign w:val="center"/>
          </w:tcPr>
          <w:p>
            <w:pPr>
              <w:jc w:val="right"/>
            </w:pPr>
            <w:r>
              <w:rPr>
                <w:rFonts w:ascii="宋体" w:eastAsia="宋体" w:hAnsi="宋体" w:cs="宋体"/>
                <w:b w:val="0"/>
                <w:i w:val="0"/>
                <w:color w:val="000000"/>
                <w:sz w:val="14"/>
              </w:rPr>
              <w:t xml:space="preserve">10.23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7.81</w:t>
            </w:r>
          </w:p>
        </w:tc>
        <w:tc>
          <w:tcPr>
            <w:tcW w:w="1160" w:type="dxa"/>
            <w:tcBorders/>
            <w:vAlign w:val="center"/>
          </w:tcPr>
          <w:p>
            <w:pPr>
              <w:jc w:val="right"/>
            </w:pPr>
            <w:r>
              <w:rPr>
                <w:rFonts w:ascii="宋体" w:eastAsia="宋体" w:hAnsi="宋体" w:cs="宋体"/>
                <w:b w:val="0"/>
                <w:i w:val="0"/>
                <w:color w:val="000000"/>
                <w:sz w:val="14"/>
              </w:rPr>
              <w:t xml:space="preserve">7.81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47.07</w:t>
            </w:r>
          </w:p>
        </w:tc>
        <w:tc>
          <w:tcPr>
            <w:tcW w:w="1160" w:type="dxa"/>
            <w:tcBorders/>
            <w:vAlign w:val="center"/>
          </w:tcPr>
          <w:p>
            <w:pPr>
              <w:jc w:val="right"/>
            </w:pPr>
            <w:r>
              <w:rPr>
                <w:rFonts w:ascii="宋体" w:eastAsia="宋体" w:hAnsi="宋体" w:cs="宋体"/>
                <w:b w:val="0"/>
                <w:i w:val="0"/>
                <w:color w:val="000000"/>
                <w:sz w:val="14"/>
              </w:rPr>
              <w:t xml:space="preserve">47.07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47.07</w:t>
            </w:r>
          </w:p>
        </w:tc>
        <w:tc>
          <w:tcPr>
            <w:tcW w:w="1160" w:type="dxa"/>
            <w:tcBorders/>
            <w:vAlign w:val="center"/>
          </w:tcPr>
          <w:p>
            <w:pPr>
              <w:jc w:val="right"/>
            </w:pPr>
            <w:r>
              <w:rPr>
                <w:rFonts w:ascii="宋体" w:eastAsia="宋体" w:hAnsi="宋体" w:cs="宋体"/>
                <w:b w:val="0"/>
                <w:i w:val="0"/>
                <w:color w:val="000000"/>
                <w:sz w:val="14"/>
              </w:rPr>
              <w:t xml:space="preserve">47.07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3.96</w:t>
            </w:r>
          </w:p>
        </w:tc>
        <w:tc>
          <w:tcPr>
            <w:tcW w:w="1160" w:type="dxa"/>
            <w:tcBorders/>
            <w:vAlign w:val="center"/>
          </w:tcPr>
          <w:p>
            <w:pPr>
              <w:jc w:val="right"/>
            </w:pPr>
            <w:r>
              <w:rPr>
                <w:rFonts w:ascii="宋体" w:eastAsia="宋体" w:hAnsi="宋体" w:cs="宋体"/>
                <w:b w:val="0"/>
                <w:i w:val="0"/>
                <w:color w:val="000000"/>
                <w:sz w:val="14"/>
              </w:rPr>
              <w:t xml:space="preserve">3.96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3.96</w:t>
            </w:r>
          </w:p>
        </w:tc>
        <w:tc>
          <w:tcPr>
            <w:tcW w:w="1160" w:type="dxa"/>
            <w:tcBorders/>
            <w:vAlign w:val="center"/>
          </w:tcPr>
          <w:p>
            <w:pPr>
              <w:jc w:val="right"/>
            </w:pPr>
            <w:r>
              <w:rPr>
                <w:rFonts w:ascii="宋体" w:eastAsia="宋体" w:hAnsi="宋体" w:cs="宋体"/>
                <w:b w:val="0"/>
                <w:i w:val="0"/>
                <w:color w:val="000000"/>
                <w:sz w:val="14"/>
              </w:rPr>
              <w:t xml:space="preserve">3.96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3.84</w:t>
            </w:r>
          </w:p>
        </w:tc>
        <w:tc>
          <w:tcPr>
            <w:tcW w:w="1160" w:type="dxa"/>
            <w:tcBorders/>
            <w:vAlign w:val="center"/>
          </w:tcPr>
          <w:p>
            <w:pPr>
              <w:jc w:val="right"/>
            </w:pPr>
            <w:r>
              <w:rPr>
                <w:rFonts w:ascii="宋体" w:eastAsia="宋体" w:hAnsi="宋体" w:cs="宋体"/>
                <w:b w:val="0"/>
                <w:i w:val="0"/>
                <w:color w:val="000000"/>
                <w:sz w:val="14"/>
              </w:rPr>
              <w:t xml:space="preserve">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189.01</w:t>
            </w:r>
          </w:p>
        </w:tc>
        <w:tc>
          <w:tcPr>
            <w:tcW w:w="1120" w:type="dxa"/>
            <w:tcBorders/>
            <w:vAlign w:val="center"/>
          </w:tcPr>
          <w:p>
            <w:pPr>
              <w:jc w:val="right"/>
            </w:pPr>
            <w:r>
              <w:rPr>
                <w:rFonts w:ascii="宋体" w:eastAsia="宋体" w:hAnsi="宋体" w:cs="宋体"/>
                <w:b/>
                <w:i w:val="0"/>
                <w:color w:val="000000"/>
                <w:sz w:val="16"/>
              </w:rPr>
              <w:t xml:space="preserve">162.90</w:t>
            </w:r>
          </w:p>
        </w:tc>
        <w:tc>
          <w:tcPr>
            <w:tcW w:w="1120" w:type="dxa"/>
            <w:tcBorders/>
            <w:vAlign w:val="center"/>
          </w:tcPr>
          <w:p>
            <w:pPr>
              <w:jc w:val="right"/>
            </w:pPr>
            <w:r>
              <w:rPr>
                <w:rFonts w:ascii="宋体" w:eastAsia="宋体" w:hAnsi="宋体" w:cs="宋体"/>
                <w:b/>
                <w:i w:val="0"/>
                <w:color w:val="000000"/>
                <w:sz w:val="16"/>
              </w:rPr>
              <w:t xml:space="preserve">26.12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107.53</w:t>
            </w:r>
          </w:p>
        </w:tc>
        <w:tc>
          <w:tcPr>
            <w:tcW w:w="1120" w:type="dxa"/>
            <w:tcBorders/>
            <w:vAlign w:val="center"/>
          </w:tcPr>
          <w:p>
            <w:pPr>
              <w:jc w:val="right"/>
            </w:pPr>
            <w:r>
              <w:rPr>
                <w:rFonts w:ascii="宋体" w:eastAsia="宋体" w:hAnsi="宋体" w:cs="宋体"/>
                <w:b w:val="0"/>
                <w:i w:val="0"/>
                <w:color w:val="000000"/>
                <w:sz w:val="16"/>
              </w:rPr>
              <w:t xml:space="preserve">81.41</w:t>
            </w:r>
          </w:p>
        </w:tc>
        <w:tc>
          <w:tcPr>
            <w:tcW w:w="1120" w:type="dxa"/>
            <w:tcBorders/>
            <w:vAlign w:val="center"/>
          </w:tcPr>
          <w:p>
            <w:pPr>
              <w:jc w:val="right"/>
            </w:pPr>
            <w:r>
              <w:rPr>
                <w:rFonts w:ascii="宋体" w:eastAsia="宋体" w:hAnsi="宋体" w:cs="宋体"/>
                <w:b w:val="0"/>
                <w:i w:val="0"/>
                <w:color w:val="000000"/>
                <w:sz w:val="16"/>
              </w:rPr>
              <w:t xml:space="preserve">26.12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107.53</w:t>
            </w:r>
          </w:p>
        </w:tc>
        <w:tc>
          <w:tcPr>
            <w:tcW w:w="1120" w:type="dxa"/>
            <w:tcBorders/>
            <w:vAlign w:val="center"/>
          </w:tcPr>
          <w:p>
            <w:pPr>
              <w:jc w:val="right"/>
            </w:pPr>
            <w:r>
              <w:rPr>
                <w:rFonts w:ascii="宋体" w:eastAsia="宋体" w:hAnsi="宋体" w:cs="宋体"/>
                <w:b w:val="0"/>
                <w:i w:val="0"/>
                <w:color w:val="000000"/>
                <w:sz w:val="16"/>
              </w:rPr>
              <w:t xml:space="preserve">81.41</w:t>
            </w:r>
          </w:p>
        </w:tc>
        <w:tc>
          <w:tcPr>
            <w:tcW w:w="1120" w:type="dxa"/>
            <w:tcBorders/>
            <w:vAlign w:val="center"/>
          </w:tcPr>
          <w:p>
            <w:pPr>
              <w:jc w:val="right"/>
            </w:pPr>
            <w:r>
              <w:rPr>
                <w:rFonts w:ascii="宋体" w:eastAsia="宋体" w:hAnsi="宋体" w:cs="宋体"/>
                <w:b w:val="0"/>
                <w:i w:val="0"/>
                <w:color w:val="000000"/>
                <w:sz w:val="16"/>
              </w:rPr>
              <w:t xml:space="preserve">26.12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81.41</w:t>
            </w:r>
          </w:p>
        </w:tc>
        <w:tc>
          <w:tcPr>
            <w:tcW w:w="1120" w:type="dxa"/>
            <w:tcBorders/>
            <w:vAlign w:val="center"/>
          </w:tcPr>
          <w:p>
            <w:pPr>
              <w:jc w:val="right"/>
            </w:pPr>
            <w:r>
              <w:rPr>
                <w:rFonts w:ascii="宋体" w:eastAsia="宋体" w:hAnsi="宋体" w:cs="宋体"/>
                <w:b w:val="0"/>
                <w:i w:val="0"/>
                <w:color w:val="000000"/>
                <w:sz w:val="16"/>
              </w:rPr>
              <w:t xml:space="preserve">81.41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26.12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69.03</w:t>
            </w:r>
          </w:p>
        </w:tc>
        <w:tc>
          <w:tcPr>
            <w:tcW w:w="1120" w:type="dxa"/>
            <w:tcBorders/>
            <w:vAlign w:val="center"/>
          </w:tcPr>
          <w:p>
            <w:pPr>
              <w:jc w:val="right"/>
            </w:pPr>
            <w:r>
              <w:rPr>
                <w:rFonts w:ascii="宋体" w:eastAsia="宋体" w:hAnsi="宋体" w:cs="宋体"/>
                <w:b w:val="0"/>
                <w:i w:val="0"/>
                <w:color w:val="000000"/>
                <w:sz w:val="16"/>
              </w:rPr>
              <w:t xml:space="preserve">69.03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21.73</w:t>
            </w:r>
          </w:p>
        </w:tc>
        <w:tc>
          <w:tcPr>
            <w:tcW w:w="1120" w:type="dxa"/>
            <w:tcBorders/>
            <w:vAlign w:val="center"/>
          </w:tcPr>
          <w:p>
            <w:pPr>
              <w:jc w:val="right"/>
            </w:pPr>
            <w:r>
              <w:rPr>
                <w:rFonts w:ascii="宋体" w:eastAsia="宋体" w:hAnsi="宋体" w:cs="宋体"/>
                <w:b w:val="0"/>
                <w:i w:val="0"/>
                <w:color w:val="000000"/>
                <w:sz w:val="16"/>
              </w:rPr>
              <w:t xml:space="preserve">21.73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10.23</w:t>
            </w:r>
          </w:p>
        </w:tc>
        <w:tc>
          <w:tcPr>
            <w:tcW w:w="1120" w:type="dxa"/>
            <w:tcBorders/>
            <w:vAlign w:val="center"/>
          </w:tcPr>
          <w:p>
            <w:pPr>
              <w:jc w:val="right"/>
            </w:pPr>
            <w:r>
              <w:rPr>
                <w:rFonts w:ascii="宋体" w:eastAsia="宋体" w:hAnsi="宋体" w:cs="宋体"/>
                <w:b w:val="0"/>
                <w:i w:val="0"/>
                <w:color w:val="000000"/>
                <w:sz w:val="16"/>
              </w:rPr>
              <w:t xml:space="preserve">10.23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7.81</w:t>
            </w:r>
          </w:p>
        </w:tc>
        <w:tc>
          <w:tcPr>
            <w:tcW w:w="1120" w:type="dxa"/>
            <w:tcBorders/>
            <w:vAlign w:val="center"/>
          </w:tcPr>
          <w:p>
            <w:pPr>
              <w:jc w:val="right"/>
            </w:pPr>
            <w:r>
              <w:rPr>
                <w:rFonts w:ascii="宋体" w:eastAsia="宋体" w:hAnsi="宋体" w:cs="宋体"/>
                <w:b w:val="0"/>
                <w:i w:val="0"/>
                <w:color w:val="000000"/>
                <w:sz w:val="16"/>
              </w:rPr>
              <w:t xml:space="preserve">7.81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47.07</w:t>
            </w:r>
          </w:p>
        </w:tc>
        <w:tc>
          <w:tcPr>
            <w:tcW w:w="1120" w:type="dxa"/>
            <w:tcBorders/>
            <w:vAlign w:val="center"/>
          </w:tcPr>
          <w:p>
            <w:pPr>
              <w:jc w:val="right"/>
            </w:pPr>
            <w:r>
              <w:rPr>
                <w:rFonts w:ascii="宋体" w:eastAsia="宋体" w:hAnsi="宋体" w:cs="宋体"/>
                <w:b w:val="0"/>
                <w:i w:val="0"/>
                <w:color w:val="000000"/>
                <w:sz w:val="16"/>
              </w:rPr>
              <w:t xml:space="preserve">47.07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47.07</w:t>
            </w:r>
          </w:p>
        </w:tc>
        <w:tc>
          <w:tcPr>
            <w:tcW w:w="1120" w:type="dxa"/>
            <w:tcBorders/>
            <w:vAlign w:val="center"/>
          </w:tcPr>
          <w:p>
            <w:pPr>
              <w:jc w:val="right"/>
            </w:pPr>
            <w:r>
              <w:rPr>
                <w:rFonts w:ascii="宋体" w:eastAsia="宋体" w:hAnsi="宋体" w:cs="宋体"/>
                <w:b w:val="0"/>
                <w:i w:val="0"/>
                <w:color w:val="000000"/>
                <w:sz w:val="16"/>
              </w:rPr>
              <w:t xml:space="preserve">47.07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3.96</w:t>
            </w:r>
          </w:p>
        </w:tc>
        <w:tc>
          <w:tcPr>
            <w:tcW w:w="1120" w:type="dxa"/>
            <w:tcBorders/>
            <w:vAlign w:val="center"/>
          </w:tcPr>
          <w:p>
            <w:pPr>
              <w:jc w:val="right"/>
            </w:pPr>
            <w:r>
              <w:rPr>
                <w:rFonts w:ascii="宋体" w:eastAsia="宋体" w:hAnsi="宋体" w:cs="宋体"/>
                <w:b w:val="0"/>
                <w:i w:val="0"/>
                <w:color w:val="000000"/>
                <w:sz w:val="16"/>
              </w:rPr>
              <w:t xml:space="preserve">3.96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3.96</w:t>
            </w:r>
          </w:p>
        </w:tc>
        <w:tc>
          <w:tcPr>
            <w:tcW w:w="1120" w:type="dxa"/>
            <w:tcBorders/>
            <w:vAlign w:val="center"/>
          </w:tcPr>
          <w:p>
            <w:pPr>
              <w:jc w:val="right"/>
            </w:pPr>
            <w:r>
              <w:rPr>
                <w:rFonts w:ascii="宋体" w:eastAsia="宋体" w:hAnsi="宋体" w:cs="宋体"/>
                <w:b w:val="0"/>
                <w:i w:val="0"/>
                <w:color w:val="000000"/>
                <w:sz w:val="16"/>
              </w:rPr>
              <w:t xml:space="preserve">3.96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3.84</w:t>
            </w:r>
          </w:p>
        </w:tc>
        <w:tc>
          <w:tcPr>
            <w:tcW w:w="1120" w:type="dxa"/>
            <w:tcBorders/>
            <w:vAlign w:val="center"/>
          </w:tcPr>
          <w:p>
            <w:pPr>
              <w:jc w:val="right"/>
            </w:pPr>
            <w:r>
              <w:rPr>
                <w:rFonts w:ascii="宋体" w:eastAsia="宋体" w:hAnsi="宋体" w:cs="宋体"/>
                <w:b w:val="0"/>
                <w:i w:val="0"/>
                <w:color w:val="000000"/>
                <w:sz w:val="16"/>
              </w:rPr>
              <w:t xml:space="preserve">3.84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107.52</w:t>
            </w:r>
          </w:p>
        </w:tc>
        <w:tc>
          <w:tcPr>
            <w:tcW w:w="1100" w:type="dxa"/>
            <w:tcBorders/>
            <w:vAlign w:val="center"/>
          </w:tcPr>
          <w:p>
            <w:pPr>
              <w:jc w:val="right"/>
            </w:pPr>
            <w:r>
              <w:rPr>
                <w:rFonts w:ascii="宋体" w:eastAsia="宋体" w:hAnsi="宋体" w:cs="宋体"/>
                <w:b w:val="0"/>
                <w:i w:val="0"/>
                <w:color w:val="000000"/>
                <w:sz w:val="14"/>
              </w:rPr>
              <w:t xml:space="preserve">107.52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69.02</w:t>
            </w:r>
          </w:p>
        </w:tc>
        <w:tc>
          <w:tcPr>
            <w:tcW w:w="1100" w:type="dxa"/>
            <w:tcBorders/>
            <w:vAlign w:val="center"/>
          </w:tcPr>
          <w:p>
            <w:pPr>
              <w:jc w:val="right"/>
            </w:pPr>
            <w:r>
              <w:rPr>
                <w:rFonts w:ascii="宋体" w:eastAsia="宋体" w:hAnsi="宋体" w:cs="宋体"/>
                <w:b w:val="0"/>
                <w:i w:val="0"/>
                <w:color w:val="000000"/>
                <w:sz w:val="14"/>
              </w:rPr>
              <w:t xml:space="preserve">69.02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3.95</w:t>
            </w:r>
          </w:p>
        </w:tc>
        <w:tc>
          <w:tcPr>
            <w:tcW w:w="1100" w:type="dxa"/>
            <w:tcBorders/>
            <w:vAlign w:val="center"/>
          </w:tcPr>
          <w:p>
            <w:pPr>
              <w:jc w:val="right"/>
            </w:pPr>
            <w:r>
              <w:rPr>
                <w:rFonts w:ascii="宋体" w:eastAsia="宋体" w:hAnsi="宋体" w:cs="宋体"/>
                <w:b w:val="0"/>
                <w:i w:val="0"/>
                <w:color w:val="000000"/>
                <w:sz w:val="14"/>
              </w:rPr>
              <w:t xml:space="preserve">3.95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8.52</w:t>
            </w:r>
          </w:p>
        </w:tc>
        <w:tc>
          <w:tcPr>
            <w:tcW w:w="1100" w:type="dxa"/>
            <w:tcBorders/>
            <w:vAlign w:val="center"/>
          </w:tcPr>
          <w:p>
            <w:pPr>
              <w:jc w:val="right"/>
            </w:pPr>
            <w:r>
              <w:rPr>
                <w:rFonts w:ascii="宋体" w:eastAsia="宋体" w:hAnsi="宋体" w:cs="宋体"/>
                <w:b w:val="0"/>
                <w:i w:val="0"/>
                <w:color w:val="000000"/>
                <w:sz w:val="14"/>
              </w:rPr>
              <w:t xml:space="preserve">8.52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1100" w:type="dxa"/>
            <w:tcBorders/>
            <w:vAlign w:val="center"/>
          </w:tcPr>
          <w:p>
            <w:pPr>
              <w:jc w:val="right"/>
            </w:pPr>
            <w:r>
              <w:rPr>
                <w:rFonts w:ascii="宋体" w:eastAsia="宋体" w:hAnsi="宋体" w:cs="宋体"/>
                <w:b w:val="0"/>
                <w:i w:val="0"/>
                <w:color w:val="000000"/>
                <w:sz w:val="14"/>
              </w:rPr>
              <w:t xml:space="preserve">189.01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189.01</w:t>
            </w:r>
          </w:p>
        </w:tc>
        <w:tc>
          <w:tcPr>
            <w:tcW w:w="1980" w:type="dxa"/>
            <w:tcBorders/>
            <w:vAlign w:val="center"/>
          </w:tcPr>
          <w:p>
            <w:pPr>
              <w:jc w:val="right"/>
            </w:pPr>
            <w:r>
              <w:rPr>
                <w:rFonts w:ascii="宋体" w:eastAsia="宋体" w:hAnsi="宋体" w:cs="宋体"/>
                <w:b/>
                <w:i w:val="0"/>
                <w:color w:val="000000"/>
                <w:sz w:val="20"/>
              </w:rPr>
              <w:t xml:space="preserve">162.90</w:t>
            </w:r>
          </w:p>
        </w:tc>
        <w:tc>
          <w:tcPr>
            <w:tcW w:w="1952" w:type="dxa"/>
            <w:tcBorders/>
            <w:vAlign w:val="center"/>
          </w:tcPr>
          <w:p>
            <w:pPr>
              <w:jc w:val="right"/>
            </w:pPr>
            <w:r>
              <w:rPr>
                <w:rFonts w:ascii="宋体" w:eastAsia="宋体" w:hAnsi="宋体" w:cs="宋体"/>
                <w:b/>
                <w:i w:val="0"/>
                <w:color w:val="000000"/>
                <w:sz w:val="20"/>
              </w:rPr>
              <w:t xml:space="preserve">26.12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107.53</w:t>
            </w:r>
          </w:p>
        </w:tc>
        <w:tc>
          <w:tcPr>
            <w:tcW w:w="1980" w:type="dxa"/>
            <w:tcBorders/>
            <w:vAlign w:val="center"/>
          </w:tcPr>
          <w:p>
            <w:pPr>
              <w:jc w:val="right"/>
            </w:pPr>
            <w:r>
              <w:rPr>
                <w:rFonts w:ascii="宋体" w:eastAsia="宋体" w:hAnsi="宋体" w:cs="宋体"/>
                <w:b w:val="0"/>
                <w:i w:val="0"/>
                <w:color w:val="000000"/>
                <w:sz w:val="20"/>
              </w:rPr>
              <w:t xml:space="preserve">81.41</w:t>
            </w:r>
          </w:p>
        </w:tc>
        <w:tc>
          <w:tcPr>
            <w:tcW w:w="1952" w:type="dxa"/>
            <w:tcBorders/>
            <w:vAlign w:val="center"/>
          </w:tcPr>
          <w:p>
            <w:pPr>
              <w:jc w:val="right"/>
            </w:pPr>
            <w:r>
              <w:rPr>
                <w:rFonts w:ascii="宋体" w:eastAsia="宋体" w:hAnsi="宋体" w:cs="宋体"/>
                <w:b w:val="0"/>
                <w:i w:val="0"/>
                <w:color w:val="000000"/>
                <w:sz w:val="20"/>
              </w:rPr>
              <w:t xml:space="preserve">26.12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107.53</w:t>
            </w:r>
          </w:p>
        </w:tc>
        <w:tc>
          <w:tcPr>
            <w:tcW w:w="1980" w:type="dxa"/>
            <w:tcBorders/>
            <w:vAlign w:val="center"/>
          </w:tcPr>
          <w:p>
            <w:pPr>
              <w:jc w:val="right"/>
            </w:pPr>
            <w:r>
              <w:rPr>
                <w:rFonts w:ascii="宋体" w:eastAsia="宋体" w:hAnsi="宋体" w:cs="宋体"/>
                <w:b w:val="0"/>
                <w:i w:val="0"/>
                <w:color w:val="000000"/>
                <w:sz w:val="20"/>
              </w:rPr>
              <w:t xml:space="preserve">81.41</w:t>
            </w:r>
          </w:p>
        </w:tc>
        <w:tc>
          <w:tcPr>
            <w:tcW w:w="1952" w:type="dxa"/>
            <w:tcBorders/>
            <w:vAlign w:val="center"/>
          </w:tcPr>
          <w:p>
            <w:pPr>
              <w:jc w:val="right"/>
            </w:pPr>
            <w:r>
              <w:rPr>
                <w:rFonts w:ascii="宋体" w:eastAsia="宋体" w:hAnsi="宋体" w:cs="宋体"/>
                <w:b w:val="0"/>
                <w:i w:val="0"/>
                <w:color w:val="000000"/>
                <w:sz w:val="20"/>
              </w:rPr>
              <w:t xml:space="preserve">26.12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81.41</w:t>
            </w:r>
          </w:p>
        </w:tc>
        <w:tc>
          <w:tcPr>
            <w:tcW w:w="1980" w:type="dxa"/>
            <w:tcBorders/>
            <w:vAlign w:val="center"/>
          </w:tcPr>
          <w:p>
            <w:pPr>
              <w:jc w:val="right"/>
            </w:pPr>
            <w:r>
              <w:rPr>
                <w:rFonts w:ascii="宋体" w:eastAsia="宋体" w:hAnsi="宋体" w:cs="宋体"/>
                <w:b w:val="0"/>
                <w:i w:val="0"/>
                <w:color w:val="000000"/>
                <w:sz w:val="20"/>
              </w:rPr>
              <w:t xml:space="preserve">81.41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26.12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69.03</w:t>
            </w:r>
          </w:p>
        </w:tc>
        <w:tc>
          <w:tcPr>
            <w:tcW w:w="1980" w:type="dxa"/>
            <w:tcBorders/>
            <w:vAlign w:val="center"/>
          </w:tcPr>
          <w:p>
            <w:pPr>
              <w:jc w:val="right"/>
            </w:pPr>
            <w:r>
              <w:rPr>
                <w:rFonts w:ascii="宋体" w:eastAsia="宋体" w:hAnsi="宋体" w:cs="宋体"/>
                <w:b w:val="0"/>
                <w:i w:val="0"/>
                <w:color w:val="000000"/>
                <w:sz w:val="20"/>
              </w:rPr>
              <w:t xml:space="preserve">69.03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21.73</w:t>
            </w:r>
          </w:p>
        </w:tc>
        <w:tc>
          <w:tcPr>
            <w:tcW w:w="1980" w:type="dxa"/>
            <w:tcBorders/>
            <w:vAlign w:val="center"/>
          </w:tcPr>
          <w:p>
            <w:pPr>
              <w:jc w:val="right"/>
            </w:pPr>
            <w:r>
              <w:rPr>
                <w:rFonts w:ascii="宋体" w:eastAsia="宋体" w:hAnsi="宋体" w:cs="宋体"/>
                <w:b w:val="0"/>
                <w:i w:val="0"/>
                <w:color w:val="000000"/>
                <w:sz w:val="20"/>
              </w:rPr>
              <w:t xml:space="preserve">21.73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10.23</w:t>
            </w:r>
          </w:p>
        </w:tc>
        <w:tc>
          <w:tcPr>
            <w:tcW w:w="1980" w:type="dxa"/>
            <w:tcBorders/>
            <w:vAlign w:val="center"/>
          </w:tcPr>
          <w:p>
            <w:pPr>
              <w:jc w:val="right"/>
            </w:pPr>
            <w:r>
              <w:rPr>
                <w:rFonts w:ascii="宋体" w:eastAsia="宋体" w:hAnsi="宋体" w:cs="宋体"/>
                <w:b w:val="0"/>
                <w:i w:val="0"/>
                <w:color w:val="000000"/>
                <w:sz w:val="20"/>
              </w:rPr>
              <w:t xml:space="preserve">10.23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7.81</w:t>
            </w:r>
          </w:p>
        </w:tc>
        <w:tc>
          <w:tcPr>
            <w:tcW w:w="1980" w:type="dxa"/>
            <w:tcBorders/>
            <w:vAlign w:val="center"/>
          </w:tcPr>
          <w:p>
            <w:pPr>
              <w:jc w:val="right"/>
            </w:pPr>
            <w:r>
              <w:rPr>
                <w:rFonts w:ascii="宋体" w:eastAsia="宋体" w:hAnsi="宋体" w:cs="宋体"/>
                <w:b w:val="0"/>
                <w:i w:val="0"/>
                <w:color w:val="000000"/>
                <w:sz w:val="20"/>
              </w:rPr>
              <w:t xml:space="preserve">7.81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47.07</w:t>
            </w:r>
          </w:p>
        </w:tc>
        <w:tc>
          <w:tcPr>
            <w:tcW w:w="1980" w:type="dxa"/>
            <w:tcBorders/>
            <w:vAlign w:val="center"/>
          </w:tcPr>
          <w:p>
            <w:pPr>
              <w:jc w:val="right"/>
            </w:pPr>
            <w:r>
              <w:rPr>
                <w:rFonts w:ascii="宋体" w:eastAsia="宋体" w:hAnsi="宋体" w:cs="宋体"/>
                <w:b w:val="0"/>
                <w:i w:val="0"/>
                <w:color w:val="000000"/>
                <w:sz w:val="20"/>
              </w:rPr>
              <w:t xml:space="preserve">47.07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47.07</w:t>
            </w:r>
          </w:p>
        </w:tc>
        <w:tc>
          <w:tcPr>
            <w:tcW w:w="1980" w:type="dxa"/>
            <w:tcBorders/>
            <w:vAlign w:val="center"/>
          </w:tcPr>
          <w:p>
            <w:pPr>
              <w:jc w:val="right"/>
            </w:pPr>
            <w:r>
              <w:rPr>
                <w:rFonts w:ascii="宋体" w:eastAsia="宋体" w:hAnsi="宋体" w:cs="宋体"/>
                <w:b w:val="0"/>
                <w:i w:val="0"/>
                <w:color w:val="000000"/>
                <w:sz w:val="20"/>
              </w:rPr>
              <w:t xml:space="preserve">47.07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3.96</w:t>
            </w:r>
          </w:p>
        </w:tc>
        <w:tc>
          <w:tcPr>
            <w:tcW w:w="1980" w:type="dxa"/>
            <w:tcBorders/>
            <w:vAlign w:val="center"/>
          </w:tcPr>
          <w:p>
            <w:pPr>
              <w:jc w:val="right"/>
            </w:pPr>
            <w:r>
              <w:rPr>
                <w:rFonts w:ascii="宋体" w:eastAsia="宋体" w:hAnsi="宋体" w:cs="宋体"/>
                <w:b w:val="0"/>
                <w:i w:val="0"/>
                <w:color w:val="000000"/>
                <w:sz w:val="20"/>
              </w:rPr>
              <w:t xml:space="preserve">3.96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3.96</w:t>
            </w:r>
          </w:p>
        </w:tc>
        <w:tc>
          <w:tcPr>
            <w:tcW w:w="1980" w:type="dxa"/>
            <w:tcBorders/>
            <w:vAlign w:val="center"/>
          </w:tcPr>
          <w:p>
            <w:pPr>
              <w:jc w:val="right"/>
            </w:pPr>
            <w:r>
              <w:rPr>
                <w:rFonts w:ascii="宋体" w:eastAsia="宋体" w:hAnsi="宋体" w:cs="宋体"/>
                <w:b w:val="0"/>
                <w:i w:val="0"/>
                <w:color w:val="000000"/>
                <w:sz w:val="20"/>
              </w:rPr>
              <w:t xml:space="preserve">3.96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3.84</w:t>
            </w:r>
          </w:p>
        </w:tc>
        <w:tc>
          <w:tcPr>
            <w:tcW w:w="1980" w:type="dxa"/>
            <w:tcBorders/>
            <w:vAlign w:val="center"/>
          </w:tcPr>
          <w:p>
            <w:pPr>
              <w:jc w:val="right"/>
            </w:pPr>
            <w:r>
              <w:rPr>
                <w:rFonts w:ascii="宋体" w:eastAsia="宋体" w:hAnsi="宋体" w:cs="宋体"/>
                <w:b w:val="0"/>
                <w:i w:val="0"/>
                <w:color w:val="000000"/>
                <w:sz w:val="20"/>
              </w:rPr>
              <w:t xml:space="preserve">3.84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100.62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33.69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3.55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20.56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15.64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10.23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7.81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3.84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8.52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50.76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3.57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47.07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6.31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151.38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11.52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017001盘锦市大洼区统计局本级-211104000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95.93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16.58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预计2023年12月底前完成各项绩效目标。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统计信息公开及时性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统计公开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上级主管部门满意度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人才培养机制健全性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机制健全</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