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辽宁省盘锦市大洼区市场监督管理局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辽宁省盘锦市大洼区市场监督管理局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辽宁省盘锦市大洼区市场监督管理局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辽宁省盘锦市大洼区市场监督管理局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辽宁省盘锦市大洼区市场监督管理局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辽宁省盘锦市大洼区市场监督管理局概况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市场综合监督管理。贯彻执行国家和省、市市场监督管理、知识产权工作的方针、政策和有关法律法规。组织实施质量强区、食品安全和标准化等战略。规范和维护市场秩序，营造诚实守信、公平竞争的市场环境。</w:t>
        <w:br/>
        <w:t xml:space="preserve">    （二）组织拟订并协调推进全区食品安全规划；依法承担食品安全综合协调工作；负责食品安全事故和重大突发事件应对处置和发布重大食品安全信息工作。承担区政府食品安全委员会日常工作。</w:t>
        <w:br/>
        <w:t xml:space="preserve">    （三）负责市场主体统一登记注册。负责全区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br/>
        <w:t xml:space="preserve">    （四）承担监督管理质量责任，组织开展服务领域消费维权工作,查处假冒伪劣等违法行为,负责对消费者咨询、投诉、举报的受理和处理及消费维权网络体系建设等工作,依法保护生产者、经营者、消费者合法权益。</w:t>
        <w:br/>
        <w:t xml:space="preserve">    （五）负责反垄断统一执法。统筹推进竞争政策实施,组织实施公平竞争审查制度。负责垄断协议、滥用市场支配地位和滥用行政权力排除、限制竞争等反垄断执法工作。</w:t>
        <w:br/>
        <w:t xml:space="preserve">    （六）负责监督管理市场秩序。依法实施商标、广告、合同的监督管理工作，依法查处其违法行为；实施信用分类监管；依法监管经纪人、经纪机构及经济活动。依法监督管理市场交易、网络交易及有关服务的行为。依法查处辖区内价格收费违法违规、不正当竞争、商业贿赂、违法直销、传销、侵犯商标专利知识产权和制售假冒伪劣行为；指导广告业的发展，监督管理广告活动。依法查处无照生产经营和相关无证生产经营的违法行为。负责组织、指导和监督管理行政审批中介服务机构。</w:t>
        <w:br/>
        <w:t xml:space="preserve">    （七）负责辖区内商品、产品质量安全监督和认证认可工作；管理商品、产品质量安全强制检验、风险监控和监督抽检等工作；负责工业产品生产许可证管理工作；监督管理产品质量安全仲裁检验；依法对质量检验机构进行监督管理。对质量认证产品进行监督检查；依法监督管理防伪商品、产品，查处商品、产品质量违法行为；承办产品质量诚信体系建设有关工作；组织实施质量振兴工作；推进名牌发展战略；组织有关产品质量事故的调查处理工作。</w:t>
        <w:br/>
        <w:t xml:space="preserve">    （八）负责食品安全监督管理。建立覆盖食品生产、流通、消费全过程的监督检查制度和隐患排查治理机制并组织实施，防范区域性、系统性食品安全风险。负责食盐生产、经营质量安全监管。依法监督实施食品行政许可；建立食品安全隐患排查治理机制。负责实施生产加工环节食品安全监督检查、质量监测及食品生产许可、食品添加剂、食品生产加工小作坊许可的相关市场准入制度；负责实施流通环节食品安全监督检查、质量监测；负责全区食品摊贩备案登记管理的监督指导工作；负责实施餐饮服务环节食品安全监督检查。</w:t>
        <w:br/>
        <w:t xml:space="preserve">    （九）负责统一管理计量工作。推行国家法定计量单位。执行国家计量制度。依法管理计量器具，规范和监督商品量、市场计量行为和计量仲裁检定。负责统一管理标准化工作。组织实施标准并检查；推行采用国际化和国外先进标准；管理企业产品标准备案工作；监督管理组织机构代码和商品条码工作。负责全区认证活动的监督管理工作，负责对产品、服务、管理体系认证和强制性产品认证的监管工作；实施对全区相关实验室、检验机构资质认定的申报和监管工作；实施对机动车安全技术检验机构的监管工作。</w:t>
        <w:br/>
        <w:t xml:space="preserve">    （十）负责辖区内特种设备安全监督管理。综合管理特种设备安全监察、监督工作。监督检查高耗能特种设备节能标准和锅炉环境保护标准的执行情况。</w:t>
        <w:br/>
        <w:t xml:space="preserve">    （十一）依法监督实施药品、医疗器械行政许可，监督实施国家药品、医疗器械标准、化妆品标准和分类管理制度，配合有关部门实施国家基本药物制度。</w:t>
        <w:br/>
        <w:t xml:space="preserve">    负责医疗器械注册、药品经营许可和备案管理及非特殊用途化妆品省局备案后现场核查。负责药品经营和使用环节的监督管理，负责医疗器械、化妆品生产、经营和使用环节的监督管理。</w:t>
        <w:br/>
        <w:t xml:space="preserve">    负责药品、医疗器械和化妆品质量管理。监督实施药品零售企业经营质量管理规范。负责药品、医疗器械和化妆品上市后风险管理。组织开展药品、化妆品不良反应收集、报告、监测等工作；依法承担药品、医疗器械和化妆品安全应急管理工作。</w:t>
        <w:br/>
        <w:t xml:space="preserve">    负责组织实施药品、医疗器械和化妆品监督检查。制定检查制度，依法查处药品、医疗器械和化妆品经营和使用环节违法行为，监督实施问题产品召回和处置制度，依职责查处经营和使用环节的违法行为。监督实施处方药和非处方药分类管理制度；</w:t>
        <w:br/>
        <w:t xml:space="preserve">    （十二）负责市场监督管理科技和信息化建设、新闻宣传。按规定承担技术性贸易措施有关工作。</w:t>
        <w:br/>
        <w:t xml:space="preserve">    （十三）负责促进知识产权运用。贯彻执行国家知识产权运用和规范交易的政策,促进知识产权转移转化。规范知识产权无形资产评估工作。指导知识产权中介服务机构工作。贯彻执行国家知识产权确权、侵权判断标准,依授权负责知识产权申请相关管理工作。负责建立知识产权公共服务体系。推动商标、专利等知识产权信息的传播利用。负责拟订全区知识产权信息网络发展规划并组织实施,指导全区专利信息利用和服务工作。组织指导查处侵犯商标专利知识产权行为。</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辽宁省盘锦市大洼区市场监督管理局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w:t>
        <w:tab/>
        <w:t xml:space="preserve">盘锦市大洼区市场监督管理局（本级）</w:t>
        <w:br/>
        <w:t xml:space="preserve">    2.</w:t>
        <w:tab/>
        <w:t xml:space="preserve">盘锦市大洼区市场监管事务服务中心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2709.04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2708.82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2708.82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0.22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减少273.95万元，降低9.18%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人员减少，人员经费支出减少；缩减项目支出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2708.82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2580.15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95.25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工资福利支出2263.79万元；商品和服务支出240.68万元；对个人和家庭的补助63.80万元；资本性支出11.88万元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128.67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4.75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主要包括劳务派遣人员工资、购置执法服装及食品安全抽检费等业务支出。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减少273.95万元，降低9.18%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人员减少，人员经费支出减少；缩减项目支出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0.22</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主要是市局专项支出剩余资金等原因形成的结余。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上年结余资金未支付使用</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2708.82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2580.15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128.67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减少273.95万元，降低9.18%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人员减少，人员经费减少及压缩项目支出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99.64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98.00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149.62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2023年度一般公共预算财政拨款支出2708.82万元。按支出功能分类科目分，包括：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1.一般公共服务支出1991.83万元，具体包括：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市场监督管理事务（款）行政运行（项）1376.36万元,主要是人员工资及保证正常工作运转等支出，完成年初预算的91.44%，决算数与年初预算数存在差异的主要原因是人员减少，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市场监督管理事务（款）一般行政管理事务（项）80.49万元,主要是劳务派遣人员工资及购置执法服装等支出，完成年初预算的93.59%，决算数与年初预算数存在差异的主要原因是项目未全部完成，款项未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（3）一般公共服务支出（类）市场监督管理事务（款）药品事务（项）10.89万元,主要是中央财政药品监管工作等支出，完成年初预算的100%，决算数与年初预算数存在差异的主要原因是此项支出未列入年初预算。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市场监督管理事务（款）食品安全监管（项）12.82万元,主要是中央财政食品监管工作等支出，完成年初预算的100%，决算数与年初预算数存在差异的主要原因是此项支出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市场监督管理事务（款）事业运行（项）486.80万元,主要是人员工资及保证正常工作运转等支出，完成年初预算的110.52%，决算数与年初预算数存在差异的主要原因是人员增资、基础绩效工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市场监督管理事务（款）其他市场监督管理事务（项）24.47万元,主要是制式服装和标志、上年车辆追加指标本年使用等支出，完成年初预算的100%，决算数与年初预算数存在差异的主要原因是上年未及时支付费用在本年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2.社会保障和就业支出427.91万元，具体包括：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31.60万元,主要是离休休人员工资及退休人员取暖费等支出，完成年初预算的104%，决算数与年初预算数存在差异的主要原因是退休人员增加，退休取暖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12.71万元,主要是退休人员取暖费及独生子女费等支出，完成年初预算的100.24%，决算数与年初预算数存在差异的主要原因是新增退休人员独生子女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240.77万元,主要是在职人员养老保险单位缴纳部分等支出，完成年初预算的96.81%，决算数与年初预算数存在差异的主要原因是2023年退休人员较多，缴纳数额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121.64万元,主要是补缴退休人员在职期间职业年金等支出，完成年初预算的100%，决算数与年初预算数存在差异的主要原因是补缴退休人员在职期间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（5）社会保障和就业支出（类）抚恤（款）死亡抚恤（项）15.44万元,主要是退休人员丧葬抚恤金等支出，完成年初预算的100%，决算数与年初预算数存在差异的主要原因是退休人员去世。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5.75万元,主要是在职职工工伤保险及失业保险等支出，完成年初预算的126%，决算数与年初预算数存在差异的主要原因是调整保险基数，多付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3.卫生健康支出96.41万元，具体包括：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（1）卫生健康支出（类）公共卫生（款）重大公共卫生服务（项）1.83万元,主要是遗属费等支出，完成年初预算的150%，决算数与年初预算数存在差异的主要原因是2023年下半年遗属补助基数调整。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65.27万元,主要是行政职工基本医疗保险单位缴纳部分等支出，完成年初预算的76.89%，决算数与年初预算数存在差异的主要原因是2023年退休人员较多，缴纳数额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27.65万元,主要是事业职工基本医疗保险单位缴纳部分等支出，完成年初预算的93.29%，决算数与年初预算数存在差异的主要原因是人员退休，缴纳数额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（4）卫生健康支出（类）行政事业单位医疗（款）其他行政事业单位医疗支出（项）1.66万元,主要是职工大额医疗保险等支出，完成年初预算的100%，决算数与年初预算数存在差异的主要原因是无。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4.住房保障支出192.69万元，具体包括：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192.69万元,主要是在职职工住房公积金单位缴纳部分等支出，完成年初预算的92.07%，决算数与年初预算数存在差异的主要原因是2023年退休人员较多，缴纳数额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57.00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99.13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57.00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57.00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99.13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压缩“三公”经费支出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比上年增加19.48万元，增长51.92%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支付上年度未及时支付公务用车维护费用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57.00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主要用于公务用车日常维护费用等，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2580.15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2327.59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252.56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226.37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比上年增加22.21万元，增长10.88%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支付上年度未及时支付的机关运行经费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72.59</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72.59</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17</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1个（其中：一般公共预算项目1个，政府性基金预算项目0个，国有资本经营预算项目0个），涉及资金4.8万元（其中：一般公共预算资金5万元，政府性基金预算资金0万元，国有资本经营预算资金0万元），自评覆盖率（开展绩效自评的项目数/年初批复绩效目标的项目数*100%）达到100%，自评平均分（开展绩效自评的项目分数总和/开展绩效自评的项目数）99.6分。</w:t>
        <w:br/>
        <w:t xml:space="preserve">    组织对2个单位开展整体绩效自评，涉及资金2602.71万元，其中：盘锦市大洼区市场监督管理局本级涉及资金1977.47万元，自评平均分90.46分、盘锦市大洼区市场监管事务服务中心级涉及资金655.24万元，自评平均分98.86分</w:t>
        <w:br/>
        <w:t xml:space="preserve">    本部门组织对“食品安全抽检”等1个项目开展了部门评价，涉及资金4.8万元（其中：一般公共预算资金4.8万元，政府性基金预算资金0万元，国有资本经营预算资金0万元）。</w:t>
        <w:br/>
        <w:t xml:space="preserve">    2.项目绩效自评结果。</w:t>
        <w:br/>
        <w:t xml:space="preserve">    本部门在2023年度省直部门决算中反映食品安全抽检等1个项目绩效自评结果。</w:t>
        <w:br/>
        <w:t xml:space="preserve">    （1）“食品安全抽检”项目自评综述：根据年初设定的绩效目标，项目自评得分99.6分。项目全年预算数为5万元，执行数为4.8万元，完成预算的96%。项目绩效目标完成情况：一是绩效目标完成;二是绩效执行数小于项目全年预算数。发现的主要问题及原因：一是预算编制工作做得不够;二是要压缩开支.</w:t>
        <w:br/>
        <w:t xml:space="preserve">    下一步改进措施：</w:t>
        <w:br/>
        <w:t xml:space="preserve">    一是严格按照预算编制相关制度来进行预算编制，进一步提高预算编制的科学性、严谨性、可控性;</w:t>
        <w:br/>
        <w:t xml:space="preserve">    二是加强财务管理，严格财务审批;</w:t>
        <w:br/>
        <w:t xml:space="preserve">    三是严格按照规定的项目用途进行资金使用，杜绝超支现象发生 。</w:t>
        <w:br/>
        <w:t xml:space="preserve">    （2）市场监督管理局对部门整体支出绩效和部门2023年所有项目支出开展绩效自评，在实施过程中有效实行动态跟踪管理，项目管理制度规范，资金管理严格，做到专款专用，自查中未发现资金截留、挤占、挪用等现象，完成了年初制定的各项指标任务，项目取得了较好的经济效益、社会效益，达到了预期的绩效目标。</w:t>
        <w:br/>
        <w:t xml:space="preserve">    《预算（项目）政策绩效自评表》见附件</w:t>
        <w:br/>
        <w:t xml:space="preserve">    3.部门评价结果。</w:t>
        <w:br/>
        <w:t xml:space="preserve">    整体优秀。</w:t>
        <w:br/>
        <w:t xml:space="preserve">    4.财政评价结果。</w:t>
        <w:br/>
        <w:t xml:space="preserve">    继续全额安排，合理分配资金。</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br/>
        <w:t xml:space="preserve">    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21.卫生健康支出（类）行政事业单位医疗（款）事业单位医疗（项）：反映财政部门安排的事业单位基本医疗保险缴费经费，未参加医疗保险的事业单位的公费医疗经费，按国家规定享受离休人员待遇的医疗经费。</w:t>
        <w:br/>
        <w:t xml:space="preserve">    22.住房保障（类）住房改革（款）住房公积金（项）：反映行政事业单位按人力资源和社会保障部、财政部规定的基本工资和津贴补贴以及规定比例为职工缴纳的住房公积金。</w:t>
        <w:br/>
        <w:t xml:space="preserve">    23、一般公共服务支出（类）市场监督管理事务（款） 事业运行（项）：反映事业单位的基本支出，不包括行政单位（包括实行公务员管理的事业单位）后勤服务中心、医务室等附属事业单位。</w:t>
        <w:br/>
        <w:t xml:space="preserve">    24.社会保障和就业支出（类）其他社会保障和就业支出（款）其他社会保障和就业支出（项）：反映除上述项目以外其他用于社会保障和就业方面的支出。</w:t>
        <w:br/>
        <w:t xml:space="preserve">    25.卫生健康支出（类）行政事业单位医疗（款）其他行政事业单位医疗支出（项）：反映除上述项目以外的其他用于行政事业单位医疗方面的支出。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2,708.82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1,991.82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427.91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96.41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192.69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2,708.82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2,708.82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0.22</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2,709.04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2,709.04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2,708.82</w:t>
            </w:r>
          </w:p>
        </w:tc>
        <w:tc>
          <w:tcPr>
            <w:tcW w:w="1160" w:type="dxa"/>
            <w:tcBorders/>
            <w:vAlign w:val="center"/>
          </w:tcPr>
          <w:p>
            <w:pPr>
              <w:jc w:val="right"/>
            </w:pPr>
            <w:r>
              <w:rPr>
                <w:rFonts w:ascii="宋体" w:eastAsia="宋体" w:hAnsi="宋体" w:cs="宋体"/>
                <w:b/>
                <w:i w:val="0"/>
                <w:color w:val="000000"/>
                <w:sz w:val="14"/>
              </w:rPr>
              <w:t xml:space="preserve">2,708.82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1,991.83</w:t>
            </w:r>
          </w:p>
        </w:tc>
        <w:tc>
          <w:tcPr>
            <w:tcW w:w="1160" w:type="dxa"/>
            <w:tcBorders/>
            <w:vAlign w:val="center"/>
          </w:tcPr>
          <w:p>
            <w:pPr>
              <w:jc w:val="right"/>
            </w:pPr>
            <w:r>
              <w:rPr>
                <w:rFonts w:ascii="宋体" w:eastAsia="宋体" w:hAnsi="宋体" w:cs="宋体"/>
                <w:b w:val="0"/>
                <w:i w:val="0"/>
                <w:color w:val="000000"/>
                <w:sz w:val="14"/>
              </w:rPr>
              <w:t xml:space="preserve">1,991.83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市场监督管理事务</w:t>
            </w:r>
          </w:p>
        </w:tc>
        <w:tc>
          <w:tcPr>
            <w:tcW w:w="1160" w:type="dxa"/>
            <w:tcBorders/>
            <w:vAlign w:val="center"/>
          </w:tcPr>
          <w:p>
            <w:pPr>
              <w:jc w:val="right"/>
            </w:pPr>
            <w:r>
              <w:rPr>
                <w:rFonts w:ascii="宋体" w:eastAsia="宋体" w:hAnsi="宋体" w:cs="宋体"/>
                <w:b w:val="0"/>
                <w:i w:val="0"/>
                <w:color w:val="000000"/>
                <w:sz w:val="14"/>
              </w:rPr>
              <w:t xml:space="preserve">1,991.83</w:t>
            </w:r>
          </w:p>
        </w:tc>
        <w:tc>
          <w:tcPr>
            <w:tcW w:w="1160" w:type="dxa"/>
            <w:tcBorders/>
            <w:vAlign w:val="center"/>
          </w:tcPr>
          <w:p>
            <w:pPr>
              <w:jc w:val="right"/>
            </w:pPr>
            <w:r>
              <w:rPr>
                <w:rFonts w:ascii="宋体" w:eastAsia="宋体" w:hAnsi="宋体" w:cs="宋体"/>
                <w:b w:val="0"/>
                <w:i w:val="0"/>
                <w:color w:val="000000"/>
                <w:sz w:val="14"/>
              </w:rPr>
              <w:t xml:space="preserve">1,991.83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1,376.36</w:t>
            </w:r>
          </w:p>
        </w:tc>
        <w:tc>
          <w:tcPr>
            <w:tcW w:w="1160" w:type="dxa"/>
            <w:tcBorders/>
            <w:vAlign w:val="center"/>
          </w:tcPr>
          <w:p>
            <w:pPr>
              <w:jc w:val="right"/>
            </w:pPr>
            <w:r>
              <w:rPr>
                <w:rFonts w:ascii="宋体" w:eastAsia="宋体" w:hAnsi="宋体" w:cs="宋体"/>
                <w:b w:val="0"/>
                <w:i w:val="0"/>
                <w:color w:val="000000"/>
                <w:sz w:val="14"/>
              </w:rPr>
              <w:t xml:space="preserve">1,376.36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80.49</w:t>
            </w:r>
          </w:p>
        </w:tc>
        <w:tc>
          <w:tcPr>
            <w:tcW w:w="1160" w:type="dxa"/>
            <w:tcBorders/>
            <w:vAlign w:val="center"/>
          </w:tcPr>
          <w:p>
            <w:pPr>
              <w:jc w:val="right"/>
            </w:pPr>
            <w:r>
              <w:rPr>
                <w:rFonts w:ascii="宋体" w:eastAsia="宋体" w:hAnsi="宋体" w:cs="宋体"/>
                <w:b w:val="0"/>
                <w:i w:val="0"/>
                <w:color w:val="000000"/>
                <w:sz w:val="14"/>
              </w:rPr>
              <w:t xml:space="preserve">80.49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药品事务</w:t>
            </w:r>
          </w:p>
        </w:tc>
        <w:tc>
          <w:tcPr>
            <w:tcW w:w="1160" w:type="dxa"/>
            <w:tcBorders/>
            <w:vAlign w:val="center"/>
          </w:tcPr>
          <w:p>
            <w:pPr>
              <w:jc w:val="right"/>
            </w:pPr>
            <w:r>
              <w:rPr>
                <w:rFonts w:ascii="宋体" w:eastAsia="宋体" w:hAnsi="宋体" w:cs="宋体"/>
                <w:b w:val="0"/>
                <w:i w:val="0"/>
                <w:color w:val="000000"/>
                <w:sz w:val="14"/>
              </w:rPr>
              <w:t xml:space="preserve">10.89</w:t>
            </w:r>
          </w:p>
        </w:tc>
        <w:tc>
          <w:tcPr>
            <w:tcW w:w="1160" w:type="dxa"/>
            <w:tcBorders/>
            <w:vAlign w:val="center"/>
          </w:tcPr>
          <w:p>
            <w:pPr>
              <w:jc w:val="right"/>
            </w:pPr>
            <w:r>
              <w:rPr>
                <w:rFonts w:ascii="宋体" w:eastAsia="宋体" w:hAnsi="宋体" w:cs="宋体"/>
                <w:b w:val="0"/>
                <w:i w:val="0"/>
                <w:color w:val="000000"/>
                <w:sz w:val="14"/>
              </w:rPr>
              <w:t xml:space="preserve">10.89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食品安全监管</w:t>
            </w:r>
          </w:p>
        </w:tc>
        <w:tc>
          <w:tcPr>
            <w:tcW w:w="1160" w:type="dxa"/>
            <w:tcBorders/>
            <w:vAlign w:val="center"/>
          </w:tcPr>
          <w:p>
            <w:pPr>
              <w:jc w:val="right"/>
            </w:pPr>
            <w:r>
              <w:rPr>
                <w:rFonts w:ascii="宋体" w:eastAsia="宋体" w:hAnsi="宋体" w:cs="宋体"/>
                <w:b w:val="0"/>
                <w:i w:val="0"/>
                <w:color w:val="000000"/>
                <w:sz w:val="14"/>
              </w:rPr>
              <w:t xml:space="preserve">12.82</w:t>
            </w:r>
          </w:p>
        </w:tc>
        <w:tc>
          <w:tcPr>
            <w:tcW w:w="1160" w:type="dxa"/>
            <w:tcBorders/>
            <w:vAlign w:val="center"/>
          </w:tcPr>
          <w:p>
            <w:pPr>
              <w:jc w:val="right"/>
            </w:pPr>
            <w:r>
              <w:rPr>
                <w:rFonts w:ascii="宋体" w:eastAsia="宋体" w:hAnsi="宋体" w:cs="宋体"/>
                <w:b w:val="0"/>
                <w:i w:val="0"/>
                <w:color w:val="000000"/>
                <w:sz w:val="14"/>
              </w:rPr>
              <w:t xml:space="preserve">12.82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486.80</w:t>
            </w:r>
          </w:p>
        </w:tc>
        <w:tc>
          <w:tcPr>
            <w:tcW w:w="1160" w:type="dxa"/>
            <w:tcBorders/>
            <w:vAlign w:val="center"/>
          </w:tcPr>
          <w:p>
            <w:pPr>
              <w:jc w:val="right"/>
            </w:pPr>
            <w:r>
              <w:rPr>
                <w:rFonts w:ascii="宋体" w:eastAsia="宋体" w:hAnsi="宋体" w:cs="宋体"/>
                <w:b w:val="0"/>
                <w:i w:val="0"/>
                <w:color w:val="000000"/>
                <w:sz w:val="14"/>
              </w:rPr>
              <w:t xml:space="preserve">486.80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其他市场监督管理事务</w:t>
            </w:r>
          </w:p>
        </w:tc>
        <w:tc>
          <w:tcPr>
            <w:tcW w:w="1160" w:type="dxa"/>
            <w:tcBorders/>
            <w:vAlign w:val="center"/>
          </w:tcPr>
          <w:p>
            <w:pPr>
              <w:jc w:val="right"/>
            </w:pPr>
            <w:r>
              <w:rPr>
                <w:rFonts w:ascii="宋体" w:eastAsia="宋体" w:hAnsi="宋体" w:cs="宋体"/>
                <w:b w:val="0"/>
                <w:i w:val="0"/>
                <w:color w:val="000000"/>
                <w:sz w:val="14"/>
              </w:rPr>
              <w:t xml:space="preserve">24.47</w:t>
            </w:r>
          </w:p>
        </w:tc>
        <w:tc>
          <w:tcPr>
            <w:tcW w:w="1160" w:type="dxa"/>
            <w:tcBorders/>
            <w:vAlign w:val="center"/>
          </w:tcPr>
          <w:p>
            <w:pPr>
              <w:jc w:val="right"/>
            </w:pPr>
            <w:r>
              <w:rPr>
                <w:rFonts w:ascii="宋体" w:eastAsia="宋体" w:hAnsi="宋体" w:cs="宋体"/>
                <w:b w:val="0"/>
                <w:i w:val="0"/>
                <w:color w:val="000000"/>
                <w:sz w:val="14"/>
              </w:rPr>
              <w:t xml:space="preserve">24.47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427.91</w:t>
            </w:r>
          </w:p>
        </w:tc>
        <w:tc>
          <w:tcPr>
            <w:tcW w:w="1160" w:type="dxa"/>
            <w:tcBorders/>
            <w:vAlign w:val="center"/>
          </w:tcPr>
          <w:p>
            <w:pPr>
              <w:jc w:val="right"/>
            </w:pPr>
            <w:r>
              <w:rPr>
                <w:rFonts w:ascii="宋体" w:eastAsia="宋体" w:hAnsi="宋体" w:cs="宋体"/>
                <w:b w:val="0"/>
                <w:i w:val="0"/>
                <w:color w:val="000000"/>
                <w:sz w:val="14"/>
              </w:rPr>
              <w:t xml:space="preserve">427.91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406.72</w:t>
            </w:r>
          </w:p>
        </w:tc>
        <w:tc>
          <w:tcPr>
            <w:tcW w:w="1160" w:type="dxa"/>
            <w:tcBorders/>
            <w:vAlign w:val="center"/>
          </w:tcPr>
          <w:p>
            <w:pPr>
              <w:jc w:val="right"/>
            </w:pPr>
            <w:r>
              <w:rPr>
                <w:rFonts w:ascii="宋体" w:eastAsia="宋体" w:hAnsi="宋体" w:cs="宋体"/>
                <w:b w:val="0"/>
                <w:i w:val="0"/>
                <w:color w:val="000000"/>
                <w:sz w:val="14"/>
              </w:rPr>
              <w:t xml:space="preserve">406.72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31.60</w:t>
            </w:r>
          </w:p>
        </w:tc>
        <w:tc>
          <w:tcPr>
            <w:tcW w:w="1160" w:type="dxa"/>
            <w:tcBorders/>
            <w:vAlign w:val="center"/>
          </w:tcPr>
          <w:p>
            <w:pPr>
              <w:jc w:val="right"/>
            </w:pPr>
            <w:r>
              <w:rPr>
                <w:rFonts w:ascii="宋体" w:eastAsia="宋体" w:hAnsi="宋体" w:cs="宋体"/>
                <w:b w:val="0"/>
                <w:i w:val="0"/>
                <w:color w:val="000000"/>
                <w:sz w:val="14"/>
              </w:rPr>
              <w:t xml:space="preserve">31.60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12.71</w:t>
            </w:r>
          </w:p>
        </w:tc>
        <w:tc>
          <w:tcPr>
            <w:tcW w:w="1160" w:type="dxa"/>
            <w:tcBorders/>
            <w:vAlign w:val="center"/>
          </w:tcPr>
          <w:p>
            <w:pPr>
              <w:jc w:val="right"/>
            </w:pPr>
            <w:r>
              <w:rPr>
                <w:rFonts w:ascii="宋体" w:eastAsia="宋体" w:hAnsi="宋体" w:cs="宋体"/>
                <w:b w:val="0"/>
                <w:i w:val="0"/>
                <w:color w:val="000000"/>
                <w:sz w:val="14"/>
              </w:rPr>
              <w:t xml:space="preserve">12.71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240.77</w:t>
            </w:r>
          </w:p>
        </w:tc>
        <w:tc>
          <w:tcPr>
            <w:tcW w:w="1160" w:type="dxa"/>
            <w:tcBorders/>
            <w:vAlign w:val="center"/>
          </w:tcPr>
          <w:p>
            <w:pPr>
              <w:jc w:val="right"/>
            </w:pPr>
            <w:r>
              <w:rPr>
                <w:rFonts w:ascii="宋体" w:eastAsia="宋体" w:hAnsi="宋体" w:cs="宋体"/>
                <w:b w:val="0"/>
                <w:i w:val="0"/>
                <w:color w:val="000000"/>
                <w:sz w:val="14"/>
              </w:rPr>
              <w:t xml:space="preserve">240.77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121.64</w:t>
            </w:r>
          </w:p>
        </w:tc>
        <w:tc>
          <w:tcPr>
            <w:tcW w:w="1160" w:type="dxa"/>
            <w:tcBorders/>
            <w:vAlign w:val="center"/>
          </w:tcPr>
          <w:p>
            <w:pPr>
              <w:jc w:val="right"/>
            </w:pPr>
            <w:r>
              <w:rPr>
                <w:rFonts w:ascii="宋体" w:eastAsia="宋体" w:hAnsi="宋体" w:cs="宋体"/>
                <w:b w:val="0"/>
                <w:i w:val="0"/>
                <w:color w:val="000000"/>
                <w:sz w:val="14"/>
              </w:rPr>
              <w:t xml:space="preserve">121.64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15.44</w:t>
            </w:r>
          </w:p>
        </w:tc>
        <w:tc>
          <w:tcPr>
            <w:tcW w:w="1160" w:type="dxa"/>
            <w:tcBorders/>
            <w:vAlign w:val="center"/>
          </w:tcPr>
          <w:p>
            <w:pPr>
              <w:jc w:val="right"/>
            </w:pPr>
            <w:r>
              <w:rPr>
                <w:rFonts w:ascii="宋体" w:eastAsia="宋体" w:hAnsi="宋体" w:cs="宋体"/>
                <w:b w:val="0"/>
                <w:i w:val="0"/>
                <w:color w:val="000000"/>
                <w:sz w:val="14"/>
              </w:rPr>
              <w:t xml:space="preserve">15.44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15.44</w:t>
            </w:r>
          </w:p>
        </w:tc>
        <w:tc>
          <w:tcPr>
            <w:tcW w:w="1160" w:type="dxa"/>
            <w:tcBorders/>
            <w:vAlign w:val="center"/>
          </w:tcPr>
          <w:p>
            <w:pPr>
              <w:jc w:val="right"/>
            </w:pPr>
            <w:r>
              <w:rPr>
                <w:rFonts w:ascii="宋体" w:eastAsia="宋体" w:hAnsi="宋体" w:cs="宋体"/>
                <w:b w:val="0"/>
                <w:i w:val="0"/>
                <w:color w:val="000000"/>
                <w:sz w:val="14"/>
              </w:rPr>
              <w:t xml:space="preserve">15.44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5.75</w:t>
            </w:r>
          </w:p>
        </w:tc>
        <w:tc>
          <w:tcPr>
            <w:tcW w:w="1160" w:type="dxa"/>
            <w:tcBorders/>
            <w:vAlign w:val="center"/>
          </w:tcPr>
          <w:p>
            <w:pPr>
              <w:jc w:val="right"/>
            </w:pPr>
            <w:r>
              <w:rPr>
                <w:rFonts w:ascii="宋体" w:eastAsia="宋体" w:hAnsi="宋体" w:cs="宋体"/>
                <w:b w:val="0"/>
                <w:i w:val="0"/>
                <w:color w:val="000000"/>
                <w:sz w:val="14"/>
              </w:rPr>
              <w:t xml:space="preserve">5.75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5.75</w:t>
            </w:r>
          </w:p>
        </w:tc>
        <w:tc>
          <w:tcPr>
            <w:tcW w:w="1160" w:type="dxa"/>
            <w:tcBorders/>
            <w:vAlign w:val="center"/>
          </w:tcPr>
          <w:p>
            <w:pPr>
              <w:jc w:val="right"/>
            </w:pPr>
            <w:r>
              <w:rPr>
                <w:rFonts w:ascii="宋体" w:eastAsia="宋体" w:hAnsi="宋体" w:cs="宋体"/>
                <w:b w:val="0"/>
                <w:i w:val="0"/>
                <w:color w:val="000000"/>
                <w:sz w:val="14"/>
              </w:rPr>
              <w:t xml:space="preserve">5.75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96.41</w:t>
            </w:r>
          </w:p>
        </w:tc>
        <w:tc>
          <w:tcPr>
            <w:tcW w:w="1160" w:type="dxa"/>
            <w:tcBorders/>
            <w:vAlign w:val="center"/>
          </w:tcPr>
          <w:p>
            <w:pPr>
              <w:jc w:val="right"/>
            </w:pPr>
            <w:r>
              <w:rPr>
                <w:rFonts w:ascii="宋体" w:eastAsia="宋体" w:hAnsi="宋体" w:cs="宋体"/>
                <w:b w:val="0"/>
                <w:i w:val="0"/>
                <w:color w:val="000000"/>
                <w:sz w:val="14"/>
              </w:rPr>
              <w:t xml:space="preserve">96.41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94.58</w:t>
            </w:r>
          </w:p>
        </w:tc>
        <w:tc>
          <w:tcPr>
            <w:tcW w:w="1160" w:type="dxa"/>
            <w:tcBorders/>
            <w:vAlign w:val="center"/>
          </w:tcPr>
          <w:p>
            <w:pPr>
              <w:jc w:val="right"/>
            </w:pPr>
            <w:r>
              <w:rPr>
                <w:rFonts w:ascii="宋体" w:eastAsia="宋体" w:hAnsi="宋体" w:cs="宋体"/>
                <w:b w:val="0"/>
                <w:i w:val="0"/>
                <w:color w:val="000000"/>
                <w:sz w:val="14"/>
              </w:rPr>
              <w:t xml:space="preserve">94.58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65.27</w:t>
            </w:r>
          </w:p>
        </w:tc>
        <w:tc>
          <w:tcPr>
            <w:tcW w:w="1160" w:type="dxa"/>
            <w:tcBorders/>
            <w:vAlign w:val="center"/>
          </w:tcPr>
          <w:p>
            <w:pPr>
              <w:jc w:val="right"/>
            </w:pPr>
            <w:r>
              <w:rPr>
                <w:rFonts w:ascii="宋体" w:eastAsia="宋体" w:hAnsi="宋体" w:cs="宋体"/>
                <w:b w:val="0"/>
                <w:i w:val="0"/>
                <w:color w:val="000000"/>
                <w:sz w:val="14"/>
              </w:rPr>
              <w:t xml:space="preserve">65.27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27.65</w:t>
            </w:r>
          </w:p>
        </w:tc>
        <w:tc>
          <w:tcPr>
            <w:tcW w:w="1160" w:type="dxa"/>
            <w:tcBorders/>
            <w:vAlign w:val="center"/>
          </w:tcPr>
          <w:p>
            <w:pPr>
              <w:jc w:val="right"/>
            </w:pPr>
            <w:r>
              <w:rPr>
                <w:rFonts w:ascii="宋体" w:eastAsia="宋体" w:hAnsi="宋体" w:cs="宋体"/>
                <w:b w:val="0"/>
                <w:i w:val="0"/>
                <w:color w:val="000000"/>
                <w:sz w:val="14"/>
              </w:rPr>
              <w:t xml:space="preserve">27.65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192.69</w:t>
            </w:r>
          </w:p>
        </w:tc>
        <w:tc>
          <w:tcPr>
            <w:tcW w:w="1160" w:type="dxa"/>
            <w:tcBorders/>
            <w:vAlign w:val="center"/>
          </w:tcPr>
          <w:p>
            <w:pPr>
              <w:jc w:val="right"/>
            </w:pPr>
            <w:r>
              <w:rPr>
                <w:rFonts w:ascii="宋体" w:eastAsia="宋体" w:hAnsi="宋体" w:cs="宋体"/>
                <w:b w:val="0"/>
                <w:i w:val="0"/>
                <w:color w:val="000000"/>
                <w:sz w:val="14"/>
              </w:rPr>
              <w:t xml:space="preserve">192.69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192.69</w:t>
            </w:r>
          </w:p>
        </w:tc>
        <w:tc>
          <w:tcPr>
            <w:tcW w:w="1160" w:type="dxa"/>
            <w:tcBorders/>
            <w:vAlign w:val="center"/>
          </w:tcPr>
          <w:p>
            <w:pPr>
              <w:jc w:val="right"/>
            </w:pPr>
            <w:r>
              <w:rPr>
                <w:rFonts w:ascii="宋体" w:eastAsia="宋体" w:hAnsi="宋体" w:cs="宋体"/>
                <w:b w:val="0"/>
                <w:i w:val="0"/>
                <w:color w:val="000000"/>
                <w:sz w:val="14"/>
              </w:rPr>
              <w:t xml:space="preserve">192.69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192.69</w:t>
            </w:r>
          </w:p>
        </w:tc>
        <w:tc>
          <w:tcPr>
            <w:tcW w:w="1160" w:type="dxa"/>
            <w:tcBorders/>
            <w:vAlign w:val="center"/>
          </w:tcPr>
          <w:p>
            <w:pPr>
              <w:jc w:val="right"/>
            </w:pPr>
            <w:r>
              <w:rPr>
                <w:rFonts w:ascii="宋体" w:eastAsia="宋体" w:hAnsi="宋体" w:cs="宋体"/>
                <w:b w:val="0"/>
                <w:i w:val="0"/>
                <w:color w:val="000000"/>
                <w:sz w:val="14"/>
              </w:rPr>
              <w:t xml:space="preserve">192.69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2,708.82</w:t>
            </w:r>
          </w:p>
        </w:tc>
        <w:tc>
          <w:tcPr>
            <w:tcW w:w="1120" w:type="dxa"/>
            <w:tcBorders/>
            <w:vAlign w:val="center"/>
          </w:tcPr>
          <w:p>
            <w:pPr>
              <w:jc w:val="right"/>
            </w:pPr>
            <w:r>
              <w:rPr>
                <w:rFonts w:ascii="宋体" w:eastAsia="宋体" w:hAnsi="宋体" w:cs="宋体"/>
                <w:b/>
                <w:i w:val="0"/>
                <w:color w:val="000000"/>
                <w:sz w:val="16"/>
              </w:rPr>
              <w:t xml:space="preserve">2,580.15</w:t>
            </w:r>
          </w:p>
        </w:tc>
        <w:tc>
          <w:tcPr>
            <w:tcW w:w="1120" w:type="dxa"/>
            <w:tcBorders/>
            <w:vAlign w:val="center"/>
          </w:tcPr>
          <w:p>
            <w:pPr>
              <w:jc w:val="right"/>
            </w:pPr>
            <w:r>
              <w:rPr>
                <w:rFonts w:ascii="宋体" w:eastAsia="宋体" w:hAnsi="宋体" w:cs="宋体"/>
                <w:b/>
                <w:i w:val="0"/>
                <w:color w:val="000000"/>
                <w:sz w:val="16"/>
              </w:rPr>
              <w:t xml:space="preserve">128.67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1,991.83</w:t>
            </w:r>
          </w:p>
        </w:tc>
        <w:tc>
          <w:tcPr>
            <w:tcW w:w="1120" w:type="dxa"/>
            <w:tcBorders/>
            <w:vAlign w:val="center"/>
          </w:tcPr>
          <w:p>
            <w:pPr>
              <w:jc w:val="right"/>
            </w:pPr>
            <w:r>
              <w:rPr>
                <w:rFonts w:ascii="宋体" w:eastAsia="宋体" w:hAnsi="宋体" w:cs="宋体"/>
                <w:b w:val="0"/>
                <w:i w:val="0"/>
                <w:color w:val="000000"/>
                <w:sz w:val="16"/>
              </w:rPr>
              <w:t xml:space="preserve">1,863.16</w:t>
            </w:r>
          </w:p>
        </w:tc>
        <w:tc>
          <w:tcPr>
            <w:tcW w:w="1120" w:type="dxa"/>
            <w:tcBorders/>
            <w:vAlign w:val="center"/>
          </w:tcPr>
          <w:p>
            <w:pPr>
              <w:jc w:val="right"/>
            </w:pPr>
            <w:r>
              <w:rPr>
                <w:rFonts w:ascii="宋体" w:eastAsia="宋体" w:hAnsi="宋体" w:cs="宋体"/>
                <w:b w:val="0"/>
                <w:i w:val="0"/>
                <w:color w:val="000000"/>
                <w:sz w:val="16"/>
              </w:rPr>
              <w:t xml:space="preserve">128.67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市场监督管理事务</w:t>
            </w:r>
          </w:p>
        </w:tc>
        <w:tc>
          <w:tcPr>
            <w:tcW w:w="1120" w:type="dxa"/>
            <w:tcBorders/>
            <w:vAlign w:val="center"/>
          </w:tcPr>
          <w:p>
            <w:pPr>
              <w:jc w:val="right"/>
            </w:pPr>
            <w:r>
              <w:rPr>
                <w:rFonts w:ascii="宋体" w:eastAsia="宋体" w:hAnsi="宋体" w:cs="宋体"/>
                <w:b w:val="0"/>
                <w:i w:val="0"/>
                <w:color w:val="000000"/>
                <w:sz w:val="16"/>
              </w:rPr>
              <w:t xml:space="preserve">1,991.83</w:t>
            </w:r>
          </w:p>
        </w:tc>
        <w:tc>
          <w:tcPr>
            <w:tcW w:w="1120" w:type="dxa"/>
            <w:tcBorders/>
            <w:vAlign w:val="center"/>
          </w:tcPr>
          <w:p>
            <w:pPr>
              <w:jc w:val="right"/>
            </w:pPr>
            <w:r>
              <w:rPr>
                <w:rFonts w:ascii="宋体" w:eastAsia="宋体" w:hAnsi="宋体" w:cs="宋体"/>
                <w:b w:val="0"/>
                <w:i w:val="0"/>
                <w:color w:val="000000"/>
                <w:sz w:val="16"/>
              </w:rPr>
              <w:t xml:space="preserve">1,863.16</w:t>
            </w:r>
          </w:p>
        </w:tc>
        <w:tc>
          <w:tcPr>
            <w:tcW w:w="1120" w:type="dxa"/>
            <w:tcBorders/>
            <w:vAlign w:val="center"/>
          </w:tcPr>
          <w:p>
            <w:pPr>
              <w:jc w:val="right"/>
            </w:pPr>
            <w:r>
              <w:rPr>
                <w:rFonts w:ascii="宋体" w:eastAsia="宋体" w:hAnsi="宋体" w:cs="宋体"/>
                <w:b w:val="0"/>
                <w:i w:val="0"/>
                <w:color w:val="000000"/>
                <w:sz w:val="16"/>
              </w:rPr>
              <w:t xml:space="preserve">128.67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1,376.36</w:t>
            </w:r>
          </w:p>
        </w:tc>
        <w:tc>
          <w:tcPr>
            <w:tcW w:w="1120" w:type="dxa"/>
            <w:tcBorders/>
            <w:vAlign w:val="center"/>
          </w:tcPr>
          <w:p>
            <w:pPr>
              <w:jc w:val="right"/>
            </w:pPr>
            <w:r>
              <w:rPr>
                <w:rFonts w:ascii="宋体" w:eastAsia="宋体" w:hAnsi="宋体" w:cs="宋体"/>
                <w:b w:val="0"/>
                <w:i w:val="0"/>
                <w:color w:val="000000"/>
                <w:sz w:val="16"/>
              </w:rPr>
              <w:t xml:space="preserve">1,376.36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80.49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药品事务</w:t>
            </w:r>
          </w:p>
        </w:tc>
        <w:tc>
          <w:tcPr>
            <w:tcW w:w="1120" w:type="dxa"/>
            <w:tcBorders/>
            <w:vAlign w:val="center"/>
          </w:tcPr>
          <w:p>
            <w:pPr>
              <w:jc w:val="right"/>
            </w:pPr>
            <w:r>
              <w:rPr>
                <w:rFonts w:ascii="宋体" w:eastAsia="宋体" w:hAnsi="宋体" w:cs="宋体"/>
                <w:b w:val="0"/>
                <w:i w:val="0"/>
                <w:color w:val="000000"/>
                <w:sz w:val="16"/>
              </w:rPr>
              <w:t xml:space="preserve">10.89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食品安全监管</w:t>
            </w:r>
          </w:p>
        </w:tc>
        <w:tc>
          <w:tcPr>
            <w:tcW w:w="1120" w:type="dxa"/>
            <w:tcBorders/>
            <w:vAlign w:val="center"/>
          </w:tcPr>
          <w:p>
            <w:pPr>
              <w:jc w:val="right"/>
            </w:pPr>
            <w:r>
              <w:rPr>
                <w:rFonts w:ascii="宋体" w:eastAsia="宋体" w:hAnsi="宋体" w:cs="宋体"/>
                <w:b w:val="0"/>
                <w:i w:val="0"/>
                <w:color w:val="000000"/>
                <w:sz w:val="16"/>
              </w:rPr>
              <w:t xml:space="preserve">12.82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486.80</w:t>
            </w:r>
          </w:p>
        </w:tc>
        <w:tc>
          <w:tcPr>
            <w:tcW w:w="1120" w:type="dxa"/>
            <w:tcBorders/>
            <w:vAlign w:val="center"/>
          </w:tcPr>
          <w:p>
            <w:pPr>
              <w:jc w:val="right"/>
            </w:pPr>
            <w:r>
              <w:rPr>
                <w:rFonts w:ascii="宋体" w:eastAsia="宋体" w:hAnsi="宋体" w:cs="宋体"/>
                <w:b w:val="0"/>
                <w:i w:val="0"/>
                <w:color w:val="000000"/>
                <w:sz w:val="16"/>
              </w:rPr>
              <w:t xml:space="preserve">486.80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其他市场监督管理事务</w:t>
            </w:r>
          </w:p>
        </w:tc>
        <w:tc>
          <w:tcPr>
            <w:tcW w:w="1120" w:type="dxa"/>
            <w:tcBorders/>
            <w:vAlign w:val="center"/>
          </w:tcPr>
          <w:p>
            <w:pPr>
              <w:jc w:val="right"/>
            </w:pPr>
            <w:r>
              <w:rPr>
                <w:rFonts w:ascii="宋体" w:eastAsia="宋体" w:hAnsi="宋体" w:cs="宋体"/>
                <w:b w:val="0"/>
                <w:i w:val="0"/>
                <w:color w:val="000000"/>
                <w:sz w:val="16"/>
              </w:rPr>
              <w:t xml:space="preserve">24.47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427.91</w:t>
            </w:r>
          </w:p>
        </w:tc>
        <w:tc>
          <w:tcPr>
            <w:tcW w:w="1120" w:type="dxa"/>
            <w:tcBorders/>
            <w:vAlign w:val="center"/>
          </w:tcPr>
          <w:p>
            <w:pPr>
              <w:jc w:val="right"/>
            </w:pPr>
            <w:r>
              <w:rPr>
                <w:rFonts w:ascii="宋体" w:eastAsia="宋体" w:hAnsi="宋体" w:cs="宋体"/>
                <w:b w:val="0"/>
                <w:i w:val="0"/>
                <w:color w:val="000000"/>
                <w:sz w:val="16"/>
              </w:rPr>
              <w:t xml:space="preserve">427.91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406.72</w:t>
            </w:r>
          </w:p>
        </w:tc>
        <w:tc>
          <w:tcPr>
            <w:tcW w:w="1120" w:type="dxa"/>
            <w:tcBorders/>
            <w:vAlign w:val="center"/>
          </w:tcPr>
          <w:p>
            <w:pPr>
              <w:jc w:val="right"/>
            </w:pPr>
            <w:r>
              <w:rPr>
                <w:rFonts w:ascii="宋体" w:eastAsia="宋体" w:hAnsi="宋体" w:cs="宋体"/>
                <w:b w:val="0"/>
                <w:i w:val="0"/>
                <w:color w:val="000000"/>
                <w:sz w:val="16"/>
              </w:rPr>
              <w:t xml:space="preserve">406.72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31.60</w:t>
            </w:r>
          </w:p>
        </w:tc>
        <w:tc>
          <w:tcPr>
            <w:tcW w:w="1120" w:type="dxa"/>
            <w:tcBorders/>
            <w:vAlign w:val="center"/>
          </w:tcPr>
          <w:p>
            <w:pPr>
              <w:jc w:val="right"/>
            </w:pPr>
            <w:r>
              <w:rPr>
                <w:rFonts w:ascii="宋体" w:eastAsia="宋体" w:hAnsi="宋体" w:cs="宋体"/>
                <w:b w:val="0"/>
                <w:i w:val="0"/>
                <w:color w:val="000000"/>
                <w:sz w:val="16"/>
              </w:rPr>
              <w:t xml:space="preserve">31.60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12.71</w:t>
            </w:r>
          </w:p>
        </w:tc>
        <w:tc>
          <w:tcPr>
            <w:tcW w:w="1120" w:type="dxa"/>
            <w:tcBorders/>
            <w:vAlign w:val="center"/>
          </w:tcPr>
          <w:p>
            <w:pPr>
              <w:jc w:val="right"/>
            </w:pPr>
            <w:r>
              <w:rPr>
                <w:rFonts w:ascii="宋体" w:eastAsia="宋体" w:hAnsi="宋体" w:cs="宋体"/>
                <w:b w:val="0"/>
                <w:i w:val="0"/>
                <w:color w:val="000000"/>
                <w:sz w:val="16"/>
              </w:rPr>
              <w:t xml:space="preserve">12.71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240.77</w:t>
            </w:r>
          </w:p>
        </w:tc>
        <w:tc>
          <w:tcPr>
            <w:tcW w:w="1120" w:type="dxa"/>
            <w:tcBorders/>
            <w:vAlign w:val="center"/>
          </w:tcPr>
          <w:p>
            <w:pPr>
              <w:jc w:val="right"/>
            </w:pPr>
            <w:r>
              <w:rPr>
                <w:rFonts w:ascii="宋体" w:eastAsia="宋体" w:hAnsi="宋体" w:cs="宋体"/>
                <w:b w:val="0"/>
                <w:i w:val="0"/>
                <w:color w:val="000000"/>
                <w:sz w:val="16"/>
              </w:rPr>
              <w:t xml:space="preserve">240.77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121.64</w:t>
            </w:r>
          </w:p>
        </w:tc>
        <w:tc>
          <w:tcPr>
            <w:tcW w:w="1120" w:type="dxa"/>
            <w:tcBorders/>
            <w:vAlign w:val="center"/>
          </w:tcPr>
          <w:p>
            <w:pPr>
              <w:jc w:val="right"/>
            </w:pPr>
            <w:r>
              <w:rPr>
                <w:rFonts w:ascii="宋体" w:eastAsia="宋体" w:hAnsi="宋体" w:cs="宋体"/>
                <w:b w:val="0"/>
                <w:i w:val="0"/>
                <w:color w:val="000000"/>
                <w:sz w:val="16"/>
              </w:rPr>
              <w:t xml:space="preserve">121.64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15.44</w:t>
            </w:r>
          </w:p>
        </w:tc>
        <w:tc>
          <w:tcPr>
            <w:tcW w:w="1120" w:type="dxa"/>
            <w:tcBorders/>
            <w:vAlign w:val="center"/>
          </w:tcPr>
          <w:p>
            <w:pPr>
              <w:jc w:val="right"/>
            </w:pPr>
            <w:r>
              <w:rPr>
                <w:rFonts w:ascii="宋体" w:eastAsia="宋体" w:hAnsi="宋体" w:cs="宋体"/>
                <w:b w:val="0"/>
                <w:i w:val="0"/>
                <w:color w:val="000000"/>
                <w:sz w:val="16"/>
              </w:rPr>
              <w:t xml:space="preserve">15.44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15.44</w:t>
            </w:r>
          </w:p>
        </w:tc>
        <w:tc>
          <w:tcPr>
            <w:tcW w:w="1120" w:type="dxa"/>
            <w:tcBorders/>
            <w:vAlign w:val="center"/>
          </w:tcPr>
          <w:p>
            <w:pPr>
              <w:jc w:val="right"/>
            </w:pPr>
            <w:r>
              <w:rPr>
                <w:rFonts w:ascii="宋体" w:eastAsia="宋体" w:hAnsi="宋体" w:cs="宋体"/>
                <w:b w:val="0"/>
                <w:i w:val="0"/>
                <w:color w:val="000000"/>
                <w:sz w:val="16"/>
              </w:rPr>
              <w:t xml:space="preserve">15.44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5.75</w:t>
            </w:r>
          </w:p>
        </w:tc>
        <w:tc>
          <w:tcPr>
            <w:tcW w:w="1120" w:type="dxa"/>
            <w:tcBorders/>
            <w:vAlign w:val="center"/>
          </w:tcPr>
          <w:p>
            <w:pPr>
              <w:jc w:val="right"/>
            </w:pPr>
            <w:r>
              <w:rPr>
                <w:rFonts w:ascii="宋体" w:eastAsia="宋体" w:hAnsi="宋体" w:cs="宋体"/>
                <w:b w:val="0"/>
                <w:i w:val="0"/>
                <w:color w:val="000000"/>
                <w:sz w:val="16"/>
              </w:rPr>
              <w:t xml:space="preserve">5.75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5.75</w:t>
            </w:r>
          </w:p>
        </w:tc>
        <w:tc>
          <w:tcPr>
            <w:tcW w:w="1120" w:type="dxa"/>
            <w:tcBorders/>
            <w:vAlign w:val="center"/>
          </w:tcPr>
          <w:p>
            <w:pPr>
              <w:jc w:val="right"/>
            </w:pPr>
            <w:r>
              <w:rPr>
                <w:rFonts w:ascii="宋体" w:eastAsia="宋体" w:hAnsi="宋体" w:cs="宋体"/>
                <w:b w:val="0"/>
                <w:i w:val="0"/>
                <w:color w:val="000000"/>
                <w:sz w:val="16"/>
              </w:rPr>
              <w:t xml:space="preserve">5.75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96.41</w:t>
            </w:r>
          </w:p>
        </w:tc>
        <w:tc>
          <w:tcPr>
            <w:tcW w:w="1120" w:type="dxa"/>
            <w:tcBorders/>
            <w:vAlign w:val="center"/>
          </w:tcPr>
          <w:p>
            <w:pPr>
              <w:jc w:val="right"/>
            </w:pPr>
            <w:r>
              <w:rPr>
                <w:rFonts w:ascii="宋体" w:eastAsia="宋体" w:hAnsi="宋体" w:cs="宋体"/>
                <w:b w:val="0"/>
                <w:i w:val="0"/>
                <w:color w:val="000000"/>
                <w:sz w:val="16"/>
              </w:rPr>
              <w:t xml:space="preserve">96.41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94.58</w:t>
            </w:r>
          </w:p>
        </w:tc>
        <w:tc>
          <w:tcPr>
            <w:tcW w:w="1120" w:type="dxa"/>
            <w:tcBorders/>
            <w:vAlign w:val="center"/>
          </w:tcPr>
          <w:p>
            <w:pPr>
              <w:jc w:val="right"/>
            </w:pPr>
            <w:r>
              <w:rPr>
                <w:rFonts w:ascii="宋体" w:eastAsia="宋体" w:hAnsi="宋体" w:cs="宋体"/>
                <w:b w:val="0"/>
                <w:i w:val="0"/>
                <w:color w:val="000000"/>
                <w:sz w:val="16"/>
              </w:rPr>
              <w:t xml:space="preserve">94.58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65.27</w:t>
            </w:r>
          </w:p>
        </w:tc>
        <w:tc>
          <w:tcPr>
            <w:tcW w:w="1120" w:type="dxa"/>
            <w:tcBorders/>
            <w:vAlign w:val="center"/>
          </w:tcPr>
          <w:p>
            <w:pPr>
              <w:jc w:val="right"/>
            </w:pPr>
            <w:r>
              <w:rPr>
                <w:rFonts w:ascii="宋体" w:eastAsia="宋体" w:hAnsi="宋体" w:cs="宋体"/>
                <w:b w:val="0"/>
                <w:i w:val="0"/>
                <w:color w:val="000000"/>
                <w:sz w:val="16"/>
              </w:rPr>
              <w:t xml:space="preserve">65.27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27.65</w:t>
            </w:r>
          </w:p>
        </w:tc>
        <w:tc>
          <w:tcPr>
            <w:tcW w:w="1120" w:type="dxa"/>
            <w:tcBorders/>
            <w:vAlign w:val="center"/>
          </w:tcPr>
          <w:p>
            <w:pPr>
              <w:jc w:val="right"/>
            </w:pPr>
            <w:r>
              <w:rPr>
                <w:rFonts w:ascii="宋体" w:eastAsia="宋体" w:hAnsi="宋体" w:cs="宋体"/>
                <w:b w:val="0"/>
                <w:i w:val="0"/>
                <w:color w:val="000000"/>
                <w:sz w:val="16"/>
              </w:rPr>
              <w:t xml:space="preserve">27.65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192.69</w:t>
            </w:r>
          </w:p>
        </w:tc>
        <w:tc>
          <w:tcPr>
            <w:tcW w:w="1120" w:type="dxa"/>
            <w:tcBorders/>
            <w:vAlign w:val="center"/>
          </w:tcPr>
          <w:p>
            <w:pPr>
              <w:jc w:val="right"/>
            </w:pPr>
            <w:r>
              <w:rPr>
                <w:rFonts w:ascii="宋体" w:eastAsia="宋体" w:hAnsi="宋体" w:cs="宋体"/>
                <w:b w:val="0"/>
                <w:i w:val="0"/>
                <w:color w:val="000000"/>
                <w:sz w:val="16"/>
              </w:rPr>
              <w:t xml:space="preserve">192.69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192.69</w:t>
            </w:r>
          </w:p>
        </w:tc>
        <w:tc>
          <w:tcPr>
            <w:tcW w:w="1120" w:type="dxa"/>
            <w:tcBorders/>
            <w:vAlign w:val="center"/>
          </w:tcPr>
          <w:p>
            <w:pPr>
              <w:jc w:val="right"/>
            </w:pPr>
            <w:r>
              <w:rPr>
                <w:rFonts w:ascii="宋体" w:eastAsia="宋体" w:hAnsi="宋体" w:cs="宋体"/>
                <w:b w:val="0"/>
                <w:i w:val="0"/>
                <w:color w:val="000000"/>
                <w:sz w:val="16"/>
              </w:rPr>
              <w:t xml:space="preserve">192.69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192.69</w:t>
            </w:r>
          </w:p>
        </w:tc>
        <w:tc>
          <w:tcPr>
            <w:tcW w:w="1120" w:type="dxa"/>
            <w:tcBorders/>
            <w:vAlign w:val="center"/>
          </w:tcPr>
          <w:p>
            <w:pPr>
              <w:jc w:val="right"/>
            </w:pPr>
            <w:r>
              <w:rPr>
                <w:rFonts w:ascii="宋体" w:eastAsia="宋体" w:hAnsi="宋体" w:cs="宋体"/>
                <w:b w:val="0"/>
                <w:i w:val="0"/>
                <w:color w:val="000000"/>
                <w:sz w:val="16"/>
              </w:rPr>
              <w:t xml:space="preserve">192.69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2,708.82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1,991.82</w:t>
            </w:r>
          </w:p>
        </w:tc>
        <w:tc>
          <w:tcPr>
            <w:tcW w:w="1100" w:type="dxa"/>
            <w:tcBorders/>
            <w:vAlign w:val="center"/>
          </w:tcPr>
          <w:p>
            <w:pPr>
              <w:jc w:val="right"/>
            </w:pPr>
            <w:r>
              <w:rPr>
                <w:rFonts w:ascii="宋体" w:eastAsia="宋体" w:hAnsi="宋体" w:cs="宋体"/>
                <w:b w:val="0"/>
                <w:i w:val="0"/>
                <w:color w:val="000000"/>
                <w:sz w:val="14"/>
              </w:rPr>
              <w:t xml:space="preserve">1,991.82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427.91</w:t>
            </w:r>
          </w:p>
        </w:tc>
        <w:tc>
          <w:tcPr>
            <w:tcW w:w="1100" w:type="dxa"/>
            <w:tcBorders/>
            <w:vAlign w:val="center"/>
          </w:tcPr>
          <w:p>
            <w:pPr>
              <w:jc w:val="right"/>
            </w:pPr>
            <w:r>
              <w:rPr>
                <w:rFonts w:ascii="宋体" w:eastAsia="宋体" w:hAnsi="宋体" w:cs="宋体"/>
                <w:b w:val="0"/>
                <w:i w:val="0"/>
                <w:color w:val="000000"/>
                <w:sz w:val="14"/>
              </w:rPr>
              <w:t xml:space="preserve">427.91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96.41</w:t>
            </w:r>
          </w:p>
        </w:tc>
        <w:tc>
          <w:tcPr>
            <w:tcW w:w="1100" w:type="dxa"/>
            <w:tcBorders/>
            <w:vAlign w:val="center"/>
          </w:tcPr>
          <w:p>
            <w:pPr>
              <w:jc w:val="right"/>
            </w:pPr>
            <w:r>
              <w:rPr>
                <w:rFonts w:ascii="宋体" w:eastAsia="宋体" w:hAnsi="宋体" w:cs="宋体"/>
                <w:b w:val="0"/>
                <w:i w:val="0"/>
                <w:color w:val="000000"/>
                <w:sz w:val="14"/>
              </w:rPr>
              <w:t xml:space="preserve">96.41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192.69</w:t>
            </w:r>
          </w:p>
        </w:tc>
        <w:tc>
          <w:tcPr>
            <w:tcW w:w="1100" w:type="dxa"/>
            <w:tcBorders/>
            <w:vAlign w:val="center"/>
          </w:tcPr>
          <w:p>
            <w:pPr>
              <w:jc w:val="right"/>
            </w:pPr>
            <w:r>
              <w:rPr>
                <w:rFonts w:ascii="宋体" w:eastAsia="宋体" w:hAnsi="宋体" w:cs="宋体"/>
                <w:b w:val="0"/>
                <w:i w:val="0"/>
                <w:color w:val="000000"/>
                <w:sz w:val="14"/>
              </w:rPr>
              <w:t xml:space="preserve">192.69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2,708.82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2,708.82</w:t>
            </w:r>
          </w:p>
        </w:tc>
        <w:tc>
          <w:tcPr>
            <w:tcW w:w="1100" w:type="dxa"/>
            <w:tcBorders/>
            <w:vAlign w:val="center"/>
          </w:tcPr>
          <w:p>
            <w:pPr>
              <w:jc w:val="right"/>
            </w:pPr>
            <w:r>
              <w:rPr>
                <w:rFonts w:ascii="宋体" w:eastAsia="宋体" w:hAnsi="宋体" w:cs="宋体"/>
                <w:b w:val="0"/>
                <w:i w:val="0"/>
                <w:color w:val="000000"/>
                <w:sz w:val="14"/>
              </w:rPr>
              <w:t xml:space="preserve">2,708.82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2,708.82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2,708.82</w:t>
            </w:r>
          </w:p>
        </w:tc>
        <w:tc>
          <w:tcPr>
            <w:tcW w:w="1100" w:type="dxa"/>
            <w:tcBorders/>
            <w:vAlign w:val="center"/>
          </w:tcPr>
          <w:p>
            <w:pPr>
              <w:jc w:val="right"/>
            </w:pPr>
            <w:r>
              <w:rPr>
                <w:rFonts w:ascii="宋体" w:eastAsia="宋体" w:hAnsi="宋体" w:cs="宋体"/>
                <w:b w:val="0"/>
                <w:i w:val="0"/>
                <w:color w:val="000000"/>
                <w:sz w:val="14"/>
              </w:rPr>
              <w:t xml:space="preserve">2,708.82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2,708.82</w:t>
            </w:r>
          </w:p>
        </w:tc>
        <w:tc>
          <w:tcPr>
            <w:tcW w:w="1980" w:type="dxa"/>
            <w:tcBorders/>
            <w:vAlign w:val="center"/>
          </w:tcPr>
          <w:p>
            <w:pPr>
              <w:jc w:val="right"/>
            </w:pPr>
            <w:r>
              <w:rPr>
                <w:rFonts w:ascii="宋体" w:eastAsia="宋体" w:hAnsi="宋体" w:cs="宋体"/>
                <w:b/>
                <w:i w:val="0"/>
                <w:color w:val="000000"/>
                <w:sz w:val="20"/>
              </w:rPr>
              <w:t xml:space="preserve">2,580.15</w:t>
            </w:r>
          </w:p>
        </w:tc>
        <w:tc>
          <w:tcPr>
            <w:tcW w:w="1952" w:type="dxa"/>
            <w:tcBorders/>
            <w:vAlign w:val="center"/>
          </w:tcPr>
          <w:p>
            <w:pPr>
              <w:jc w:val="right"/>
            </w:pPr>
            <w:r>
              <w:rPr>
                <w:rFonts w:ascii="宋体" w:eastAsia="宋体" w:hAnsi="宋体" w:cs="宋体"/>
                <w:b/>
                <w:i w:val="0"/>
                <w:color w:val="000000"/>
                <w:sz w:val="20"/>
              </w:rPr>
              <w:t xml:space="preserve">128.67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1,991.83</w:t>
            </w:r>
          </w:p>
        </w:tc>
        <w:tc>
          <w:tcPr>
            <w:tcW w:w="1980" w:type="dxa"/>
            <w:tcBorders/>
            <w:vAlign w:val="center"/>
          </w:tcPr>
          <w:p>
            <w:pPr>
              <w:jc w:val="right"/>
            </w:pPr>
            <w:r>
              <w:rPr>
                <w:rFonts w:ascii="宋体" w:eastAsia="宋体" w:hAnsi="宋体" w:cs="宋体"/>
                <w:b w:val="0"/>
                <w:i w:val="0"/>
                <w:color w:val="000000"/>
                <w:sz w:val="20"/>
              </w:rPr>
              <w:t xml:space="preserve">1,863.16</w:t>
            </w:r>
          </w:p>
        </w:tc>
        <w:tc>
          <w:tcPr>
            <w:tcW w:w="1952" w:type="dxa"/>
            <w:tcBorders/>
            <w:vAlign w:val="center"/>
          </w:tcPr>
          <w:p>
            <w:pPr>
              <w:jc w:val="right"/>
            </w:pPr>
            <w:r>
              <w:rPr>
                <w:rFonts w:ascii="宋体" w:eastAsia="宋体" w:hAnsi="宋体" w:cs="宋体"/>
                <w:b w:val="0"/>
                <w:i w:val="0"/>
                <w:color w:val="000000"/>
                <w:sz w:val="20"/>
              </w:rPr>
              <w:t xml:space="preserve">128.67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市场监督管理事务</w:t>
            </w:r>
          </w:p>
        </w:tc>
        <w:tc>
          <w:tcPr>
            <w:tcW w:w="1980" w:type="dxa"/>
            <w:tcBorders/>
            <w:vAlign w:val="center"/>
          </w:tcPr>
          <w:p>
            <w:pPr>
              <w:jc w:val="right"/>
            </w:pPr>
            <w:r>
              <w:rPr>
                <w:rFonts w:ascii="宋体" w:eastAsia="宋体" w:hAnsi="宋体" w:cs="宋体"/>
                <w:b w:val="0"/>
                <w:i w:val="0"/>
                <w:color w:val="000000"/>
                <w:sz w:val="20"/>
              </w:rPr>
              <w:t xml:space="preserve">1,991.83</w:t>
            </w:r>
          </w:p>
        </w:tc>
        <w:tc>
          <w:tcPr>
            <w:tcW w:w="1980" w:type="dxa"/>
            <w:tcBorders/>
            <w:vAlign w:val="center"/>
          </w:tcPr>
          <w:p>
            <w:pPr>
              <w:jc w:val="right"/>
            </w:pPr>
            <w:r>
              <w:rPr>
                <w:rFonts w:ascii="宋体" w:eastAsia="宋体" w:hAnsi="宋体" w:cs="宋体"/>
                <w:b w:val="0"/>
                <w:i w:val="0"/>
                <w:color w:val="000000"/>
                <w:sz w:val="20"/>
              </w:rPr>
              <w:t xml:space="preserve">1,863.16</w:t>
            </w:r>
          </w:p>
        </w:tc>
        <w:tc>
          <w:tcPr>
            <w:tcW w:w="1952" w:type="dxa"/>
            <w:tcBorders/>
            <w:vAlign w:val="center"/>
          </w:tcPr>
          <w:p>
            <w:pPr>
              <w:jc w:val="right"/>
            </w:pPr>
            <w:r>
              <w:rPr>
                <w:rFonts w:ascii="宋体" w:eastAsia="宋体" w:hAnsi="宋体" w:cs="宋体"/>
                <w:b w:val="0"/>
                <w:i w:val="0"/>
                <w:color w:val="000000"/>
                <w:sz w:val="20"/>
              </w:rPr>
              <w:t xml:space="preserve">128.67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1,376.36</w:t>
            </w:r>
          </w:p>
        </w:tc>
        <w:tc>
          <w:tcPr>
            <w:tcW w:w="1980" w:type="dxa"/>
            <w:tcBorders/>
            <w:vAlign w:val="center"/>
          </w:tcPr>
          <w:p>
            <w:pPr>
              <w:jc w:val="right"/>
            </w:pPr>
            <w:r>
              <w:rPr>
                <w:rFonts w:ascii="宋体" w:eastAsia="宋体" w:hAnsi="宋体" w:cs="宋体"/>
                <w:b w:val="0"/>
                <w:i w:val="0"/>
                <w:color w:val="000000"/>
                <w:sz w:val="20"/>
              </w:rPr>
              <w:t xml:space="preserve">1,376.36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80.49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药品事务</w:t>
            </w:r>
          </w:p>
        </w:tc>
        <w:tc>
          <w:tcPr>
            <w:tcW w:w="1980" w:type="dxa"/>
            <w:tcBorders/>
            <w:vAlign w:val="center"/>
          </w:tcPr>
          <w:p>
            <w:pPr>
              <w:jc w:val="right"/>
            </w:pPr>
            <w:r>
              <w:rPr>
                <w:rFonts w:ascii="宋体" w:eastAsia="宋体" w:hAnsi="宋体" w:cs="宋体"/>
                <w:b w:val="0"/>
                <w:i w:val="0"/>
                <w:color w:val="000000"/>
                <w:sz w:val="20"/>
              </w:rPr>
              <w:t xml:space="preserve">10.89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食品安全监管</w:t>
            </w:r>
          </w:p>
        </w:tc>
        <w:tc>
          <w:tcPr>
            <w:tcW w:w="1980" w:type="dxa"/>
            <w:tcBorders/>
            <w:vAlign w:val="center"/>
          </w:tcPr>
          <w:p>
            <w:pPr>
              <w:jc w:val="right"/>
            </w:pPr>
            <w:r>
              <w:rPr>
                <w:rFonts w:ascii="宋体" w:eastAsia="宋体" w:hAnsi="宋体" w:cs="宋体"/>
                <w:b w:val="0"/>
                <w:i w:val="0"/>
                <w:color w:val="000000"/>
                <w:sz w:val="20"/>
              </w:rPr>
              <w:t xml:space="preserve">12.82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486.80</w:t>
            </w:r>
          </w:p>
        </w:tc>
        <w:tc>
          <w:tcPr>
            <w:tcW w:w="1980" w:type="dxa"/>
            <w:tcBorders/>
            <w:vAlign w:val="center"/>
          </w:tcPr>
          <w:p>
            <w:pPr>
              <w:jc w:val="right"/>
            </w:pPr>
            <w:r>
              <w:rPr>
                <w:rFonts w:ascii="宋体" w:eastAsia="宋体" w:hAnsi="宋体" w:cs="宋体"/>
                <w:b w:val="0"/>
                <w:i w:val="0"/>
                <w:color w:val="000000"/>
                <w:sz w:val="20"/>
              </w:rPr>
              <w:t xml:space="preserve">486.80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其他市场监督管理事务</w:t>
            </w:r>
          </w:p>
        </w:tc>
        <w:tc>
          <w:tcPr>
            <w:tcW w:w="1980" w:type="dxa"/>
            <w:tcBorders/>
            <w:vAlign w:val="center"/>
          </w:tcPr>
          <w:p>
            <w:pPr>
              <w:jc w:val="right"/>
            </w:pPr>
            <w:r>
              <w:rPr>
                <w:rFonts w:ascii="宋体" w:eastAsia="宋体" w:hAnsi="宋体" w:cs="宋体"/>
                <w:b w:val="0"/>
                <w:i w:val="0"/>
                <w:color w:val="000000"/>
                <w:sz w:val="20"/>
              </w:rPr>
              <w:t xml:space="preserve">24.47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427.91</w:t>
            </w:r>
          </w:p>
        </w:tc>
        <w:tc>
          <w:tcPr>
            <w:tcW w:w="1980" w:type="dxa"/>
            <w:tcBorders/>
            <w:vAlign w:val="center"/>
          </w:tcPr>
          <w:p>
            <w:pPr>
              <w:jc w:val="right"/>
            </w:pPr>
            <w:r>
              <w:rPr>
                <w:rFonts w:ascii="宋体" w:eastAsia="宋体" w:hAnsi="宋体" w:cs="宋体"/>
                <w:b w:val="0"/>
                <w:i w:val="0"/>
                <w:color w:val="000000"/>
                <w:sz w:val="20"/>
              </w:rPr>
              <w:t xml:space="preserve">427.91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406.72</w:t>
            </w:r>
          </w:p>
        </w:tc>
        <w:tc>
          <w:tcPr>
            <w:tcW w:w="1980" w:type="dxa"/>
            <w:tcBorders/>
            <w:vAlign w:val="center"/>
          </w:tcPr>
          <w:p>
            <w:pPr>
              <w:jc w:val="right"/>
            </w:pPr>
            <w:r>
              <w:rPr>
                <w:rFonts w:ascii="宋体" w:eastAsia="宋体" w:hAnsi="宋体" w:cs="宋体"/>
                <w:b w:val="0"/>
                <w:i w:val="0"/>
                <w:color w:val="000000"/>
                <w:sz w:val="20"/>
              </w:rPr>
              <w:t xml:space="preserve">406.72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31.60</w:t>
            </w:r>
          </w:p>
        </w:tc>
        <w:tc>
          <w:tcPr>
            <w:tcW w:w="1980" w:type="dxa"/>
            <w:tcBorders/>
            <w:vAlign w:val="center"/>
          </w:tcPr>
          <w:p>
            <w:pPr>
              <w:jc w:val="right"/>
            </w:pPr>
            <w:r>
              <w:rPr>
                <w:rFonts w:ascii="宋体" w:eastAsia="宋体" w:hAnsi="宋体" w:cs="宋体"/>
                <w:b w:val="0"/>
                <w:i w:val="0"/>
                <w:color w:val="000000"/>
                <w:sz w:val="20"/>
              </w:rPr>
              <w:t xml:space="preserve">31.60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12.71</w:t>
            </w:r>
          </w:p>
        </w:tc>
        <w:tc>
          <w:tcPr>
            <w:tcW w:w="1980" w:type="dxa"/>
            <w:tcBorders/>
            <w:vAlign w:val="center"/>
          </w:tcPr>
          <w:p>
            <w:pPr>
              <w:jc w:val="right"/>
            </w:pPr>
            <w:r>
              <w:rPr>
                <w:rFonts w:ascii="宋体" w:eastAsia="宋体" w:hAnsi="宋体" w:cs="宋体"/>
                <w:b w:val="0"/>
                <w:i w:val="0"/>
                <w:color w:val="000000"/>
                <w:sz w:val="20"/>
              </w:rPr>
              <w:t xml:space="preserve">12.71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240.77</w:t>
            </w:r>
          </w:p>
        </w:tc>
        <w:tc>
          <w:tcPr>
            <w:tcW w:w="1980" w:type="dxa"/>
            <w:tcBorders/>
            <w:vAlign w:val="center"/>
          </w:tcPr>
          <w:p>
            <w:pPr>
              <w:jc w:val="right"/>
            </w:pPr>
            <w:r>
              <w:rPr>
                <w:rFonts w:ascii="宋体" w:eastAsia="宋体" w:hAnsi="宋体" w:cs="宋体"/>
                <w:b w:val="0"/>
                <w:i w:val="0"/>
                <w:color w:val="000000"/>
                <w:sz w:val="20"/>
              </w:rPr>
              <w:t xml:space="preserve">240.77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121.64</w:t>
            </w:r>
          </w:p>
        </w:tc>
        <w:tc>
          <w:tcPr>
            <w:tcW w:w="1980" w:type="dxa"/>
            <w:tcBorders/>
            <w:vAlign w:val="center"/>
          </w:tcPr>
          <w:p>
            <w:pPr>
              <w:jc w:val="right"/>
            </w:pPr>
            <w:r>
              <w:rPr>
                <w:rFonts w:ascii="宋体" w:eastAsia="宋体" w:hAnsi="宋体" w:cs="宋体"/>
                <w:b w:val="0"/>
                <w:i w:val="0"/>
                <w:color w:val="000000"/>
                <w:sz w:val="20"/>
              </w:rPr>
              <w:t xml:space="preserve">121.64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15.44</w:t>
            </w:r>
          </w:p>
        </w:tc>
        <w:tc>
          <w:tcPr>
            <w:tcW w:w="1980" w:type="dxa"/>
            <w:tcBorders/>
            <w:vAlign w:val="center"/>
          </w:tcPr>
          <w:p>
            <w:pPr>
              <w:jc w:val="right"/>
            </w:pPr>
            <w:r>
              <w:rPr>
                <w:rFonts w:ascii="宋体" w:eastAsia="宋体" w:hAnsi="宋体" w:cs="宋体"/>
                <w:b w:val="0"/>
                <w:i w:val="0"/>
                <w:color w:val="000000"/>
                <w:sz w:val="20"/>
              </w:rPr>
              <w:t xml:space="preserve">15.44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15.44</w:t>
            </w:r>
          </w:p>
        </w:tc>
        <w:tc>
          <w:tcPr>
            <w:tcW w:w="1980" w:type="dxa"/>
            <w:tcBorders/>
            <w:vAlign w:val="center"/>
          </w:tcPr>
          <w:p>
            <w:pPr>
              <w:jc w:val="right"/>
            </w:pPr>
            <w:r>
              <w:rPr>
                <w:rFonts w:ascii="宋体" w:eastAsia="宋体" w:hAnsi="宋体" w:cs="宋体"/>
                <w:b w:val="0"/>
                <w:i w:val="0"/>
                <w:color w:val="000000"/>
                <w:sz w:val="20"/>
              </w:rPr>
              <w:t xml:space="preserve">15.44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5.75</w:t>
            </w:r>
          </w:p>
        </w:tc>
        <w:tc>
          <w:tcPr>
            <w:tcW w:w="1980" w:type="dxa"/>
            <w:tcBorders/>
            <w:vAlign w:val="center"/>
          </w:tcPr>
          <w:p>
            <w:pPr>
              <w:jc w:val="right"/>
            </w:pPr>
            <w:r>
              <w:rPr>
                <w:rFonts w:ascii="宋体" w:eastAsia="宋体" w:hAnsi="宋体" w:cs="宋体"/>
                <w:b w:val="0"/>
                <w:i w:val="0"/>
                <w:color w:val="000000"/>
                <w:sz w:val="20"/>
              </w:rPr>
              <w:t xml:space="preserve">5.75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5.75</w:t>
            </w:r>
          </w:p>
        </w:tc>
        <w:tc>
          <w:tcPr>
            <w:tcW w:w="1980" w:type="dxa"/>
            <w:tcBorders/>
            <w:vAlign w:val="center"/>
          </w:tcPr>
          <w:p>
            <w:pPr>
              <w:jc w:val="right"/>
            </w:pPr>
            <w:r>
              <w:rPr>
                <w:rFonts w:ascii="宋体" w:eastAsia="宋体" w:hAnsi="宋体" w:cs="宋体"/>
                <w:b w:val="0"/>
                <w:i w:val="0"/>
                <w:color w:val="000000"/>
                <w:sz w:val="20"/>
              </w:rPr>
              <w:t xml:space="preserve">5.75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96.41</w:t>
            </w:r>
          </w:p>
        </w:tc>
        <w:tc>
          <w:tcPr>
            <w:tcW w:w="1980" w:type="dxa"/>
            <w:tcBorders/>
            <w:vAlign w:val="center"/>
          </w:tcPr>
          <w:p>
            <w:pPr>
              <w:jc w:val="right"/>
            </w:pPr>
            <w:r>
              <w:rPr>
                <w:rFonts w:ascii="宋体" w:eastAsia="宋体" w:hAnsi="宋体" w:cs="宋体"/>
                <w:b w:val="0"/>
                <w:i w:val="0"/>
                <w:color w:val="000000"/>
                <w:sz w:val="20"/>
              </w:rPr>
              <w:t xml:space="preserve">96.41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94.58</w:t>
            </w:r>
          </w:p>
        </w:tc>
        <w:tc>
          <w:tcPr>
            <w:tcW w:w="1980" w:type="dxa"/>
            <w:tcBorders/>
            <w:vAlign w:val="center"/>
          </w:tcPr>
          <w:p>
            <w:pPr>
              <w:jc w:val="right"/>
            </w:pPr>
            <w:r>
              <w:rPr>
                <w:rFonts w:ascii="宋体" w:eastAsia="宋体" w:hAnsi="宋体" w:cs="宋体"/>
                <w:b w:val="0"/>
                <w:i w:val="0"/>
                <w:color w:val="000000"/>
                <w:sz w:val="20"/>
              </w:rPr>
              <w:t xml:space="preserve">94.58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65.27</w:t>
            </w:r>
          </w:p>
        </w:tc>
        <w:tc>
          <w:tcPr>
            <w:tcW w:w="1980" w:type="dxa"/>
            <w:tcBorders/>
            <w:vAlign w:val="center"/>
          </w:tcPr>
          <w:p>
            <w:pPr>
              <w:jc w:val="right"/>
            </w:pPr>
            <w:r>
              <w:rPr>
                <w:rFonts w:ascii="宋体" w:eastAsia="宋体" w:hAnsi="宋体" w:cs="宋体"/>
                <w:b w:val="0"/>
                <w:i w:val="0"/>
                <w:color w:val="000000"/>
                <w:sz w:val="20"/>
              </w:rPr>
              <w:t xml:space="preserve">65.27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27.65</w:t>
            </w:r>
          </w:p>
        </w:tc>
        <w:tc>
          <w:tcPr>
            <w:tcW w:w="1980" w:type="dxa"/>
            <w:tcBorders/>
            <w:vAlign w:val="center"/>
          </w:tcPr>
          <w:p>
            <w:pPr>
              <w:jc w:val="right"/>
            </w:pPr>
            <w:r>
              <w:rPr>
                <w:rFonts w:ascii="宋体" w:eastAsia="宋体" w:hAnsi="宋体" w:cs="宋体"/>
                <w:b w:val="0"/>
                <w:i w:val="0"/>
                <w:color w:val="000000"/>
                <w:sz w:val="20"/>
              </w:rPr>
              <w:t xml:space="preserve">27.65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1.66</w:t>
            </w:r>
          </w:p>
        </w:tc>
        <w:tc>
          <w:tcPr>
            <w:tcW w:w="1980" w:type="dxa"/>
            <w:tcBorders/>
            <w:vAlign w:val="center"/>
          </w:tcPr>
          <w:p>
            <w:pPr>
              <w:jc w:val="right"/>
            </w:pPr>
            <w:r>
              <w:rPr>
                <w:rFonts w:ascii="宋体" w:eastAsia="宋体" w:hAnsi="宋体" w:cs="宋体"/>
                <w:b w:val="0"/>
                <w:i w:val="0"/>
                <w:color w:val="000000"/>
                <w:sz w:val="20"/>
              </w:rPr>
              <w:t xml:space="preserve">1.66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192.69</w:t>
            </w:r>
          </w:p>
        </w:tc>
        <w:tc>
          <w:tcPr>
            <w:tcW w:w="1980" w:type="dxa"/>
            <w:tcBorders/>
            <w:vAlign w:val="center"/>
          </w:tcPr>
          <w:p>
            <w:pPr>
              <w:jc w:val="right"/>
            </w:pPr>
            <w:r>
              <w:rPr>
                <w:rFonts w:ascii="宋体" w:eastAsia="宋体" w:hAnsi="宋体" w:cs="宋体"/>
                <w:b w:val="0"/>
                <w:i w:val="0"/>
                <w:color w:val="000000"/>
                <w:sz w:val="20"/>
              </w:rPr>
              <w:t xml:space="preserve">192.69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192.69</w:t>
            </w:r>
          </w:p>
        </w:tc>
        <w:tc>
          <w:tcPr>
            <w:tcW w:w="1980" w:type="dxa"/>
            <w:tcBorders/>
            <w:vAlign w:val="center"/>
          </w:tcPr>
          <w:p>
            <w:pPr>
              <w:jc w:val="right"/>
            </w:pPr>
            <w:r>
              <w:rPr>
                <w:rFonts w:ascii="宋体" w:eastAsia="宋体" w:hAnsi="宋体" w:cs="宋体"/>
                <w:b w:val="0"/>
                <w:i w:val="0"/>
                <w:color w:val="000000"/>
                <w:sz w:val="20"/>
              </w:rPr>
              <w:t xml:space="preserve">192.69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192.69</w:t>
            </w:r>
          </w:p>
        </w:tc>
        <w:tc>
          <w:tcPr>
            <w:tcW w:w="1980" w:type="dxa"/>
            <w:tcBorders/>
            <w:vAlign w:val="center"/>
          </w:tcPr>
          <w:p>
            <w:pPr>
              <w:jc w:val="right"/>
            </w:pPr>
            <w:r>
              <w:rPr>
                <w:rFonts w:ascii="宋体" w:eastAsia="宋体" w:hAnsi="宋体" w:cs="宋体"/>
                <w:b w:val="0"/>
                <w:i w:val="0"/>
                <w:color w:val="000000"/>
                <w:sz w:val="20"/>
              </w:rPr>
              <w:t xml:space="preserve">192.69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2,263.79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240.68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851.42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15.56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365.16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5.26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214.41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11.88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177.38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4.84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11.88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240.77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10.29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121.64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1.44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92.92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28.58</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7.41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192.69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7.05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63.80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11.52</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31.51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13.59</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15.44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4.28</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1.01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52.00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96.47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5.23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2,327.59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252.56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57.50</w:t>
            </w:r>
          </w:p>
        </w:tc>
        <w:tc>
          <w:tcPr>
            <w:tcW w:w="3092" w:type="dxa"/>
            <w:tcBorders/>
            <w:vAlign w:val="center"/>
          </w:tcPr>
          <w:p>
            <w:pPr>
              <w:jc w:val="right"/>
            </w:pPr>
            <w:r>
              <w:rPr>
                <w:rFonts w:ascii="宋体" w:eastAsia="宋体" w:hAnsi="宋体" w:cs="宋体"/>
                <w:b w:val="0"/>
                <w:i w:val="0"/>
                <w:color w:val="000000"/>
                <w:sz w:val="23"/>
              </w:rPr>
              <w:t xml:space="preserve">57.00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57.50</w:t>
            </w:r>
          </w:p>
        </w:tc>
        <w:tc>
          <w:tcPr>
            <w:tcW w:w="3092" w:type="dxa"/>
            <w:tcBorders/>
            <w:vAlign w:val="center"/>
          </w:tcPr>
          <w:p>
            <w:pPr>
              <w:jc w:val="right"/>
            </w:pPr>
            <w:r>
              <w:rPr>
                <w:rFonts w:ascii="宋体" w:eastAsia="宋体" w:hAnsi="宋体" w:cs="宋体"/>
                <w:b w:val="0"/>
                <w:i w:val="0"/>
                <w:color w:val="000000"/>
                <w:sz w:val="23"/>
              </w:rPr>
              <w:t xml:space="preserve">57.00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57.50</w:t>
            </w:r>
          </w:p>
        </w:tc>
        <w:tc>
          <w:tcPr>
            <w:tcW w:w="3092" w:type="dxa"/>
            <w:tcBorders/>
            <w:vAlign w:val="center"/>
          </w:tcPr>
          <w:p>
            <w:pPr>
              <w:jc w:val="right"/>
            </w:pPr>
            <w:r>
              <w:rPr>
                <w:rFonts w:ascii="宋体" w:eastAsia="宋体" w:hAnsi="宋体" w:cs="宋体"/>
                <w:b w:val="0"/>
                <w:i w:val="0"/>
                <w:color w:val="000000"/>
                <w:sz w:val="23"/>
              </w:rPr>
              <w:t xml:space="preserve">57.00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部门：辽宁省盘锦市大洼区市场监督管理局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018001盘锦市大洼区市场监督管理局本级-211104000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1977.47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1977.47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1438.71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1438.7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129.80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204.53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204.52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0.67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以服务发展为目标，努力打造良好营商环境。以三大安全为重点，切实抓好市场监管工作，以关注民生为核心，全面规范市场秩序；加强疫情科学防控，护航企业安全生产。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根据年初工作绩效目标，围绕努力营造良好营商环境，以安全为重点，积极履职，强化管理，较好的完成了年度目标。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33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122</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0.04</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0.064</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财政经费保障不足，以前年度工作项目已经完成，但项目款未及时支付，在2023年支付以前年度欠款经费保障:从严抓好年度预算执行与预算监控，</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经费保障:从严抓好年度预算执行与预算监控，把“三保”工作放在支出顺序首位，实现“财尽其用、直达高效”。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-89</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提供安全放心产品</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秩序稳定</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服务企业满意度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服务体制改革</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90.46</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018002盘锦市大洼区市场监管事务服务中心-211104000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655.24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655.24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547.16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547.16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48.02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48.02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24.12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24.11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对投诉内容进行调查、调解，维护消费者的合法权益；计量的量值传递工作的全域性，确保区域内计量器具的准确性。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2023年在投诉方面为零投诉，在计量方面完成了全区域检测工作，全年共检定各类计量器具12850件，良好的维护了消费者权益。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112.22</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3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17.32</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0.29</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0.464</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主要是以前年度基础绩效、退休人员补缴年金、人员晋升工资、人员公积金保险基数统一调整补差等。</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人员保障:对于以前年度基础绩效、退休人员补缴年金、人员晋升工资、人员公积金保险基数统一调整补差等原因做好充分预估，及时申报。</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服务被投诉率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建立内控业务流程</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建立完成</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98.86</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抽检费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盘锦市大洼区市场监督管理局-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盘锦市大洼区市场监督管理局本级-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以服务发展为目标，努力打造良好营商环境，以三大安全为重点，切实抓好市场监管工作，以关注民生为核心，全面规范市场秩序，加强疫情科学防控工作。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根据年初工作绩效目标，围绕努力良好营造营商环境，以安全为重点，积极履职，强化管理，较好的完成了年度目标。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检验批次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批</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食品抽检覆盖率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抽检工作完成率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抽检覆盖率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监督抽检及时率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平均每批次抽检费用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促进经济发展</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可促进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对社会影响力提高程度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健康促进支持性环境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有效促进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提升品安全抽检监测能力和水平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有效提升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抽检对象满意度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99.6</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