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辽宁省盘锦市大洼区市场监管事务服务中心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辽宁省盘锦市大洼区市场监管事务服务中心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辽宁省盘锦市大洼区市场监管事务服务中心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辽宁省盘锦市大洼区市场监管事务服务中心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辽宁省盘锦市大洼区市场监管事务服务中心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辽宁省盘锦市大洼区市场监管事务服务中心概况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维护个体劳动者、私营企业的合法权益，反映个体劳动者、私营企业的合理意见和要求，提供法律咨询与服务；为消费者协会会员提供服务，做好会员的管理工作；组织个体劳动者开展“三自”教育；组织会员开展诚信服务教育，履行社会责任为经济发展服务。</w:t>
        <w:br/>
        <w:t xml:space="preserve">    （二）向消费者提供消费信息和咨询服务；受理消费者的投诉，并对投诉内容进行调查、调解；维护消费者的合法权益；受理消费者直接投诉或者来电、来访咨询、申诉、举报；分流相关部门转办的投诉、举报案件；并按时反馈案件结果。</w:t>
        <w:br/>
        <w:t xml:space="preserve">    （三）监督实施国家食品药品法定标准和国家基础药物目录，监督实施医疗器械产品标准和产品分类管理目录，监督实施有关保健食品、化妆品的卫生标准、技术和管理规范；负责保健食品、化妆品的消费环节安全管理工作；负责组织开展食品药品安全宣传活动，普及食品药品安全知识；提高消费者的食品安全意识。</w:t>
        <w:br/>
        <w:t xml:space="preserve">    （四）负责贯彻落实国家及省盐业管理的法律、法规和规章。主要是国务院的《盐业管理条例》、《食盐加碘消除碘缺乏危害管理条例》、《食盐专营办法》和《辽宁省盐业管理条例》及国家、省盐业管理的规章和规范性文件。</w:t>
        <w:br/>
        <w:t xml:space="preserve">    （五）负责全区盐产品秤企业、食盐定点批发企业食盐市场的管理服务；负责对食盐市场的稽查相关服务工作。</w:t>
        <w:br/>
        <w:t xml:space="preserve">    （六）承担本辖区量值传递（溯源）工作；为政府计量行政部门实施计量监督提供数据依据和技术保证。</w:t>
        <w:br/>
        <w:t xml:space="preserve">    （七）承担区市场监督管理局交办的其他工作。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辽宁省盘锦市大洼区市场监管事务服务中心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1.盘锦市大洼区市场监管事务服务中心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735.34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735.34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735.34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增加86.15万元，增长13.27%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退休人员丧葬费、补缴职业年金及上年未及时支付费用在本年支付。</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735.34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710.87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96.67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工资福利支出655.28万元；商品和服务支出26.19万元；对个人和家庭的补助29.40万元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24.47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3.33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主要包括人员制式服装和标志、上年车辆追加指标本年使用等业务支出。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增加86.15万元，增长13.27%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退休人员丧葬费、补缴职业年金及上年未及时支付费用在本年支付。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735.34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710.87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24.47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增加86.15万元，增长13.27%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退休人员丧葬费、补缴职业年金及上年未及时支付费用在本年支付。</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112.22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2023年度一般公共预算财政拨款支出735.34万元。按支出功能分类科目分，包括：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1.一般公共服务支出511.27万元，具体包括：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（1）一般公共服务支出（类）市场监督管理事务（款）事业运行（项）486.80万元,主要是人员工资、日常工作运行等支出，完成年初预算的110.52%，决算数与年初预算数存在差异的主要原因是人员增资、基础绩效。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市场监督管理事务（款）其他市场监督管理事务（项）24.47万元,主要是制式服装和标志、上年车辆追加指标本年使用等支出，完成年初预算的100.00%，决算数与年初预算数存在差异的主要原因是上年未及时支付费用在本年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2.社会保障和就业支出144.00万元，具体包括：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12.71万元,主要是退休人员取暖费及独生子女费等支出，完成年初预算的100.24%，决算数与年初预算数存在差异的主要原因是新增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68.24万元,主要是在职人员养老保险单位缴费部分等支出，完成年初预算的100.75%，决算数与年初预算数存在差异的主要原因是社会保险调整缴费基数多付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45.66万元,主要是在职人员职业年金单位缴费部分等支出，完成年初预算的226.71%，决算数与年初预算数存在差异的主要原因是社会保险调整缴费基数多付费用、人员退休补缴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（4）社会保障和就业支出（类）抚恤（款）死亡抚恤（项）15.44万元,主要是退休人员丧葬抚恤金等支出，完成年初预算的100.00%，决算数与年初预算数存在差异的主要原因是有退休人员去世。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1.95万元,主要是失业保险、工伤保险等支出，完成年初预算的92.42%，决算数与年初预算数存在差异的主要原因是人员退休减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3.卫生健康支出28.21万元，具体包括：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（1）卫生健康支出（类）行政事业单位医疗（款）事业单位医疗（项）27.65万元,主要是基本医疗保险单位缴费部分等支出，完成年初预算的93.29%，决算数与年初预算数存在差异的主要原因是人员退休减少支出。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（2）卫生健康支出（类）行政事业单位医疗（款）其他行政事业单位医疗支出（项）0.56万元,主要是大额医疗保险单位缴费部分等支出，完成年初预算的100%，决算数与年初预算数存在差异的主要原因是无。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4.住房保障支出51.86万元，具体包括：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51.86万元,主要是住房公积金单位缴费部分等支出，完成年初预算的102.09%，决算数与年初预算数存在差异的主要原因是公积金调整缴费基数多付费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202.00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上年未及时支付的费用在本年支付</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202.00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上年未及时支付的费用在本年支付</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比上年增加7.17万元，增长244.71%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上年未及时支付的费用在本年支付</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710.87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684.68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26.19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br/>
        <w:t xml:space="preserve">    组织对1个单位开展整体绩效自评，涉及资金655.24万元，自评平均分98.86分。《部门（单位）整体绩效自评表》见附件。</w:t>
        <w:br/>
        <w:t xml:space="preserve">    本部门组织对0 个项目开展了部门评价，涉及资金0万元（其中：一般公共预算资金0万元，政府性基金预算资金0万元，国有资本经营预算资金0万元）。</w:t>
        <w:br/>
        <w:t xml:space="preserve">    2.项目绩效自评结果。</w:t>
        <w:br/>
        <w:t xml:space="preserve">    本部门在2023年度省直部门决算中反映0个项目绩效自评结果。</w:t>
        <w:br/>
        <w:t xml:space="preserve">    3.部门评价结果。</w:t>
        <w:br/>
        <w:t xml:space="preserve">    整体优秀。</w:t>
        <w:br/>
        <w:t xml:space="preserve">    4.财政评价结果。</w:t>
        <w:br/>
        <w:t xml:space="preserve">    继续全额安排，合理分配资金。</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23、一般公共服务支出（类）市场监督管理事务（款） 事业运行（项）：反映事业单位的基本支出，不包括行政单位（包括实行公务员管理的事业单位）后勤服务中心、医务室等附属事业单位。</w:t>
        <w:br/>
        <w:t xml:space="preserve">    24.社会保障和就业支出（类）其他社会保障和就业支出（款）其他社会保障和就业支出（项）：反映除上述项目以外其他用于社会保障和就业方面的支出。</w:t>
        <w:br/>
        <w:t xml:space="preserve">    25.卫生健康支出（类）行政事业单位医疗（款）其他行政事业单位医疗支出（项）：反映除上述项目以外的其他用于行政事业单位医疗方面的支出。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735.34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511.26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144.01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28.21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51.86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735.34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735.34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735.34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735.34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735.34</w:t>
            </w:r>
          </w:p>
        </w:tc>
        <w:tc>
          <w:tcPr>
            <w:tcW w:w="1160" w:type="dxa"/>
            <w:tcBorders/>
            <w:vAlign w:val="center"/>
          </w:tcPr>
          <w:p>
            <w:pPr>
              <w:jc w:val="right"/>
            </w:pPr>
            <w:r>
              <w:rPr>
                <w:rFonts w:ascii="宋体" w:eastAsia="宋体" w:hAnsi="宋体" w:cs="宋体"/>
                <w:b/>
                <w:i w:val="0"/>
                <w:color w:val="000000"/>
                <w:sz w:val="14"/>
              </w:rPr>
              <w:t xml:space="preserve">735.34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511.27</w:t>
            </w:r>
          </w:p>
        </w:tc>
        <w:tc>
          <w:tcPr>
            <w:tcW w:w="1160" w:type="dxa"/>
            <w:tcBorders/>
            <w:vAlign w:val="center"/>
          </w:tcPr>
          <w:p>
            <w:pPr>
              <w:jc w:val="right"/>
            </w:pPr>
            <w:r>
              <w:rPr>
                <w:rFonts w:ascii="宋体" w:eastAsia="宋体" w:hAnsi="宋体" w:cs="宋体"/>
                <w:b w:val="0"/>
                <w:i w:val="0"/>
                <w:color w:val="000000"/>
                <w:sz w:val="14"/>
              </w:rPr>
              <w:t xml:space="preserve">511.27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511.27</w:t>
            </w:r>
          </w:p>
        </w:tc>
        <w:tc>
          <w:tcPr>
            <w:tcW w:w="1160" w:type="dxa"/>
            <w:tcBorders/>
            <w:vAlign w:val="center"/>
          </w:tcPr>
          <w:p>
            <w:pPr>
              <w:jc w:val="right"/>
            </w:pPr>
            <w:r>
              <w:rPr>
                <w:rFonts w:ascii="宋体" w:eastAsia="宋体" w:hAnsi="宋体" w:cs="宋体"/>
                <w:b w:val="0"/>
                <w:i w:val="0"/>
                <w:color w:val="000000"/>
                <w:sz w:val="14"/>
              </w:rPr>
              <w:t xml:space="preserve">511.27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486.80</w:t>
            </w:r>
          </w:p>
        </w:tc>
        <w:tc>
          <w:tcPr>
            <w:tcW w:w="1160" w:type="dxa"/>
            <w:tcBorders/>
            <w:vAlign w:val="center"/>
          </w:tcPr>
          <w:p>
            <w:pPr>
              <w:jc w:val="right"/>
            </w:pPr>
            <w:r>
              <w:rPr>
                <w:rFonts w:ascii="宋体" w:eastAsia="宋体" w:hAnsi="宋体" w:cs="宋体"/>
                <w:b w:val="0"/>
                <w:i w:val="0"/>
                <w:color w:val="000000"/>
                <w:sz w:val="14"/>
              </w:rPr>
              <w:t xml:space="preserve">486.80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其他市场监督管理事务</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144.00</w:t>
            </w:r>
          </w:p>
        </w:tc>
        <w:tc>
          <w:tcPr>
            <w:tcW w:w="1160" w:type="dxa"/>
            <w:tcBorders/>
            <w:vAlign w:val="center"/>
          </w:tcPr>
          <w:p>
            <w:pPr>
              <w:jc w:val="right"/>
            </w:pPr>
            <w:r>
              <w:rPr>
                <w:rFonts w:ascii="宋体" w:eastAsia="宋体" w:hAnsi="宋体" w:cs="宋体"/>
                <w:b w:val="0"/>
                <w:i w:val="0"/>
                <w:color w:val="000000"/>
                <w:sz w:val="14"/>
              </w:rPr>
              <w:t xml:space="preserve">144.00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126.61</w:t>
            </w:r>
          </w:p>
        </w:tc>
        <w:tc>
          <w:tcPr>
            <w:tcW w:w="1160" w:type="dxa"/>
            <w:tcBorders/>
            <w:vAlign w:val="center"/>
          </w:tcPr>
          <w:p>
            <w:pPr>
              <w:jc w:val="right"/>
            </w:pPr>
            <w:r>
              <w:rPr>
                <w:rFonts w:ascii="宋体" w:eastAsia="宋体" w:hAnsi="宋体" w:cs="宋体"/>
                <w:b w:val="0"/>
                <w:i w:val="0"/>
                <w:color w:val="000000"/>
                <w:sz w:val="14"/>
              </w:rPr>
              <w:t xml:space="preserve">126.61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12.71</w:t>
            </w:r>
          </w:p>
        </w:tc>
        <w:tc>
          <w:tcPr>
            <w:tcW w:w="1160" w:type="dxa"/>
            <w:tcBorders/>
            <w:vAlign w:val="center"/>
          </w:tcPr>
          <w:p>
            <w:pPr>
              <w:jc w:val="right"/>
            </w:pPr>
            <w:r>
              <w:rPr>
                <w:rFonts w:ascii="宋体" w:eastAsia="宋体" w:hAnsi="宋体" w:cs="宋体"/>
                <w:b w:val="0"/>
                <w:i w:val="0"/>
                <w:color w:val="000000"/>
                <w:sz w:val="14"/>
              </w:rPr>
              <w:t xml:space="preserve">12.71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68.24</w:t>
            </w:r>
          </w:p>
        </w:tc>
        <w:tc>
          <w:tcPr>
            <w:tcW w:w="1160" w:type="dxa"/>
            <w:tcBorders/>
            <w:vAlign w:val="center"/>
          </w:tcPr>
          <w:p>
            <w:pPr>
              <w:jc w:val="right"/>
            </w:pPr>
            <w:r>
              <w:rPr>
                <w:rFonts w:ascii="宋体" w:eastAsia="宋体" w:hAnsi="宋体" w:cs="宋体"/>
                <w:b w:val="0"/>
                <w:i w:val="0"/>
                <w:color w:val="000000"/>
                <w:sz w:val="14"/>
              </w:rPr>
              <w:t xml:space="preserve">68.24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45.66</w:t>
            </w:r>
          </w:p>
        </w:tc>
        <w:tc>
          <w:tcPr>
            <w:tcW w:w="1160" w:type="dxa"/>
            <w:tcBorders/>
            <w:vAlign w:val="center"/>
          </w:tcPr>
          <w:p>
            <w:pPr>
              <w:jc w:val="right"/>
            </w:pPr>
            <w:r>
              <w:rPr>
                <w:rFonts w:ascii="宋体" w:eastAsia="宋体" w:hAnsi="宋体" w:cs="宋体"/>
                <w:b w:val="0"/>
                <w:i w:val="0"/>
                <w:color w:val="000000"/>
                <w:sz w:val="14"/>
              </w:rPr>
              <w:t xml:space="preserve">45.66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28.21</w:t>
            </w:r>
          </w:p>
        </w:tc>
        <w:tc>
          <w:tcPr>
            <w:tcW w:w="1160" w:type="dxa"/>
            <w:tcBorders/>
            <w:vAlign w:val="center"/>
          </w:tcPr>
          <w:p>
            <w:pPr>
              <w:jc w:val="right"/>
            </w:pPr>
            <w:r>
              <w:rPr>
                <w:rFonts w:ascii="宋体" w:eastAsia="宋体" w:hAnsi="宋体" w:cs="宋体"/>
                <w:b w:val="0"/>
                <w:i w:val="0"/>
                <w:color w:val="000000"/>
                <w:sz w:val="14"/>
              </w:rPr>
              <w:t xml:space="preserve">28.21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28.21</w:t>
            </w:r>
          </w:p>
        </w:tc>
        <w:tc>
          <w:tcPr>
            <w:tcW w:w="1160" w:type="dxa"/>
            <w:tcBorders/>
            <w:vAlign w:val="center"/>
          </w:tcPr>
          <w:p>
            <w:pPr>
              <w:jc w:val="right"/>
            </w:pPr>
            <w:r>
              <w:rPr>
                <w:rFonts w:ascii="宋体" w:eastAsia="宋体" w:hAnsi="宋体" w:cs="宋体"/>
                <w:b w:val="0"/>
                <w:i w:val="0"/>
                <w:color w:val="000000"/>
                <w:sz w:val="14"/>
              </w:rPr>
              <w:t xml:space="preserve">28.21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27.65</w:t>
            </w:r>
          </w:p>
        </w:tc>
        <w:tc>
          <w:tcPr>
            <w:tcW w:w="1160" w:type="dxa"/>
            <w:tcBorders/>
            <w:vAlign w:val="center"/>
          </w:tcPr>
          <w:p>
            <w:pPr>
              <w:jc w:val="right"/>
            </w:pPr>
            <w:r>
              <w:rPr>
                <w:rFonts w:ascii="宋体" w:eastAsia="宋体" w:hAnsi="宋体" w:cs="宋体"/>
                <w:b w:val="0"/>
                <w:i w:val="0"/>
                <w:color w:val="000000"/>
                <w:sz w:val="14"/>
              </w:rPr>
              <w:t xml:space="preserve">27.65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jc w:val="right"/>
            </w:pPr>
            <w:r>
              <w:rPr>
                <w:rFonts w:ascii="宋体" w:eastAsia="宋体" w:hAnsi="宋体" w:cs="宋体"/>
                <w:b w:val="0"/>
                <w:i w:val="0"/>
                <w:color w:val="000000"/>
                <w:sz w:val="14"/>
              </w:rPr>
              <w:t xml:space="preserve">51.86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735.34</w:t>
            </w:r>
          </w:p>
        </w:tc>
        <w:tc>
          <w:tcPr>
            <w:tcW w:w="1120" w:type="dxa"/>
            <w:tcBorders/>
            <w:vAlign w:val="center"/>
          </w:tcPr>
          <w:p>
            <w:pPr>
              <w:jc w:val="right"/>
            </w:pPr>
            <w:r>
              <w:rPr>
                <w:rFonts w:ascii="宋体" w:eastAsia="宋体" w:hAnsi="宋体" w:cs="宋体"/>
                <w:b/>
                <w:i w:val="0"/>
                <w:color w:val="000000"/>
                <w:sz w:val="16"/>
              </w:rPr>
              <w:t xml:space="preserve">710.87</w:t>
            </w:r>
          </w:p>
        </w:tc>
        <w:tc>
          <w:tcPr>
            <w:tcW w:w="1120" w:type="dxa"/>
            <w:tcBorders/>
            <w:vAlign w:val="center"/>
          </w:tcPr>
          <w:p>
            <w:pPr>
              <w:jc w:val="right"/>
            </w:pPr>
            <w:r>
              <w:rPr>
                <w:rFonts w:ascii="宋体" w:eastAsia="宋体" w:hAnsi="宋体" w:cs="宋体"/>
                <w:b/>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511.27</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511.27</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其他市场监督管理事务</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144.00</w:t>
            </w:r>
          </w:p>
        </w:tc>
        <w:tc>
          <w:tcPr>
            <w:tcW w:w="1120" w:type="dxa"/>
            <w:tcBorders/>
            <w:vAlign w:val="center"/>
          </w:tcPr>
          <w:p>
            <w:pPr>
              <w:jc w:val="right"/>
            </w:pPr>
            <w:r>
              <w:rPr>
                <w:rFonts w:ascii="宋体" w:eastAsia="宋体" w:hAnsi="宋体" w:cs="宋体"/>
                <w:b w:val="0"/>
                <w:i w:val="0"/>
                <w:color w:val="000000"/>
                <w:sz w:val="16"/>
              </w:rPr>
              <w:t xml:space="preserve">144.00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126.61</w:t>
            </w:r>
          </w:p>
        </w:tc>
        <w:tc>
          <w:tcPr>
            <w:tcW w:w="1120" w:type="dxa"/>
            <w:tcBorders/>
            <w:vAlign w:val="center"/>
          </w:tcPr>
          <w:p>
            <w:pPr>
              <w:jc w:val="right"/>
            </w:pPr>
            <w:r>
              <w:rPr>
                <w:rFonts w:ascii="宋体" w:eastAsia="宋体" w:hAnsi="宋体" w:cs="宋体"/>
                <w:b w:val="0"/>
                <w:i w:val="0"/>
                <w:color w:val="000000"/>
                <w:sz w:val="16"/>
              </w:rPr>
              <w:t xml:space="preserve">126.61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12.71</w:t>
            </w:r>
          </w:p>
        </w:tc>
        <w:tc>
          <w:tcPr>
            <w:tcW w:w="1120" w:type="dxa"/>
            <w:tcBorders/>
            <w:vAlign w:val="center"/>
          </w:tcPr>
          <w:p>
            <w:pPr>
              <w:jc w:val="right"/>
            </w:pPr>
            <w:r>
              <w:rPr>
                <w:rFonts w:ascii="宋体" w:eastAsia="宋体" w:hAnsi="宋体" w:cs="宋体"/>
                <w:b w:val="0"/>
                <w:i w:val="0"/>
                <w:color w:val="000000"/>
                <w:sz w:val="16"/>
              </w:rPr>
              <w:t xml:space="preserve">12.71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68.24</w:t>
            </w:r>
          </w:p>
        </w:tc>
        <w:tc>
          <w:tcPr>
            <w:tcW w:w="1120" w:type="dxa"/>
            <w:tcBorders/>
            <w:vAlign w:val="center"/>
          </w:tcPr>
          <w:p>
            <w:pPr>
              <w:jc w:val="right"/>
            </w:pPr>
            <w:r>
              <w:rPr>
                <w:rFonts w:ascii="宋体" w:eastAsia="宋体" w:hAnsi="宋体" w:cs="宋体"/>
                <w:b w:val="0"/>
                <w:i w:val="0"/>
                <w:color w:val="000000"/>
                <w:sz w:val="16"/>
              </w:rPr>
              <w:t xml:space="preserve">68.24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45.66</w:t>
            </w:r>
          </w:p>
        </w:tc>
        <w:tc>
          <w:tcPr>
            <w:tcW w:w="1120" w:type="dxa"/>
            <w:tcBorders/>
            <w:vAlign w:val="center"/>
          </w:tcPr>
          <w:p>
            <w:pPr>
              <w:jc w:val="right"/>
            </w:pPr>
            <w:r>
              <w:rPr>
                <w:rFonts w:ascii="宋体" w:eastAsia="宋体" w:hAnsi="宋体" w:cs="宋体"/>
                <w:b w:val="0"/>
                <w:i w:val="0"/>
                <w:color w:val="000000"/>
                <w:sz w:val="16"/>
              </w:rPr>
              <w:t xml:space="preserve">45.66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28.21</w:t>
            </w:r>
          </w:p>
        </w:tc>
        <w:tc>
          <w:tcPr>
            <w:tcW w:w="1120" w:type="dxa"/>
            <w:tcBorders/>
            <w:vAlign w:val="center"/>
          </w:tcPr>
          <w:p>
            <w:pPr>
              <w:jc w:val="right"/>
            </w:pPr>
            <w:r>
              <w:rPr>
                <w:rFonts w:ascii="宋体" w:eastAsia="宋体" w:hAnsi="宋体" w:cs="宋体"/>
                <w:b w:val="0"/>
                <w:i w:val="0"/>
                <w:color w:val="000000"/>
                <w:sz w:val="16"/>
              </w:rPr>
              <w:t xml:space="preserve">28.21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28.21</w:t>
            </w:r>
          </w:p>
        </w:tc>
        <w:tc>
          <w:tcPr>
            <w:tcW w:w="1120" w:type="dxa"/>
            <w:tcBorders/>
            <w:vAlign w:val="center"/>
          </w:tcPr>
          <w:p>
            <w:pPr>
              <w:jc w:val="right"/>
            </w:pPr>
            <w:r>
              <w:rPr>
                <w:rFonts w:ascii="宋体" w:eastAsia="宋体" w:hAnsi="宋体" w:cs="宋体"/>
                <w:b w:val="0"/>
                <w:i w:val="0"/>
                <w:color w:val="000000"/>
                <w:sz w:val="16"/>
              </w:rPr>
              <w:t xml:space="preserve">28.21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27.65</w:t>
            </w:r>
          </w:p>
        </w:tc>
        <w:tc>
          <w:tcPr>
            <w:tcW w:w="1120" w:type="dxa"/>
            <w:tcBorders/>
            <w:vAlign w:val="center"/>
          </w:tcPr>
          <w:p>
            <w:pPr>
              <w:jc w:val="right"/>
            </w:pPr>
            <w:r>
              <w:rPr>
                <w:rFonts w:ascii="宋体" w:eastAsia="宋体" w:hAnsi="宋体" w:cs="宋体"/>
                <w:b w:val="0"/>
                <w:i w:val="0"/>
                <w:color w:val="000000"/>
                <w:sz w:val="16"/>
              </w:rPr>
              <w:t xml:space="preserve">27.65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jc w:val="right"/>
            </w:pPr>
            <w:r>
              <w:rPr>
                <w:rFonts w:ascii="宋体" w:eastAsia="宋体" w:hAnsi="宋体" w:cs="宋体"/>
                <w:b w:val="0"/>
                <w:i w:val="0"/>
                <w:color w:val="000000"/>
                <w:sz w:val="16"/>
              </w:rPr>
              <w:t xml:space="preserve">51.86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511.26</w:t>
            </w:r>
          </w:p>
        </w:tc>
        <w:tc>
          <w:tcPr>
            <w:tcW w:w="1100" w:type="dxa"/>
            <w:tcBorders/>
            <w:vAlign w:val="center"/>
          </w:tcPr>
          <w:p>
            <w:pPr>
              <w:jc w:val="right"/>
            </w:pPr>
            <w:r>
              <w:rPr>
                <w:rFonts w:ascii="宋体" w:eastAsia="宋体" w:hAnsi="宋体" w:cs="宋体"/>
                <w:b w:val="0"/>
                <w:i w:val="0"/>
                <w:color w:val="000000"/>
                <w:sz w:val="14"/>
              </w:rPr>
              <w:t xml:space="preserve">511.26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144.01</w:t>
            </w:r>
          </w:p>
        </w:tc>
        <w:tc>
          <w:tcPr>
            <w:tcW w:w="1100" w:type="dxa"/>
            <w:tcBorders/>
            <w:vAlign w:val="center"/>
          </w:tcPr>
          <w:p>
            <w:pPr>
              <w:jc w:val="right"/>
            </w:pPr>
            <w:r>
              <w:rPr>
                <w:rFonts w:ascii="宋体" w:eastAsia="宋体" w:hAnsi="宋体" w:cs="宋体"/>
                <w:b w:val="0"/>
                <w:i w:val="0"/>
                <w:color w:val="000000"/>
                <w:sz w:val="14"/>
              </w:rPr>
              <w:t xml:space="preserve">144.01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28.21</w:t>
            </w:r>
          </w:p>
        </w:tc>
        <w:tc>
          <w:tcPr>
            <w:tcW w:w="1100" w:type="dxa"/>
            <w:tcBorders/>
            <w:vAlign w:val="center"/>
          </w:tcPr>
          <w:p>
            <w:pPr>
              <w:jc w:val="right"/>
            </w:pPr>
            <w:r>
              <w:rPr>
                <w:rFonts w:ascii="宋体" w:eastAsia="宋体" w:hAnsi="宋体" w:cs="宋体"/>
                <w:b w:val="0"/>
                <w:i w:val="0"/>
                <w:color w:val="000000"/>
                <w:sz w:val="14"/>
              </w:rPr>
              <w:t xml:space="preserve">28.21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51.86</w:t>
            </w:r>
          </w:p>
        </w:tc>
        <w:tc>
          <w:tcPr>
            <w:tcW w:w="1100" w:type="dxa"/>
            <w:tcBorders/>
            <w:vAlign w:val="center"/>
          </w:tcPr>
          <w:p>
            <w:pPr>
              <w:jc w:val="right"/>
            </w:pPr>
            <w:r>
              <w:rPr>
                <w:rFonts w:ascii="宋体" w:eastAsia="宋体" w:hAnsi="宋体" w:cs="宋体"/>
                <w:b w:val="0"/>
                <w:i w:val="0"/>
                <w:color w:val="000000"/>
                <w:sz w:val="14"/>
              </w:rPr>
              <w:t xml:space="preserve">51.86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1100" w:type="dxa"/>
            <w:tcBorders/>
            <w:vAlign w:val="center"/>
          </w:tcPr>
          <w:p>
            <w:pPr>
              <w:jc w:val="right"/>
            </w:pPr>
            <w:r>
              <w:rPr>
                <w:rFonts w:ascii="宋体" w:eastAsia="宋体" w:hAnsi="宋体" w:cs="宋体"/>
                <w:b w:val="0"/>
                <w:i w:val="0"/>
                <w:color w:val="000000"/>
                <w:sz w:val="14"/>
              </w:rPr>
              <w:t xml:space="preserve">735.34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735.34</w:t>
            </w:r>
          </w:p>
        </w:tc>
        <w:tc>
          <w:tcPr>
            <w:tcW w:w="1980" w:type="dxa"/>
            <w:tcBorders/>
            <w:vAlign w:val="center"/>
          </w:tcPr>
          <w:p>
            <w:pPr>
              <w:jc w:val="right"/>
            </w:pPr>
            <w:r>
              <w:rPr>
                <w:rFonts w:ascii="宋体" w:eastAsia="宋体" w:hAnsi="宋体" w:cs="宋体"/>
                <w:b/>
                <w:i w:val="0"/>
                <w:color w:val="000000"/>
                <w:sz w:val="20"/>
              </w:rPr>
              <w:t xml:space="preserve">710.87</w:t>
            </w:r>
          </w:p>
        </w:tc>
        <w:tc>
          <w:tcPr>
            <w:tcW w:w="1952" w:type="dxa"/>
            <w:tcBorders/>
            <w:vAlign w:val="center"/>
          </w:tcPr>
          <w:p>
            <w:pPr>
              <w:jc w:val="right"/>
            </w:pPr>
            <w:r>
              <w:rPr>
                <w:rFonts w:ascii="宋体" w:eastAsia="宋体" w:hAnsi="宋体" w:cs="宋体"/>
                <w:b/>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511.27</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511.27</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其他市场监督管理事务</w:t>
            </w:r>
          </w:p>
        </w:tc>
        <w:tc>
          <w:tcPr>
            <w:tcW w:w="1980" w:type="dxa"/>
            <w:tcBorders/>
            <w:vAlign w:val="center"/>
          </w:tcPr>
          <w:p>
            <w:pPr>
              <w:jc w:val="right"/>
            </w:pPr>
            <w:r>
              <w:rPr>
                <w:rFonts w:ascii="宋体" w:eastAsia="宋体" w:hAnsi="宋体" w:cs="宋体"/>
                <w:b w:val="0"/>
                <w:i w:val="0"/>
                <w:color w:val="000000"/>
                <w:sz w:val="20"/>
              </w:rPr>
              <w:t xml:space="preserve">24.47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144.00</w:t>
            </w:r>
          </w:p>
        </w:tc>
        <w:tc>
          <w:tcPr>
            <w:tcW w:w="1980" w:type="dxa"/>
            <w:tcBorders/>
            <w:vAlign w:val="center"/>
          </w:tcPr>
          <w:p>
            <w:pPr>
              <w:jc w:val="right"/>
            </w:pPr>
            <w:r>
              <w:rPr>
                <w:rFonts w:ascii="宋体" w:eastAsia="宋体" w:hAnsi="宋体" w:cs="宋体"/>
                <w:b w:val="0"/>
                <w:i w:val="0"/>
                <w:color w:val="000000"/>
                <w:sz w:val="20"/>
              </w:rPr>
              <w:t xml:space="preserve">144.00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126.61</w:t>
            </w:r>
          </w:p>
        </w:tc>
        <w:tc>
          <w:tcPr>
            <w:tcW w:w="1980" w:type="dxa"/>
            <w:tcBorders/>
            <w:vAlign w:val="center"/>
          </w:tcPr>
          <w:p>
            <w:pPr>
              <w:jc w:val="right"/>
            </w:pPr>
            <w:r>
              <w:rPr>
                <w:rFonts w:ascii="宋体" w:eastAsia="宋体" w:hAnsi="宋体" w:cs="宋体"/>
                <w:b w:val="0"/>
                <w:i w:val="0"/>
                <w:color w:val="000000"/>
                <w:sz w:val="20"/>
              </w:rPr>
              <w:t xml:space="preserve">126.61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12.71</w:t>
            </w:r>
          </w:p>
        </w:tc>
        <w:tc>
          <w:tcPr>
            <w:tcW w:w="1980" w:type="dxa"/>
            <w:tcBorders/>
            <w:vAlign w:val="center"/>
          </w:tcPr>
          <w:p>
            <w:pPr>
              <w:jc w:val="right"/>
            </w:pPr>
            <w:r>
              <w:rPr>
                <w:rFonts w:ascii="宋体" w:eastAsia="宋体" w:hAnsi="宋体" w:cs="宋体"/>
                <w:b w:val="0"/>
                <w:i w:val="0"/>
                <w:color w:val="000000"/>
                <w:sz w:val="20"/>
              </w:rPr>
              <w:t xml:space="preserve">12.71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68.24</w:t>
            </w:r>
          </w:p>
        </w:tc>
        <w:tc>
          <w:tcPr>
            <w:tcW w:w="1980" w:type="dxa"/>
            <w:tcBorders/>
            <w:vAlign w:val="center"/>
          </w:tcPr>
          <w:p>
            <w:pPr>
              <w:jc w:val="right"/>
            </w:pPr>
            <w:r>
              <w:rPr>
                <w:rFonts w:ascii="宋体" w:eastAsia="宋体" w:hAnsi="宋体" w:cs="宋体"/>
                <w:b w:val="0"/>
                <w:i w:val="0"/>
                <w:color w:val="000000"/>
                <w:sz w:val="20"/>
              </w:rPr>
              <w:t xml:space="preserve">68.24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45.66</w:t>
            </w:r>
          </w:p>
        </w:tc>
        <w:tc>
          <w:tcPr>
            <w:tcW w:w="1980" w:type="dxa"/>
            <w:tcBorders/>
            <w:vAlign w:val="center"/>
          </w:tcPr>
          <w:p>
            <w:pPr>
              <w:jc w:val="right"/>
            </w:pPr>
            <w:r>
              <w:rPr>
                <w:rFonts w:ascii="宋体" w:eastAsia="宋体" w:hAnsi="宋体" w:cs="宋体"/>
                <w:b w:val="0"/>
                <w:i w:val="0"/>
                <w:color w:val="000000"/>
                <w:sz w:val="20"/>
              </w:rPr>
              <w:t xml:space="preserve">45.66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28.21</w:t>
            </w:r>
          </w:p>
        </w:tc>
        <w:tc>
          <w:tcPr>
            <w:tcW w:w="1980" w:type="dxa"/>
            <w:tcBorders/>
            <w:vAlign w:val="center"/>
          </w:tcPr>
          <w:p>
            <w:pPr>
              <w:jc w:val="right"/>
            </w:pPr>
            <w:r>
              <w:rPr>
                <w:rFonts w:ascii="宋体" w:eastAsia="宋体" w:hAnsi="宋体" w:cs="宋体"/>
                <w:b w:val="0"/>
                <w:i w:val="0"/>
                <w:color w:val="000000"/>
                <w:sz w:val="20"/>
              </w:rPr>
              <w:t xml:space="preserve">28.21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28.21</w:t>
            </w:r>
          </w:p>
        </w:tc>
        <w:tc>
          <w:tcPr>
            <w:tcW w:w="1980" w:type="dxa"/>
            <w:tcBorders/>
            <w:vAlign w:val="center"/>
          </w:tcPr>
          <w:p>
            <w:pPr>
              <w:jc w:val="right"/>
            </w:pPr>
            <w:r>
              <w:rPr>
                <w:rFonts w:ascii="宋体" w:eastAsia="宋体" w:hAnsi="宋体" w:cs="宋体"/>
                <w:b w:val="0"/>
                <w:i w:val="0"/>
                <w:color w:val="000000"/>
                <w:sz w:val="20"/>
              </w:rPr>
              <w:t xml:space="preserve">28.21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27.65</w:t>
            </w:r>
          </w:p>
        </w:tc>
        <w:tc>
          <w:tcPr>
            <w:tcW w:w="1980" w:type="dxa"/>
            <w:tcBorders/>
            <w:vAlign w:val="center"/>
          </w:tcPr>
          <w:p>
            <w:pPr>
              <w:jc w:val="right"/>
            </w:pPr>
            <w:r>
              <w:rPr>
                <w:rFonts w:ascii="宋体" w:eastAsia="宋体" w:hAnsi="宋体" w:cs="宋体"/>
                <w:b w:val="0"/>
                <w:i w:val="0"/>
                <w:color w:val="000000"/>
                <w:sz w:val="20"/>
              </w:rPr>
              <w:t xml:space="preserve">27.65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80" w:type="dxa"/>
            <w:tcBorders/>
            <w:vAlign w:val="center"/>
          </w:tcPr>
          <w:p>
            <w:pPr>
              <w:jc w:val="right"/>
            </w:pPr>
            <w:r>
              <w:rPr>
                <w:rFonts w:ascii="宋体" w:eastAsia="宋体" w:hAnsi="宋体" w:cs="宋体"/>
                <w:b w:val="0"/>
                <w:i w:val="0"/>
                <w:color w:val="000000"/>
                <w:sz w:val="20"/>
              </w:rPr>
              <w:t xml:space="preserve">51.86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655.28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26.19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264.61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7.82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17.38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3.47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177.38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68.24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45.66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27.65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51.86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2.76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29.40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12.35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6.50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15.44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5.10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684.68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26.19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10.10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10.10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10.10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018002盘锦市大洼区市场监管事务服务中心-211104000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48.02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48.02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对投诉内容进行调查、调解，维护消费者的合法权益；计量的量值传递工作的全域性，确保区域内计量器具的准确性。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2023年在投诉方面为零投诉，在计量方面完成了全区域检测工作，全年共检定各类计量器具12850件，良好的维护了消费者权益。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112.22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17.32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0.464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主要是以前年度基础绩效、退休人员补缴年金、人员晋升工资、人员公积金保险基数统一调整补差等。</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人员保障:对于以前年度基础绩效、退休人员补缴年金、人员晋升工资、人员公积金保险基数统一调整补差等原因做好充分预估，及时申报。</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服务被投诉率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建立内控业务流程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建立完成</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98.86</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