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辽宁省盘锦市大洼区商务局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辽宁省盘锦市大洼区商务局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辽宁省盘锦市大洼区商务局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辽宁省盘锦市大洼区商务局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辽宁省盘锦市大洼区商务局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辽宁省盘锦市大洼区商务局概况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（一）贯彻执行国家、省、市关于国内外贸易和国际经济合作的方针政策和法律法规；研究经济全球化、对外经济合作、现代流通方式的发展趋势和流通体制改革并提出建议。</w:t>
        <w:br/>
        <w:t xml:space="preserve">    （二）负责推进流通产业结构调整，指导流通企业改革、商贸服务业发展，提出促进商贸中小企业发展的政策建议，推动流通标准化和连锁经营、商业特许经营、物流配送、电子商务等现代流通方式的发展。负责分析汇总全区商贸业发展情况、发展动态和运行趋势。负责内外贸行业人才队伍建设，协调开展行业培训。</w:t>
        <w:br/>
        <w:t xml:space="preserve">    （三）拟订区内贸易发展规划，促进城乡市场发展，研究提出引导资金投向市场体系建设的政策，指导商品现货市场规范发展和城区商业网点规划、商业体系建设工作，推进农村市场和农产品流通体系建设，组织实施农村现代流通网络工程。</w:t>
        <w:br/>
        <w:t xml:space="preserve">    （四）承担牵头协调整顿和规范市场经济秩序工作的责任，拟订规范市场运行、流通秩序的政策，推动商务领域信用建设，指导商业信用销售，按有关规定对特殊流通行业进行监督管理，拟订全区电子商务发展规划和政策措施并组织实施，完善电子商务服务体系建设，推动电子商务的应用和发展。</w:t>
        <w:br/>
        <w:t xml:space="preserve">    （五）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br/>
        <w:t xml:space="preserve">    （六）拟订全区对外贸易发展规划，推进全区对外贸易发展体系和新业态建设，执行国家进出口商品管理办法和进出口管理商品、技术目录，拟订促进外贸增长方式转变的政策措施，拟订全区进出口年度计划并组织实施。组织指导全市开拓国际市场贸易促进活动，拟订全区外贸出口基地发展规划和相关政策并组织实施。负责全区外贸企业管理、对外贸易综合统计，分析全区进出口运行情况。</w:t>
        <w:br/>
        <w:t xml:space="preserve">    （七）执行国家对外技术贸易、出口管制以及鼓励技术和成套设备进出口的贸易政策，推进进出口贸易标准化工作，依法监督技术引进、设备进口、国家限制出口技术的工作。</w:t>
        <w:br/>
        <w:t xml:space="preserve">    （八）负责服务业集聚区规划建设和推动重大服务业项目建设。</w:t>
        <w:br/>
        <w:t xml:space="preserve">    （九）负责联系盘锦异地商会、商贸流通行业协会、企业联合会，推动商贸流通行业管理和行业自律。</w:t>
        <w:br/>
        <w:t xml:space="preserve">    （十）贯彻执行国家有关区域经济合作的方针政策和法律法规，拟定区域经济合作的政策措施，推进区域经济合作和经济技术交流工作。</w:t>
        <w:br/>
        <w:t xml:space="preserve">    （十一）宏观指导全区外商投资工作，按规定初审外商投资企业，执行有关法律法规情况。</w:t>
        <w:br/>
        <w:t xml:space="preserve">    （十二）负责全区对外经济合作工作，执行国家和省市促进对外经济合作的政策措施，贯彻执行国家和省市对外投资的管理、管理办法和具体政策。</w:t>
        <w:br/>
        <w:t xml:space="preserve">    （十三）按权限负责全区因公出国（境）团组的初审和商贸来访团组接待工作。</w:t>
        <w:br/>
        <w:t xml:space="preserve">    （十四）围绕经济建设和对外开放工作开展调查研究，提出我区对外工作的意见和建议，利用对外交往渠道，为全区的经济建设和社会发展服务。</w:t>
        <w:br/>
        <w:t xml:space="preserve">    （十五）贯彻执行国家外交方针政策和有关涉外法律法规，利用对外交往渠道，服务本地经济建设和对外开放；拓展国际友城交流及与国际组织交往渠道，扩大国际交流，构建参与国际合作平台，广泛开展对外宣传，促进经济、教育、科技、文化和人才的国际合作，推动开放型经济发展。</w:t>
        <w:br/>
        <w:t xml:space="preserve">    （十六）加强涉外管理，负责组织或配合接待来访本区的重要外宾；负责境外其他组织在本区活动的管理及协调工作；协助相关部门处理涉外事件；负责本区与外国友好城区以及其他结好单位的交往活动。</w:t>
        <w:br/>
        <w:t xml:space="preserve">    （十七）完成区委、区政府和区委外事工作委员会交办的其他任务。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辽宁省盘锦市大洼区商务局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1.盘锦市大洼区商务局本级</w:t>
        <w:br/>
        <w:t xml:space="preserve">    2.盘锦市大洼区商贸服务中心本级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1026.77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1026.76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1026.76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增加151.76万元，增长17.34%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本年度项目支出增加，业务活动增加，人员发生变动</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1026.76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370.55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36.09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工资福利支出346.00万元；商品和服务支出21.60万元；对个人和家庭的补助2.22万元；资本性支出0.74万元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656.21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63.91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主要包括中央财政外经贸发展专项资金、2022年省全面开放专项资金、疫情防控工作经费等业务支出。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增加151.76万元，增长17.34%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主要是收支平衡等原因形成的结余。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1026.76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370.55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656.21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增加154.97万元，增长17.78%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本年度项目支出增加，业务活动费用增加，人员存在变动</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188.47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107.47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328.11</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2023年度一般公共预算财政拨款支出1026.76万元。按支出功能分类科目分，包括：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1.一般公共服务支出283.50万元，具体包括：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商贸事务（款）行政运行（项）78.05万元,主要是工资福利、商品和服务等支出，完成年初预算的107.34%，决算数与年初预算数存在差异的主要原因是本年度人员发生变动，业务活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（2）一般公共服务支出（类）商贸事务（款）招商引资（项）3.52万元,主要是商品和服务等支出，完成年初预算的3.5%，决算数与年初预算数存在差异的主要原因是本年度招商费用减少。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（3）一般公共服务支出（类）商贸事务（款）事业运行（项）201.93万元,主要是工资福利、商品和服务等支出，完成年初预算的107.18%，决算数与年初预算数存在差异的主要原因是本年度业务活动增加。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2.社会保障和就业支出44.88万元，具体包括：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（1）社会保障和就业支出（类）行政事业单位养老支出（款）事业单位离退休（项）1.74万元,主要是对个人和家庭的补助等支出，完成年初预算的100%，决算数与年初预算数存在差异的主要原因是无差异。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38.52万元,主要是工资福利等支出，完成年初预算的104.67%，决算数与年初预算数存在差异的主要原因是本年度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4.06万元,主要是工资福利等支出，完成年初预算的0%，决算数与年初预算数存在差异的主要原因是本年度机关事业单位职业年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0.56万元,主要是工资福利等支出，完成年初预算的0%，决算数与年初预算数存在差异的主要原因是本年度工伤保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3.卫生健康支出486.92万元，具体包括：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471.47万元,主要是商品和服务、对个人和家庭的补助等支出，完成年初预算的0%，决算数与年初预算数存在差异的主要原因是本年度新增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（2）卫生健康支出（类）行政事业单位医疗（款）行政单位医疗（项）3.81万元,主要是工资福利等支出，完成年初预算的86.79%，决算数与年初预算数存在差异的主要原因是本年度人员发生变动。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（3）卫生健康支出（类）行政事业单位医疗（款）事业单位医疗（项）11.43万元,主要是工资福利等支出，完成年初预算的93.76%，决算数与年初预算数存在差异的主要原因是本年度人员发生变动。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（4）卫生健康支出（类）行政事业单位医疗（款）其他行政事业单位医疗支出（项）0.21万元,主要是工资福利等支出，完成年初预算的100%，决算数与年初预算数存在差异的主要原因是无差异。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4.商业服务业等支出181.61万元，具体包括：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（1）商业服务业等支出（类）商业流通事务（款）事业运行（项）0.00万元,主要是不涉及等支出，完成年初预算的0%，决算数与年初预算数存在差异的主要原因是无差异。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商业服务业等支出（类）商业流通事务（款）其他商业流通事务支出（项）47.05万元,主要是中央财政外经贸发展专项资金等支出，完成年初预算的0%，决算数与年初预算数存在差异的主要原因是本年度新增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商业服务业等支出（类）涉外发展服务支出（款）其他涉外发展服务支出（项）134.56万元,主要是2022年省全面开放专项资金等支出，完成年初预算的0%，决算数与年初预算数存在差异的主要原因是本年度新增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5.住房保障支出29.85万元，具体包括：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（1）住房保障支出（类）住房改革支出（款）住房公积金（项）29.85万元,主要是工作福利等支出，完成年初预算的105.4%，决算数与年初预算数存在差异的主要原因是本年度基数发生调整。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2.50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本年度收支平衡</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2.50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不涉及此项业务</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不涉及此项业务</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不涉及此项业务</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不涉及此项业务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2.50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本年度收支平衡</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比上年增加0.38万元，增长17.92%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本年度业务活动增加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2.50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370.56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348.22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22.34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10.39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比上年增加3.47万元，增长50.14%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本年度业务活动增加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今年，在区委、区政府的正确领导下，全区商务系统坚持以习近平新时代中国特色社会主义思想为指导，紧紧围绕稳外资、稳外贸、扩消费，积极应对风险挑战，确保商务工作取得实效。</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16.一般公共服务支出（类）商贸事务（款） 行政运行（项）：反映行政单位(包括实行公务员管理的事业单位)的基本支出。</w:t>
        <w:br/>
        <w:t xml:space="preserve">17.一般公共服务支出（类）商贸事务（款）一般行政管理事务（项）：反映行政单位(包括实行公务员管理的事业单位)未单独设置项级科目的其他项目支出。</w:t>
        <w:br/>
        <w:t xml:space="preserve">18.一般公共服务支出（类）商贸事务（款） 事业运行（项）：反映事业单位单位的基本支出。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1,026.76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283.51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44.88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486.92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jc w:val="right"/>
            </w:pPr>
            <w:r>
              <w:rPr>
                <w:rFonts w:ascii="宋体" w:eastAsia="宋体" w:hAnsi="宋体" w:cs="宋体"/>
                <w:b w:val="0"/>
                <w:i w:val="0"/>
                <w:color w:val="000000"/>
                <w:sz w:val="18"/>
              </w:rPr>
              <w:t xml:space="preserve">181.61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29.85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1,026.76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1,026.76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1,026.77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1,026.77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1,026.76</w:t>
            </w:r>
          </w:p>
        </w:tc>
        <w:tc>
          <w:tcPr>
            <w:tcW w:w="1160" w:type="dxa"/>
            <w:tcBorders/>
            <w:vAlign w:val="center"/>
          </w:tcPr>
          <w:p>
            <w:pPr>
              <w:jc w:val="right"/>
            </w:pPr>
            <w:r>
              <w:rPr>
                <w:rFonts w:ascii="宋体" w:eastAsia="宋体" w:hAnsi="宋体" w:cs="宋体"/>
                <w:b/>
                <w:i w:val="0"/>
                <w:color w:val="000000"/>
                <w:sz w:val="14"/>
              </w:rPr>
              <w:t xml:space="preserve">1,026.76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283.50</w:t>
            </w:r>
          </w:p>
        </w:tc>
        <w:tc>
          <w:tcPr>
            <w:tcW w:w="1160" w:type="dxa"/>
            <w:tcBorders/>
            <w:vAlign w:val="center"/>
          </w:tcPr>
          <w:p>
            <w:pPr>
              <w:jc w:val="right"/>
            </w:pPr>
            <w:r>
              <w:rPr>
                <w:rFonts w:ascii="宋体" w:eastAsia="宋体" w:hAnsi="宋体" w:cs="宋体"/>
                <w:b w:val="0"/>
                <w:i w:val="0"/>
                <w:color w:val="000000"/>
                <w:sz w:val="14"/>
              </w:rPr>
              <w:t xml:space="preserve">283.50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283.50</w:t>
            </w:r>
          </w:p>
        </w:tc>
        <w:tc>
          <w:tcPr>
            <w:tcW w:w="1160" w:type="dxa"/>
            <w:tcBorders/>
            <w:vAlign w:val="center"/>
          </w:tcPr>
          <w:p>
            <w:pPr>
              <w:jc w:val="right"/>
            </w:pPr>
            <w:r>
              <w:rPr>
                <w:rFonts w:ascii="宋体" w:eastAsia="宋体" w:hAnsi="宋体" w:cs="宋体"/>
                <w:b w:val="0"/>
                <w:i w:val="0"/>
                <w:color w:val="000000"/>
                <w:sz w:val="14"/>
              </w:rPr>
              <w:t xml:space="preserve">283.50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78.05</w:t>
            </w:r>
          </w:p>
        </w:tc>
        <w:tc>
          <w:tcPr>
            <w:tcW w:w="1160" w:type="dxa"/>
            <w:tcBorders/>
            <w:vAlign w:val="center"/>
          </w:tcPr>
          <w:p>
            <w:pPr>
              <w:jc w:val="right"/>
            </w:pPr>
            <w:r>
              <w:rPr>
                <w:rFonts w:ascii="宋体" w:eastAsia="宋体" w:hAnsi="宋体" w:cs="宋体"/>
                <w:b w:val="0"/>
                <w:i w:val="0"/>
                <w:color w:val="000000"/>
                <w:sz w:val="14"/>
              </w:rPr>
              <w:t xml:space="preserve">78.05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201.93</w:t>
            </w:r>
          </w:p>
        </w:tc>
        <w:tc>
          <w:tcPr>
            <w:tcW w:w="1160" w:type="dxa"/>
            <w:tcBorders/>
            <w:vAlign w:val="center"/>
          </w:tcPr>
          <w:p>
            <w:pPr>
              <w:jc w:val="right"/>
            </w:pPr>
            <w:r>
              <w:rPr>
                <w:rFonts w:ascii="宋体" w:eastAsia="宋体" w:hAnsi="宋体" w:cs="宋体"/>
                <w:b w:val="0"/>
                <w:i w:val="0"/>
                <w:color w:val="000000"/>
                <w:sz w:val="14"/>
              </w:rPr>
              <w:t xml:space="preserve">201.93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44.88</w:t>
            </w:r>
          </w:p>
        </w:tc>
        <w:tc>
          <w:tcPr>
            <w:tcW w:w="1160" w:type="dxa"/>
            <w:tcBorders/>
            <w:vAlign w:val="center"/>
          </w:tcPr>
          <w:p>
            <w:pPr>
              <w:jc w:val="right"/>
            </w:pPr>
            <w:r>
              <w:rPr>
                <w:rFonts w:ascii="宋体" w:eastAsia="宋体" w:hAnsi="宋体" w:cs="宋体"/>
                <w:b w:val="0"/>
                <w:i w:val="0"/>
                <w:color w:val="000000"/>
                <w:sz w:val="14"/>
              </w:rPr>
              <w:t xml:space="preserve">44.88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44.32</w:t>
            </w:r>
          </w:p>
        </w:tc>
        <w:tc>
          <w:tcPr>
            <w:tcW w:w="1160" w:type="dxa"/>
            <w:tcBorders/>
            <w:vAlign w:val="center"/>
          </w:tcPr>
          <w:p>
            <w:pPr>
              <w:jc w:val="right"/>
            </w:pPr>
            <w:r>
              <w:rPr>
                <w:rFonts w:ascii="宋体" w:eastAsia="宋体" w:hAnsi="宋体" w:cs="宋体"/>
                <w:b w:val="0"/>
                <w:i w:val="0"/>
                <w:color w:val="000000"/>
                <w:sz w:val="14"/>
              </w:rPr>
              <w:t xml:space="preserve">44.32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38.52</w:t>
            </w:r>
          </w:p>
        </w:tc>
        <w:tc>
          <w:tcPr>
            <w:tcW w:w="1160" w:type="dxa"/>
            <w:tcBorders/>
            <w:vAlign w:val="center"/>
          </w:tcPr>
          <w:p>
            <w:pPr>
              <w:jc w:val="right"/>
            </w:pPr>
            <w:r>
              <w:rPr>
                <w:rFonts w:ascii="宋体" w:eastAsia="宋体" w:hAnsi="宋体" w:cs="宋体"/>
                <w:b w:val="0"/>
                <w:i w:val="0"/>
                <w:color w:val="000000"/>
                <w:sz w:val="14"/>
              </w:rPr>
              <w:t xml:space="preserve">38.52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486.92</w:t>
            </w:r>
          </w:p>
        </w:tc>
        <w:tc>
          <w:tcPr>
            <w:tcW w:w="1160" w:type="dxa"/>
            <w:tcBorders/>
            <w:vAlign w:val="center"/>
          </w:tcPr>
          <w:p>
            <w:pPr>
              <w:jc w:val="right"/>
            </w:pPr>
            <w:r>
              <w:rPr>
                <w:rFonts w:ascii="宋体" w:eastAsia="宋体" w:hAnsi="宋体" w:cs="宋体"/>
                <w:b w:val="0"/>
                <w:i w:val="0"/>
                <w:color w:val="000000"/>
                <w:sz w:val="14"/>
              </w:rPr>
              <w:t xml:space="preserve">486.92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471.47</w:t>
            </w:r>
          </w:p>
        </w:tc>
        <w:tc>
          <w:tcPr>
            <w:tcW w:w="1160" w:type="dxa"/>
            <w:tcBorders/>
            <w:vAlign w:val="center"/>
          </w:tcPr>
          <w:p>
            <w:pPr>
              <w:jc w:val="right"/>
            </w:pPr>
            <w:r>
              <w:rPr>
                <w:rFonts w:ascii="宋体" w:eastAsia="宋体" w:hAnsi="宋体" w:cs="宋体"/>
                <w:b w:val="0"/>
                <w:i w:val="0"/>
                <w:color w:val="000000"/>
                <w:sz w:val="14"/>
              </w:rPr>
              <w:t xml:space="preserve">471.47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471.47</w:t>
            </w:r>
          </w:p>
        </w:tc>
        <w:tc>
          <w:tcPr>
            <w:tcW w:w="1160" w:type="dxa"/>
            <w:tcBorders/>
            <w:vAlign w:val="center"/>
          </w:tcPr>
          <w:p>
            <w:pPr>
              <w:jc w:val="right"/>
            </w:pPr>
            <w:r>
              <w:rPr>
                <w:rFonts w:ascii="宋体" w:eastAsia="宋体" w:hAnsi="宋体" w:cs="宋体"/>
                <w:b w:val="0"/>
                <w:i w:val="0"/>
                <w:color w:val="000000"/>
                <w:sz w:val="14"/>
              </w:rPr>
              <w:t xml:space="preserve">471.47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15.45</w:t>
            </w:r>
          </w:p>
        </w:tc>
        <w:tc>
          <w:tcPr>
            <w:tcW w:w="1160" w:type="dxa"/>
            <w:tcBorders/>
            <w:vAlign w:val="center"/>
          </w:tcPr>
          <w:p>
            <w:pPr>
              <w:jc w:val="right"/>
            </w:pPr>
            <w:r>
              <w:rPr>
                <w:rFonts w:ascii="宋体" w:eastAsia="宋体" w:hAnsi="宋体" w:cs="宋体"/>
                <w:b w:val="0"/>
                <w:i w:val="0"/>
                <w:color w:val="000000"/>
                <w:sz w:val="14"/>
              </w:rPr>
              <w:t xml:space="preserve">15.45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3.81</w:t>
            </w:r>
          </w:p>
        </w:tc>
        <w:tc>
          <w:tcPr>
            <w:tcW w:w="1160" w:type="dxa"/>
            <w:tcBorders/>
            <w:vAlign w:val="center"/>
          </w:tcPr>
          <w:p>
            <w:pPr>
              <w:jc w:val="right"/>
            </w:pPr>
            <w:r>
              <w:rPr>
                <w:rFonts w:ascii="宋体" w:eastAsia="宋体" w:hAnsi="宋体" w:cs="宋体"/>
                <w:b w:val="0"/>
                <w:i w:val="0"/>
                <w:color w:val="000000"/>
                <w:sz w:val="14"/>
              </w:rPr>
              <w:t xml:space="preserve">3.81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11.43</w:t>
            </w:r>
          </w:p>
        </w:tc>
        <w:tc>
          <w:tcPr>
            <w:tcW w:w="1160" w:type="dxa"/>
            <w:tcBorders/>
            <w:vAlign w:val="center"/>
          </w:tcPr>
          <w:p>
            <w:pPr>
              <w:jc w:val="right"/>
            </w:pPr>
            <w:r>
              <w:rPr>
                <w:rFonts w:ascii="宋体" w:eastAsia="宋体" w:hAnsi="宋体" w:cs="宋体"/>
                <w:b w:val="0"/>
                <w:i w:val="0"/>
                <w:color w:val="000000"/>
                <w:sz w:val="14"/>
              </w:rPr>
              <w:t xml:space="preserve">11.43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商业服务业等支出</w:t>
            </w:r>
          </w:p>
        </w:tc>
        <w:tc>
          <w:tcPr>
            <w:tcW w:w="1160" w:type="dxa"/>
            <w:tcBorders/>
            <w:vAlign w:val="center"/>
          </w:tcPr>
          <w:p>
            <w:pPr>
              <w:jc w:val="right"/>
            </w:pPr>
            <w:r>
              <w:rPr>
                <w:rFonts w:ascii="宋体" w:eastAsia="宋体" w:hAnsi="宋体" w:cs="宋体"/>
                <w:b w:val="0"/>
                <w:i w:val="0"/>
                <w:color w:val="000000"/>
                <w:sz w:val="14"/>
              </w:rPr>
              <w:t xml:space="preserve">181.61</w:t>
            </w:r>
          </w:p>
        </w:tc>
        <w:tc>
          <w:tcPr>
            <w:tcW w:w="1160" w:type="dxa"/>
            <w:tcBorders/>
            <w:vAlign w:val="center"/>
          </w:tcPr>
          <w:p>
            <w:pPr>
              <w:jc w:val="right"/>
            </w:pPr>
            <w:r>
              <w:rPr>
                <w:rFonts w:ascii="宋体" w:eastAsia="宋体" w:hAnsi="宋体" w:cs="宋体"/>
                <w:b w:val="0"/>
                <w:i w:val="0"/>
                <w:color w:val="000000"/>
                <w:sz w:val="14"/>
              </w:rPr>
              <w:t xml:space="preserve">181.61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商业流通事务</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其他商业流通事务支出</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涉外发展服务支出</w:t>
            </w:r>
          </w:p>
        </w:tc>
        <w:tc>
          <w:tcPr>
            <w:tcW w:w="1160" w:type="dxa"/>
            <w:tcBorders/>
            <w:vAlign w:val="center"/>
          </w:tcPr>
          <w:p>
            <w:pPr>
              <w:jc w:val="right"/>
            </w:pPr>
            <w:r>
              <w:rPr>
                <w:rFonts w:ascii="宋体" w:eastAsia="宋体" w:hAnsi="宋体" w:cs="宋体"/>
                <w:b w:val="0"/>
                <w:i w:val="0"/>
                <w:color w:val="000000"/>
                <w:sz w:val="14"/>
              </w:rPr>
              <w:t xml:space="preserve">134.56</w:t>
            </w:r>
          </w:p>
        </w:tc>
        <w:tc>
          <w:tcPr>
            <w:tcW w:w="1160" w:type="dxa"/>
            <w:tcBorders/>
            <w:vAlign w:val="center"/>
          </w:tcPr>
          <w:p>
            <w:pPr>
              <w:jc w:val="right"/>
            </w:pPr>
            <w:r>
              <w:rPr>
                <w:rFonts w:ascii="宋体" w:eastAsia="宋体" w:hAnsi="宋体" w:cs="宋体"/>
                <w:b w:val="0"/>
                <w:i w:val="0"/>
                <w:color w:val="000000"/>
                <w:sz w:val="14"/>
              </w:rPr>
              <w:t xml:space="preserve">134.56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其他涉外发展服务支出</w:t>
            </w:r>
          </w:p>
        </w:tc>
        <w:tc>
          <w:tcPr>
            <w:tcW w:w="1160" w:type="dxa"/>
            <w:tcBorders/>
            <w:vAlign w:val="center"/>
          </w:tcPr>
          <w:p>
            <w:pPr>
              <w:jc w:val="right"/>
            </w:pPr>
            <w:r>
              <w:rPr>
                <w:rFonts w:ascii="宋体" w:eastAsia="宋体" w:hAnsi="宋体" w:cs="宋体"/>
                <w:b w:val="0"/>
                <w:i w:val="0"/>
                <w:color w:val="000000"/>
                <w:sz w:val="14"/>
              </w:rPr>
              <w:t xml:space="preserve">134.56</w:t>
            </w:r>
          </w:p>
        </w:tc>
        <w:tc>
          <w:tcPr>
            <w:tcW w:w="1160" w:type="dxa"/>
            <w:tcBorders/>
            <w:vAlign w:val="center"/>
          </w:tcPr>
          <w:p>
            <w:pPr>
              <w:jc w:val="right"/>
            </w:pPr>
            <w:r>
              <w:rPr>
                <w:rFonts w:ascii="宋体" w:eastAsia="宋体" w:hAnsi="宋体" w:cs="宋体"/>
                <w:b w:val="0"/>
                <w:i w:val="0"/>
                <w:color w:val="000000"/>
                <w:sz w:val="14"/>
              </w:rPr>
              <w:t xml:space="preserve">134.56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29.85</w:t>
            </w:r>
          </w:p>
        </w:tc>
        <w:tc>
          <w:tcPr>
            <w:tcW w:w="1160" w:type="dxa"/>
            <w:tcBorders/>
            <w:vAlign w:val="center"/>
          </w:tcPr>
          <w:p>
            <w:pPr>
              <w:jc w:val="right"/>
            </w:pPr>
            <w:r>
              <w:rPr>
                <w:rFonts w:ascii="宋体" w:eastAsia="宋体" w:hAnsi="宋体" w:cs="宋体"/>
                <w:b w:val="0"/>
                <w:i w:val="0"/>
                <w:color w:val="000000"/>
                <w:sz w:val="14"/>
              </w:rPr>
              <w:t xml:space="preserve">29.85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29.85</w:t>
            </w:r>
          </w:p>
        </w:tc>
        <w:tc>
          <w:tcPr>
            <w:tcW w:w="1160" w:type="dxa"/>
            <w:tcBorders/>
            <w:vAlign w:val="center"/>
          </w:tcPr>
          <w:p>
            <w:pPr>
              <w:jc w:val="right"/>
            </w:pPr>
            <w:r>
              <w:rPr>
                <w:rFonts w:ascii="宋体" w:eastAsia="宋体" w:hAnsi="宋体" w:cs="宋体"/>
                <w:b w:val="0"/>
                <w:i w:val="0"/>
                <w:color w:val="000000"/>
                <w:sz w:val="14"/>
              </w:rPr>
              <w:t xml:space="preserve">29.85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29.85</w:t>
            </w:r>
          </w:p>
        </w:tc>
        <w:tc>
          <w:tcPr>
            <w:tcW w:w="1160" w:type="dxa"/>
            <w:tcBorders/>
            <w:vAlign w:val="center"/>
          </w:tcPr>
          <w:p>
            <w:pPr>
              <w:jc w:val="right"/>
            </w:pPr>
            <w:r>
              <w:rPr>
                <w:rFonts w:ascii="宋体" w:eastAsia="宋体" w:hAnsi="宋体" w:cs="宋体"/>
                <w:b w:val="0"/>
                <w:i w:val="0"/>
                <w:color w:val="000000"/>
                <w:sz w:val="14"/>
              </w:rPr>
              <w:t xml:space="preserve">29.85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1,026.76</w:t>
            </w:r>
          </w:p>
        </w:tc>
        <w:tc>
          <w:tcPr>
            <w:tcW w:w="1120" w:type="dxa"/>
            <w:tcBorders/>
            <w:vAlign w:val="center"/>
          </w:tcPr>
          <w:p>
            <w:pPr>
              <w:jc w:val="right"/>
            </w:pPr>
            <w:r>
              <w:rPr>
                <w:rFonts w:ascii="宋体" w:eastAsia="宋体" w:hAnsi="宋体" w:cs="宋体"/>
                <w:b/>
                <w:i w:val="0"/>
                <w:color w:val="000000"/>
                <w:sz w:val="16"/>
              </w:rPr>
              <w:t xml:space="preserve">370.55</w:t>
            </w:r>
          </w:p>
        </w:tc>
        <w:tc>
          <w:tcPr>
            <w:tcW w:w="1120" w:type="dxa"/>
            <w:tcBorders/>
            <w:vAlign w:val="center"/>
          </w:tcPr>
          <w:p>
            <w:pPr>
              <w:jc w:val="right"/>
            </w:pPr>
            <w:r>
              <w:rPr>
                <w:rFonts w:ascii="宋体" w:eastAsia="宋体" w:hAnsi="宋体" w:cs="宋体"/>
                <w:b/>
                <w:i w:val="0"/>
                <w:color w:val="000000"/>
                <w:sz w:val="16"/>
              </w:rPr>
              <w:t xml:space="preserve">656.21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283.50</w:t>
            </w:r>
          </w:p>
        </w:tc>
        <w:tc>
          <w:tcPr>
            <w:tcW w:w="1120" w:type="dxa"/>
            <w:tcBorders/>
            <w:vAlign w:val="center"/>
          </w:tcPr>
          <w:p>
            <w:pPr>
              <w:jc w:val="right"/>
            </w:pPr>
            <w:r>
              <w:rPr>
                <w:rFonts w:ascii="宋体" w:eastAsia="宋体" w:hAnsi="宋体" w:cs="宋体"/>
                <w:b w:val="0"/>
                <w:i w:val="0"/>
                <w:color w:val="000000"/>
                <w:sz w:val="16"/>
              </w:rPr>
              <w:t xml:space="preserve">279.98</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283.50</w:t>
            </w:r>
          </w:p>
        </w:tc>
        <w:tc>
          <w:tcPr>
            <w:tcW w:w="1120" w:type="dxa"/>
            <w:tcBorders/>
            <w:vAlign w:val="center"/>
          </w:tcPr>
          <w:p>
            <w:pPr>
              <w:jc w:val="right"/>
            </w:pPr>
            <w:r>
              <w:rPr>
                <w:rFonts w:ascii="宋体" w:eastAsia="宋体" w:hAnsi="宋体" w:cs="宋体"/>
                <w:b w:val="0"/>
                <w:i w:val="0"/>
                <w:color w:val="000000"/>
                <w:sz w:val="16"/>
              </w:rPr>
              <w:t xml:space="preserve">279.98</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78.05</w:t>
            </w:r>
          </w:p>
        </w:tc>
        <w:tc>
          <w:tcPr>
            <w:tcW w:w="1120" w:type="dxa"/>
            <w:tcBorders/>
            <w:vAlign w:val="center"/>
          </w:tcPr>
          <w:p>
            <w:pPr>
              <w:jc w:val="right"/>
            </w:pPr>
            <w:r>
              <w:rPr>
                <w:rFonts w:ascii="宋体" w:eastAsia="宋体" w:hAnsi="宋体" w:cs="宋体"/>
                <w:b w:val="0"/>
                <w:i w:val="0"/>
                <w:color w:val="000000"/>
                <w:sz w:val="16"/>
              </w:rPr>
              <w:t xml:space="preserve">78.05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201.93</w:t>
            </w:r>
          </w:p>
        </w:tc>
        <w:tc>
          <w:tcPr>
            <w:tcW w:w="1120" w:type="dxa"/>
            <w:tcBorders/>
            <w:vAlign w:val="center"/>
          </w:tcPr>
          <w:p>
            <w:pPr>
              <w:jc w:val="right"/>
            </w:pPr>
            <w:r>
              <w:rPr>
                <w:rFonts w:ascii="宋体" w:eastAsia="宋体" w:hAnsi="宋体" w:cs="宋体"/>
                <w:b w:val="0"/>
                <w:i w:val="0"/>
                <w:color w:val="000000"/>
                <w:sz w:val="16"/>
              </w:rPr>
              <w:t xml:space="preserve">201.93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44.88</w:t>
            </w:r>
          </w:p>
        </w:tc>
        <w:tc>
          <w:tcPr>
            <w:tcW w:w="1120" w:type="dxa"/>
            <w:tcBorders/>
            <w:vAlign w:val="center"/>
          </w:tcPr>
          <w:p>
            <w:pPr>
              <w:jc w:val="right"/>
            </w:pPr>
            <w:r>
              <w:rPr>
                <w:rFonts w:ascii="宋体" w:eastAsia="宋体" w:hAnsi="宋体" w:cs="宋体"/>
                <w:b w:val="0"/>
                <w:i w:val="0"/>
                <w:color w:val="000000"/>
                <w:sz w:val="16"/>
              </w:rPr>
              <w:t xml:space="preserve">44.88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44.32</w:t>
            </w:r>
          </w:p>
        </w:tc>
        <w:tc>
          <w:tcPr>
            <w:tcW w:w="1120" w:type="dxa"/>
            <w:tcBorders/>
            <w:vAlign w:val="center"/>
          </w:tcPr>
          <w:p>
            <w:pPr>
              <w:jc w:val="right"/>
            </w:pPr>
            <w:r>
              <w:rPr>
                <w:rFonts w:ascii="宋体" w:eastAsia="宋体" w:hAnsi="宋体" w:cs="宋体"/>
                <w:b w:val="0"/>
                <w:i w:val="0"/>
                <w:color w:val="000000"/>
                <w:sz w:val="16"/>
              </w:rPr>
              <w:t xml:space="preserve">44.32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38.52</w:t>
            </w:r>
          </w:p>
        </w:tc>
        <w:tc>
          <w:tcPr>
            <w:tcW w:w="1120" w:type="dxa"/>
            <w:tcBorders/>
            <w:vAlign w:val="center"/>
          </w:tcPr>
          <w:p>
            <w:pPr>
              <w:jc w:val="right"/>
            </w:pPr>
            <w:r>
              <w:rPr>
                <w:rFonts w:ascii="宋体" w:eastAsia="宋体" w:hAnsi="宋体" w:cs="宋体"/>
                <w:b w:val="0"/>
                <w:i w:val="0"/>
                <w:color w:val="000000"/>
                <w:sz w:val="16"/>
              </w:rPr>
              <w:t xml:space="preserve">38.52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486.92</w:t>
            </w:r>
          </w:p>
        </w:tc>
        <w:tc>
          <w:tcPr>
            <w:tcW w:w="1120" w:type="dxa"/>
            <w:tcBorders/>
            <w:vAlign w:val="center"/>
          </w:tcPr>
          <w:p>
            <w:pPr>
              <w:jc w:val="right"/>
            </w:pPr>
            <w:r>
              <w:rPr>
                <w:rFonts w:ascii="宋体" w:eastAsia="宋体" w:hAnsi="宋体" w:cs="宋体"/>
                <w:b w:val="0"/>
                <w:i w:val="0"/>
                <w:color w:val="000000"/>
                <w:sz w:val="16"/>
              </w:rPr>
              <w:t xml:space="preserve">15.84</w:t>
            </w:r>
          </w:p>
        </w:tc>
        <w:tc>
          <w:tcPr>
            <w:tcW w:w="1120" w:type="dxa"/>
            <w:tcBorders/>
            <w:vAlign w:val="center"/>
          </w:tcPr>
          <w:p>
            <w:pPr>
              <w:jc w:val="right"/>
            </w:pPr>
            <w:r>
              <w:rPr>
                <w:rFonts w:ascii="宋体" w:eastAsia="宋体" w:hAnsi="宋体" w:cs="宋体"/>
                <w:b w:val="0"/>
                <w:i w:val="0"/>
                <w:color w:val="000000"/>
                <w:sz w:val="16"/>
              </w:rPr>
              <w:t xml:space="preserve">471.08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471.47</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471.08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471.47</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471.08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15.45</w:t>
            </w:r>
          </w:p>
        </w:tc>
        <w:tc>
          <w:tcPr>
            <w:tcW w:w="1120" w:type="dxa"/>
            <w:tcBorders/>
            <w:vAlign w:val="center"/>
          </w:tcPr>
          <w:p>
            <w:pPr>
              <w:jc w:val="right"/>
            </w:pPr>
            <w:r>
              <w:rPr>
                <w:rFonts w:ascii="宋体" w:eastAsia="宋体" w:hAnsi="宋体" w:cs="宋体"/>
                <w:b w:val="0"/>
                <w:i w:val="0"/>
                <w:color w:val="000000"/>
                <w:sz w:val="16"/>
              </w:rPr>
              <w:t xml:space="preserve">15.45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3.81</w:t>
            </w:r>
          </w:p>
        </w:tc>
        <w:tc>
          <w:tcPr>
            <w:tcW w:w="1120" w:type="dxa"/>
            <w:tcBorders/>
            <w:vAlign w:val="center"/>
          </w:tcPr>
          <w:p>
            <w:pPr>
              <w:jc w:val="right"/>
            </w:pPr>
            <w:r>
              <w:rPr>
                <w:rFonts w:ascii="宋体" w:eastAsia="宋体" w:hAnsi="宋体" w:cs="宋体"/>
                <w:b w:val="0"/>
                <w:i w:val="0"/>
                <w:color w:val="000000"/>
                <w:sz w:val="16"/>
              </w:rPr>
              <w:t xml:space="preserve">3.81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11.43</w:t>
            </w:r>
          </w:p>
        </w:tc>
        <w:tc>
          <w:tcPr>
            <w:tcW w:w="1120" w:type="dxa"/>
            <w:tcBorders/>
            <w:vAlign w:val="center"/>
          </w:tcPr>
          <w:p>
            <w:pPr>
              <w:jc w:val="right"/>
            </w:pPr>
            <w:r>
              <w:rPr>
                <w:rFonts w:ascii="宋体" w:eastAsia="宋体" w:hAnsi="宋体" w:cs="宋体"/>
                <w:b w:val="0"/>
                <w:i w:val="0"/>
                <w:color w:val="000000"/>
                <w:sz w:val="16"/>
              </w:rPr>
              <w:t xml:space="preserve">11.43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商业服务业等支出</w:t>
            </w:r>
          </w:p>
        </w:tc>
        <w:tc>
          <w:tcPr>
            <w:tcW w:w="1120" w:type="dxa"/>
            <w:tcBorders/>
            <w:vAlign w:val="center"/>
          </w:tcPr>
          <w:p>
            <w:pPr>
              <w:jc w:val="right"/>
            </w:pPr>
            <w:r>
              <w:rPr>
                <w:rFonts w:ascii="宋体" w:eastAsia="宋体" w:hAnsi="宋体" w:cs="宋体"/>
                <w:b w:val="0"/>
                <w:i w:val="0"/>
                <w:color w:val="000000"/>
                <w:sz w:val="16"/>
              </w:rPr>
              <w:t xml:space="preserve">181.61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181.61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商业流通事务</w:t>
            </w: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其他商业流通事务支出</w:t>
            </w: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涉外发展服务支出</w:t>
            </w:r>
          </w:p>
        </w:tc>
        <w:tc>
          <w:tcPr>
            <w:tcW w:w="1120" w:type="dxa"/>
            <w:tcBorders/>
            <w:vAlign w:val="center"/>
          </w:tcPr>
          <w:p>
            <w:pPr>
              <w:jc w:val="right"/>
            </w:pPr>
            <w:r>
              <w:rPr>
                <w:rFonts w:ascii="宋体" w:eastAsia="宋体" w:hAnsi="宋体" w:cs="宋体"/>
                <w:b w:val="0"/>
                <w:i w:val="0"/>
                <w:color w:val="000000"/>
                <w:sz w:val="16"/>
              </w:rPr>
              <w:t xml:space="preserve">134.56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134.56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其他涉外发展服务支出</w:t>
            </w:r>
          </w:p>
        </w:tc>
        <w:tc>
          <w:tcPr>
            <w:tcW w:w="1120" w:type="dxa"/>
            <w:tcBorders/>
            <w:vAlign w:val="center"/>
          </w:tcPr>
          <w:p>
            <w:pPr>
              <w:jc w:val="right"/>
            </w:pPr>
            <w:r>
              <w:rPr>
                <w:rFonts w:ascii="宋体" w:eastAsia="宋体" w:hAnsi="宋体" w:cs="宋体"/>
                <w:b w:val="0"/>
                <w:i w:val="0"/>
                <w:color w:val="000000"/>
                <w:sz w:val="16"/>
              </w:rPr>
              <w:t xml:space="preserve">134.56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134.56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29.85</w:t>
            </w:r>
          </w:p>
        </w:tc>
        <w:tc>
          <w:tcPr>
            <w:tcW w:w="1120" w:type="dxa"/>
            <w:tcBorders/>
            <w:vAlign w:val="center"/>
          </w:tcPr>
          <w:p>
            <w:pPr>
              <w:jc w:val="right"/>
            </w:pPr>
            <w:r>
              <w:rPr>
                <w:rFonts w:ascii="宋体" w:eastAsia="宋体" w:hAnsi="宋体" w:cs="宋体"/>
                <w:b w:val="0"/>
                <w:i w:val="0"/>
                <w:color w:val="000000"/>
                <w:sz w:val="16"/>
              </w:rPr>
              <w:t xml:space="preserve">29.85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29.85</w:t>
            </w:r>
          </w:p>
        </w:tc>
        <w:tc>
          <w:tcPr>
            <w:tcW w:w="1120" w:type="dxa"/>
            <w:tcBorders/>
            <w:vAlign w:val="center"/>
          </w:tcPr>
          <w:p>
            <w:pPr>
              <w:jc w:val="right"/>
            </w:pPr>
            <w:r>
              <w:rPr>
                <w:rFonts w:ascii="宋体" w:eastAsia="宋体" w:hAnsi="宋体" w:cs="宋体"/>
                <w:b w:val="0"/>
                <w:i w:val="0"/>
                <w:color w:val="000000"/>
                <w:sz w:val="16"/>
              </w:rPr>
              <w:t xml:space="preserve">29.85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29.85</w:t>
            </w:r>
          </w:p>
        </w:tc>
        <w:tc>
          <w:tcPr>
            <w:tcW w:w="1120" w:type="dxa"/>
            <w:tcBorders/>
            <w:vAlign w:val="center"/>
          </w:tcPr>
          <w:p>
            <w:pPr>
              <w:jc w:val="right"/>
            </w:pPr>
            <w:r>
              <w:rPr>
                <w:rFonts w:ascii="宋体" w:eastAsia="宋体" w:hAnsi="宋体" w:cs="宋体"/>
                <w:b w:val="0"/>
                <w:i w:val="0"/>
                <w:color w:val="000000"/>
                <w:sz w:val="16"/>
              </w:rPr>
              <w:t xml:space="preserve">29.85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1,026.76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283.51</w:t>
            </w:r>
          </w:p>
        </w:tc>
        <w:tc>
          <w:tcPr>
            <w:tcW w:w="1100" w:type="dxa"/>
            <w:tcBorders/>
            <w:vAlign w:val="center"/>
          </w:tcPr>
          <w:p>
            <w:pPr>
              <w:jc w:val="right"/>
            </w:pPr>
            <w:r>
              <w:rPr>
                <w:rFonts w:ascii="宋体" w:eastAsia="宋体" w:hAnsi="宋体" w:cs="宋体"/>
                <w:b w:val="0"/>
                <w:i w:val="0"/>
                <w:color w:val="000000"/>
                <w:sz w:val="14"/>
              </w:rPr>
              <w:t xml:space="preserve">283.51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44.88</w:t>
            </w:r>
          </w:p>
        </w:tc>
        <w:tc>
          <w:tcPr>
            <w:tcW w:w="1100" w:type="dxa"/>
            <w:tcBorders/>
            <w:vAlign w:val="center"/>
          </w:tcPr>
          <w:p>
            <w:pPr>
              <w:jc w:val="right"/>
            </w:pPr>
            <w:r>
              <w:rPr>
                <w:rFonts w:ascii="宋体" w:eastAsia="宋体" w:hAnsi="宋体" w:cs="宋体"/>
                <w:b w:val="0"/>
                <w:i w:val="0"/>
                <w:color w:val="000000"/>
                <w:sz w:val="14"/>
              </w:rPr>
              <w:t xml:space="preserve">44.88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486.92</w:t>
            </w:r>
          </w:p>
        </w:tc>
        <w:tc>
          <w:tcPr>
            <w:tcW w:w="1100" w:type="dxa"/>
            <w:tcBorders/>
            <w:vAlign w:val="center"/>
          </w:tcPr>
          <w:p>
            <w:pPr>
              <w:jc w:val="right"/>
            </w:pPr>
            <w:r>
              <w:rPr>
                <w:rFonts w:ascii="宋体" w:eastAsia="宋体" w:hAnsi="宋体" w:cs="宋体"/>
                <w:b w:val="0"/>
                <w:i w:val="0"/>
                <w:color w:val="000000"/>
                <w:sz w:val="14"/>
              </w:rPr>
              <w:t xml:space="preserve">486.92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jc w:val="right"/>
            </w:pPr>
            <w:r>
              <w:rPr>
                <w:rFonts w:ascii="宋体" w:eastAsia="宋体" w:hAnsi="宋体" w:cs="宋体"/>
                <w:b w:val="0"/>
                <w:i w:val="0"/>
                <w:color w:val="000000"/>
                <w:sz w:val="14"/>
              </w:rPr>
              <w:t xml:space="preserve">181.61</w:t>
            </w:r>
          </w:p>
        </w:tc>
        <w:tc>
          <w:tcPr>
            <w:tcW w:w="1100" w:type="dxa"/>
            <w:tcBorders/>
            <w:vAlign w:val="center"/>
          </w:tcPr>
          <w:p>
            <w:pPr>
              <w:jc w:val="right"/>
            </w:pPr>
            <w:r>
              <w:rPr>
                <w:rFonts w:ascii="宋体" w:eastAsia="宋体" w:hAnsi="宋体" w:cs="宋体"/>
                <w:b w:val="0"/>
                <w:i w:val="0"/>
                <w:color w:val="000000"/>
                <w:sz w:val="14"/>
              </w:rPr>
              <w:t xml:space="preserve">181.61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29.85</w:t>
            </w:r>
          </w:p>
        </w:tc>
        <w:tc>
          <w:tcPr>
            <w:tcW w:w="1100" w:type="dxa"/>
            <w:tcBorders/>
            <w:vAlign w:val="center"/>
          </w:tcPr>
          <w:p>
            <w:pPr>
              <w:jc w:val="right"/>
            </w:pPr>
            <w:r>
              <w:rPr>
                <w:rFonts w:ascii="宋体" w:eastAsia="宋体" w:hAnsi="宋体" w:cs="宋体"/>
                <w:b w:val="0"/>
                <w:i w:val="0"/>
                <w:color w:val="000000"/>
                <w:sz w:val="14"/>
              </w:rPr>
              <w:t xml:space="preserve">29.85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1,026.76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1,026.76</w:t>
            </w:r>
          </w:p>
        </w:tc>
        <w:tc>
          <w:tcPr>
            <w:tcW w:w="1100" w:type="dxa"/>
            <w:tcBorders/>
            <w:vAlign w:val="center"/>
          </w:tcPr>
          <w:p>
            <w:pPr>
              <w:jc w:val="right"/>
            </w:pPr>
            <w:r>
              <w:rPr>
                <w:rFonts w:ascii="宋体" w:eastAsia="宋体" w:hAnsi="宋体" w:cs="宋体"/>
                <w:b w:val="0"/>
                <w:i w:val="0"/>
                <w:color w:val="000000"/>
                <w:sz w:val="14"/>
              </w:rPr>
              <w:t xml:space="preserve">1,026.76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1,026.76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1,026.76</w:t>
            </w:r>
          </w:p>
        </w:tc>
        <w:tc>
          <w:tcPr>
            <w:tcW w:w="1100" w:type="dxa"/>
            <w:tcBorders/>
            <w:vAlign w:val="center"/>
          </w:tcPr>
          <w:p>
            <w:pPr>
              <w:jc w:val="right"/>
            </w:pPr>
            <w:r>
              <w:rPr>
                <w:rFonts w:ascii="宋体" w:eastAsia="宋体" w:hAnsi="宋体" w:cs="宋体"/>
                <w:b w:val="0"/>
                <w:i w:val="0"/>
                <w:color w:val="000000"/>
                <w:sz w:val="14"/>
              </w:rPr>
              <w:t xml:space="preserve">1,026.76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1,026.76</w:t>
            </w:r>
          </w:p>
        </w:tc>
        <w:tc>
          <w:tcPr>
            <w:tcW w:w="1980" w:type="dxa"/>
            <w:tcBorders/>
            <w:vAlign w:val="center"/>
          </w:tcPr>
          <w:p>
            <w:pPr>
              <w:jc w:val="right"/>
            </w:pPr>
            <w:r>
              <w:rPr>
                <w:rFonts w:ascii="宋体" w:eastAsia="宋体" w:hAnsi="宋体" w:cs="宋体"/>
                <w:b/>
                <w:i w:val="0"/>
                <w:color w:val="000000"/>
                <w:sz w:val="20"/>
              </w:rPr>
              <w:t xml:space="preserve">370.55</w:t>
            </w:r>
          </w:p>
        </w:tc>
        <w:tc>
          <w:tcPr>
            <w:tcW w:w="1952" w:type="dxa"/>
            <w:tcBorders/>
            <w:vAlign w:val="center"/>
          </w:tcPr>
          <w:p>
            <w:pPr>
              <w:jc w:val="right"/>
            </w:pPr>
            <w:r>
              <w:rPr>
                <w:rFonts w:ascii="宋体" w:eastAsia="宋体" w:hAnsi="宋体" w:cs="宋体"/>
                <w:b/>
                <w:i w:val="0"/>
                <w:color w:val="000000"/>
                <w:sz w:val="20"/>
              </w:rPr>
              <w:t xml:space="preserve">656.21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283.50</w:t>
            </w:r>
          </w:p>
        </w:tc>
        <w:tc>
          <w:tcPr>
            <w:tcW w:w="1980" w:type="dxa"/>
            <w:tcBorders/>
            <w:vAlign w:val="center"/>
          </w:tcPr>
          <w:p>
            <w:pPr>
              <w:jc w:val="right"/>
            </w:pPr>
            <w:r>
              <w:rPr>
                <w:rFonts w:ascii="宋体" w:eastAsia="宋体" w:hAnsi="宋体" w:cs="宋体"/>
                <w:b w:val="0"/>
                <w:i w:val="0"/>
                <w:color w:val="000000"/>
                <w:sz w:val="20"/>
              </w:rPr>
              <w:t xml:space="preserve">279.98</w:t>
            </w:r>
          </w:p>
        </w:tc>
        <w:tc>
          <w:tcPr>
            <w:tcW w:w="1952" w:type="dxa"/>
            <w:tcBorders/>
            <w:vAlign w:val="center"/>
          </w:tcPr>
          <w:p>
            <w:pPr>
              <w:jc w:val="right"/>
            </w:pPr>
            <w:r>
              <w:rPr>
                <w:rFonts w:ascii="宋体" w:eastAsia="宋体" w:hAnsi="宋体" w:cs="宋体"/>
                <w:b w:val="0"/>
                <w:i w:val="0"/>
                <w:color w:val="000000"/>
                <w:sz w:val="20"/>
              </w:rPr>
              <w:t xml:space="preserve">3.52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283.50</w:t>
            </w:r>
          </w:p>
        </w:tc>
        <w:tc>
          <w:tcPr>
            <w:tcW w:w="1980" w:type="dxa"/>
            <w:tcBorders/>
            <w:vAlign w:val="center"/>
          </w:tcPr>
          <w:p>
            <w:pPr>
              <w:jc w:val="right"/>
            </w:pPr>
            <w:r>
              <w:rPr>
                <w:rFonts w:ascii="宋体" w:eastAsia="宋体" w:hAnsi="宋体" w:cs="宋体"/>
                <w:b w:val="0"/>
                <w:i w:val="0"/>
                <w:color w:val="000000"/>
                <w:sz w:val="20"/>
              </w:rPr>
              <w:t xml:space="preserve">279.98</w:t>
            </w:r>
          </w:p>
        </w:tc>
        <w:tc>
          <w:tcPr>
            <w:tcW w:w="1952" w:type="dxa"/>
            <w:tcBorders/>
            <w:vAlign w:val="center"/>
          </w:tcPr>
          <w:p>
            <w:pPr>
              <w:jc w:val="right"/>
            </w:pPr>
            <w:r>
              <w:rPr>
                <w:rFonts w:ascii="宋体" w:eastAsia="宋体" w:hAnsi="宋体" w:cs="宋体"/>
                <w:b w:val="0"/>
                <w:i w:val="0"/>
                <w:color w:val="000000"/>
                <w:sz w:val="20"/>
              </w:rPr>
              <w:t xml:space="preserve">3.52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78.05</w:t>
            </w:r>
          </w:p>
        </w:tc>
        <w:tc>
          <w:tcPr>
            <w:tcW w:w="1980" w:type="dxa"/>
            <w:tcBorders/>
            <w:vAlign w:val="center"/>
          </w:tcPr>
          <w:p>
            <w:pPr>
              <w:jc w:val="right"/>
            </w:pPr>
            <w:r>
              <w:rPr>
                <w:rFonts w:ascii="宋体" w:eastAsia="宋体" w:hAnsi="宋体" w:cs="宋体"/>
                <w:b w:val="0"/>
                <w:i w:val="0"/>
                <w:color w:val="000000"/>
                <w:sz w:val="20"/>
              </w:rPr>
              <w:t xml:space="preserve">78.05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3.52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201.93</w:t>
            </w:r>
          </w:p>
        </w:tc>
        <w:tc>
          <w:tcPr>
            <w:tcW w:w="1980" w:type="dxa"/>
            <w:tcBorders/>
            <w:vAlign w:val="center"/>
          </w:tcPr>
          <w:p>
            <w:pPr>
              <w:jc w:val="right"/>
            </w:pPr>
            <w:r>
              <w:rPr>
                <w:rFonts w:ascii="宋体" w:eastAsia="宋体" w:hAnsi="宋体" w:cs="宋体"/>
                <w:b w:val="0"/>
                <w:i w:val="0"/>
                <w:color w:val="000000"/>
                <w:sz w:val="20"/>
              </w:rPr>
              <w:t xml:space="preserve">201.93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44.88</w:t>
            </w:r>
          </w:p>
        </w:tc>
        <w:tc>
          <w:tcPr>
            <w:tcW w:w="1980" w:type="dxa"/>
            <w:tcBorders/>
            <w:vAlign w:val="center"/>
          </w:tcPr>
          <w:p>
            <w:pPr>
              <w:jc w:val="right"/>
            </w:pPr>
            <w:r>
              <w:rPr>
                <w:rFonts w:ascii="宋体" w:eastAsia="宋体" w:hAnsi="宋体" w:cs="宋体"/>
                <w:b w:val="0"/>
                <w:i w:val="0"/>
                <w:color w:val="000000"/>
                <w:sz w:val="20"/>
              </w:rPr>
              <w:t xml:space="preserve">44.88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44.32</w:t>
            </w:r>
          </w:p>
        </w:tc>
        <w:tc>
          <w:tcPr>
            <w:tcW w:w="1980" w:type="dxa"/>
            <w:tcBorders/>
            <w:vAlign w:val="center"/>
          </w:tcPr>
          <w:p>
            <w:pPr>
              <w:jc w:val="right"/>
            </w:pPr>
            <w:r>
              <w:rPr>
                <w:rFonts w:ascii="宋体" w:eastAsia="宋体" w:hAnsi="宋体" w:cs="宋体"/>
                <w:b w:val="0"/>
                <w:i w:val="0"/>
                <w:color w:val="000000"/>
                <w:sz w:val="20"/>
              </w:rPr>
              <w:t xml:space="preserve">44.32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38.52</w:t>
            </w:r>
          </w:p>
        </w:tc>
        <w:tc>
          <w:tcPr>
            <w:tcW w:w="1980" w:type="dxa"/>
            <w:tcBorders/>
            <w:vAlign w:val="center"/>
          </w:tcPr>
          <w:p>
            <w:pPr>
              <w:jc w:val="right"/>
            </w:pPr>
            <w:r>
              <w:rPr>
                <w:rFonts w:ascii="宋体" w:eastAsia="宋体" w:hAnsi="宋体" w:cs="宋体"/>
                <w:b w:val="0"/>
                <w:i w:val="0"/>
                <w:color w:val="000000"/>
                <w:sz w:val="20"/>
              </w:rPr>
              <w:t xml:space="preserve">38.52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486.92</w:t>
            </w:r>
          </w:p>
        </w:tc>
        <w:tc>
          <w:tcPr>
            <w:tcW w:w="1980" w:type="dxa"/>
            <w:tcBorders/>
            <w:vAlign w:val="center"/>
          </w:tcPr>
          <w:p>
            <w:pPr>
              <w:jc w:val="right"/>
            </w:pPr>
            <w:r>
              <w:rPr>
                <w:rFonts w:ascii="宋体" w:eastAsia="宋体" w:hAnsi="宋体" w:cs="宋体"/>
                <w:b w:val="0"/>
                <w:i w:val="0"/>
                <w:color w:val="000000"/>
                <w:sz w:val="20"/>
              </w:rPr>
              <w:t xml:space="preserve">15.84</w:t>
            </w:r>
          </w:p>
        </w:tc>
        <w:tc>
          <w:tcPr>
            <w:tcW w:w="1952" w:type="dxa"/>
            <w:tcBorders/>
            <w:vAlign w:val="center"/>
          </w:tcPr>
          <w:p>
            <w:pPr>
              <w:jc w:val="right"/>
            </w:pPr>
            <w:r>
              <w:rPr>
                <w:rFonts w:ascii="宋体" w:eastAsia="宋体" w:hAnsi="宋体" w:cs="宋体"/>
                <w:b w:val="0"/>
                <w:i w:val="0"/>
                <w:color w:val="000000"/>
                <w:sz w:val="20"/>
              </w:rPr>
              <w:t xml:space="preserve">471.08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471.47</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471.08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471.47</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471.08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15.45</w:t>
            </w:r>
          </w:p>
        </w:tc>
        <w:tc>
          <w:tcPr>
            <w:tcW w:w="1980" w:type="dxa"/>
            <w:tcBorders/>
            <w:vAlign w:val="center"/>
          </w:tcPr>
          <w:p>
            <w:pPr>
              <w:jc w:val="right"/>
            </w:pPr>
            <w:r>
              <w:rPr>
                <w:rFonts w:ascii="宋体" w:eastAsia="宋体" w:hAnsi="宋体" w:cs="宋体"/>
                <w:b w:val="0"/>
                <w:i w:val="0"/>
                <w:color w:val="000000"/>
                <w:sz w:val="20"/>
              </w:rPr>
              <w:t xml:space="preserve">15.45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3.81</w:t>
            </w:r>
          </w:p>
        </w:tc>
        <w:tc>
          <w:tcPr>
            <w:tcW w:w="1980" w:type="dxa"/>
            <w:tcBorders/>
            <w:vAlign w:val="center"/>
          </w:tcPr>
          <w:p>
            <w:pPr>
              <w:jc w:val="right"/>
            </w:pPr>
            <w:r>
              <w:rPr>
                <w:rFonts w:ascii="宋体" w:eastAsia="宋体" w:hAnsi="宋体" w:cs="宋体"/>
                <w:b w:val="0"/>
                <w:i w:val="0"/>
                <w:color w:val="000000"/>
                <w:sz w:val="20"/>
              </w:rPr>
              <w:t xml:space="preserve">3.81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11.43</w:t>
            </w:r>
          </w:p>
        </w:tc>
        <w:tc>
          <w:tcPr>
            <w:tcW w:w="1980" w:type="dxa"/>
            <w:tcBorders/>
            <w:vAlign w:val="center"/>
          </w:tcPr>
          <w:p>
            <w:pPr>
              <w:jc w:val="right"/>
            </w:pPr>
            <w:r>
              <w:rPr>
                <w:rFonts w:ascii="宋体" w:eastAsia="宋体" w:hAnsi="宋体" w:cs="宋体"/>
                <w:b w:val="0"/>
                <w:i w:val="0"/>
                <w:color w:val="000000"/>
                <w:sz w:val="20"/>
              </w:rPr>
              <w:t xml:space="preserve">11.43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商业服务业等支出</w:t>
            </w:r>
          </w:p>
        </w:tc>
        <w:tc>
          <w:tcPr>
            <w:tcW w:w="1980" w:type="dxa"/>
            <w:tcBorders/>
            <w:vAlign w:val="center"/>
          </w:tcPr>
          <w:p>
            <w:pPr>
              <w:jc w:val="right"/>
            </w:pPr>
            <w:r>
              <w:rPr>
                <w:rFonts w:ascii="宋体" w:eastAsia="宋体" w:hAnsi="宋体" w:cs="宋体"/>
                <w:b w:val="0"/>
                <w:i w:val="0"/>
                <w:color w:val="000000"/>
                <w:sz w:val="20"/>
              </w:rPr>
              <w:t xml:space="preserve">181.61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181.61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商业流通事务</w:t>
            </w:r>
          </w:p>
        </w:tc>
        <w:tc>
          <w:tcPr>
            <w:tcW w:w="1980" w:type="dxa"/>
            <w:tcBorders/>
            <w:vAlign w:val="center"/>
          </w:tcPr>
          <w:p>
            <w:pPr>
              <w:jc w:val="right"/>
            </w:pPr>
            <w:r>
              <w:rPr>
                <w:rFonts w:ascii="宋体" w:eastAsia="宋体" w:hAnsi="宋体" w:cs="宋体"/>
                <w:b w:val="0"/>
                <w:i w:val="0"/>
                <w:color w:val="000000"/>
                <w:sz w:val="20"/>
              </w:rPr>
              <w:t xml:space="preserve">47.05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其他商业流通事务支出</w:t>
            </w:r>
          </w:p>
        </w:tc>
        <w:tc>
          <w:tcPr>
            <w:tcW w:w="1980" w:type="dxa"/>
            <w:tcBorders/>
            <w:vAlign w:val="center"/>
          </w:tcPr>
          <w:p>
            <w:pPr>
              <w:jc w:val="right"/>
            </w:pPr>
            <w:r>
              <w:rPr>
                <w:rFonts w:ascii="宋体" w:eastAsia="宋体" w:hAnsi="宋体" w:cs="宋体"/>
                <w:b w:val="0"/>
                <w:i w:val="0"/>
                <w:color w:val="000000"/>
                <w:sz w:val="20"/>
              </w:rPr>
              <w:t xml:space="preserve">47.05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涉外发展服务支出</w:t>
            </w:r>
          </w:p>
        </w:tc>
        <w:tc>
          <w:tcPr>
            <w:tcW w:w="1980" w:type="dxa"/>
            <w:tcBorders/>
            <w:vAlign w:val="center"/>
          </w:tcPr>
          <w:p>
            <w:pPr>
              <w:jc w:val="right"/>
            </w:pPr>
            <w:r>
              <w:rPr>
                <w:rFonts w:ascii="宋体" w:eastAsia="宋体" w:hAnsi="宋体" w:cs="宋体"/>
                <w:b w:val="0"/>
                <w:i w:val="0"/>
                <w:color w:val="000000"/>
                <w:sz w:val="20"/>
              </w:rPr>
              <w:t xml:space="preserve">134.56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134.56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其他涉外发展服务支出</w:t>
            </w:r>
          </w:p>
        </w:tc>
        <w:tc>
          <w:tcPr>
            <w:tcW w:w="1980" w:type="dxa"/>
            <w:tcBorders/>
            <w:vAlign w:val="center"/>
          </w:tcPr>
          <w:p>
            <w:pPr>
              <w:jc w:val="right"/>
            </w:pPr>
            <w:r>
              <w:rPr>
                <w:rFonts w:ascii="宋体" w:eastAsia="宋体" w:hAnsi="宋体" w:cs="宋体"/>
                <w:b w:val="0"/>
                <w:i w:val="0"/>
                <w:color w:val="000000"/>
                <w:sz w:val="20"/>
              </w:rPr>
              <w:t xml:space="preserve">134.56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134.56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29.85</w:t>
            </w:r>
          </w:p>
        </w:tc>
        <w:tc>
          <w:tcPr>
            <w:tcW w:w="1980" w:type="dxa"/>
            <w:tcBorders/>
            <w:vAlign w:val="center"/>
          </w:tcPr>
          <w:p>
            <w:pPr>
              <w:jc w:val="right"/>
            </w:pPr>
            <w:r>
              <w:rPr>
                <w:rFonts w:ascii="宋体" w:eastAsia="宋体" w:hAnsi="宋体" w:cs="宋体"/>
                <w:b w:val="0"/>
                <w:i w:val="0"/>
                <w:color w:val="000000"/>
                <w:sz w:val="20"/>
              </w:rPr>
              <w:t xml:space="preserve">29.85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29.85</w:t>
            </w:r>
          </w:p>
        </w:tc>
        <w:tc>
          <w:tcPr>
            <w:tcW w:w="1980" w:type="dxa"/>
            <w:tcBorders/>
            <w:vAlign w:val="center"/>
          </w:tcPr>
          <w:p>
            <w:pPr>
              <w:jc w:val="right"/>
            </w:pPr>
            <w:r>
              <w:rPr>
                <w:rFonts w:ascii="宋体" w:eastAsia="宋体" w:hAnsi="宋体" w:cs="宋体"/>
                <w:b w:val="0"/>
                <w:i w:val="0"/>
                <w:color w:val="000000"/>
                <w:sz w:val="20"/>
              </w:rPr>
              <w:t xml:space="preserve">29.85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29.85</w:t>
            </w:r>
          </w:p>
        </w:tc>
        <w:tc>
          <w:tcPr>
            <w:tcW w:w="1980" w:type="dxa"/>
            <w:tcBorders/>
            <w:vAlign w:val="center"/>
          </w:tcPr>
          <w:p>
            <w:pPr>
              <w:jc w:val="right"/>
            </w:pPr>
            <w:r>
              <w:rPr>
                <w:rFonts w:ascii="宋体" w:eastAsia="宋体" w:hAnsi="宋体" w:cs="宋体"/>
                <w:b w:val="0"/>
                <w:i w:val="0"/>
                <w:color w:val="000000"/>
                <w:sz w:val="20"/>
              </w:rPr>
              <w:t xml:space="preserve">29.85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346.00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21.60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139.52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7.13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27.12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0.96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13.31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0.74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77.61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0.74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38.52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4.06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15.24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4.59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29.85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1.67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2.50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6.42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348.22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22.34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057001盘锦市大洼区商务局本级-211104000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12.95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4.05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88.71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（一）在提振消费上精准发力。（二）鼓励企业拓展国际市场。（三）培育新生外贸力量。（四）加快推进引进外资工作。（五）加大电子商务发展力度。（六）着力打造特色楼宇。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对外业务培训</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人</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经济效益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“走出去”企业数量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经贸活动与投资促进企业满意度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建立重点项目督导与监督机制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完善部门内部控制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加强内控</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057002盘锦市大洼区商贸服务中心本级-211104000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10.89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221.91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21.59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（一）在提振消费上精准发力。（二）鼓励企业拓展国际市场。（三）培育新生外贸力量。（四）加快推进引进外资工作。（五）加大电子商务发展力度。（六）着力打造特色楼宇。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对外业务培训</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人</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经济效益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“走出去”企业数量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经贸活动与投资促进企业满意度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完善部门内部控制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完善内控</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建立重点项目督导与监督机制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