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辽宁省盘锦市大洼区人力资源和社会保障局（本级）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辽宁省盘锦市大洼区人力资源和社会保障局（本级）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辽宁省盘锦市大洼区人力资源和社会保障局（本级）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辽宁省盘锦市大洼区人力资源和社会保障局（本级）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辽宁省盘锦市大洼区人力资源和社会保障局（本级）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辽宁省盘锦市大洼区人力资源和社会保障局（本级）概况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第一条 根据《中共盘锦市大洼区委办公室 盘锦市大洼区人民政府办公室关于印发&amp;lt;盘锦市大洼区机构改革方案&amp;gt;的通知》（大委办发〔2019〕3 号），制定本规定。</w:t>
        <w:br/>
        <w:t xml:space="preserve">    第二条 盘锦市大洼区人力资源和社会保障局是区政府工作部门，为正科级。</w:t>
        <w:br/>
        <w:t xml:space="preserve">    第三条 盘锦市大洼区人力资源和社会保障局贯彻落实党中央、省、市关于人力资源和社会保障工作的方针政策和决策部署，在履行职责过程中坚持和加强党对人力资源和社</w:t>
        <w:br/>
        <w:t xml:space="preserve">    （一）贯彻执行国家、省、市人力资源和社会保障的法律法规，制定本区域人力资源和社会保障（不含医疗保障，下同）规范性文件（草案）并组织实施和监督检查，拟订全</w:t>
        <w:br/>
        <w:t xml:space="preserve">    区人力资源和社会保障事业发展规划。</w:t>
        <w:br/>
        <w:t xml:space="preserve">    （二）拟订并组织实施全区人力资源市场发展规划和人力资源流动政策，承担区政府人才工作的综合管理，牵头推进人才供给侧结构性改革，指导全区人力资源市场建设，规范全区人力资源市场。</w:t>
        <w:br/>
        <w:t xml:space="preserve">    （三）负责促进就业工作，拟订统筹城乡的就业发展规划和政策，完善公共就业服务体系，拟订就业创业扶持援助政策，完善职业资格制度相关政策，统筹建立面向城乡劳动者的职业培训制度，牵头拟订高校毕业生就业政策，统筹协调选拔高校毕业生赴基层工作，会同有关部门拟订高技能人才、农村实用人才培养和激励政策，拟订并组织实施国（境）外人员（不含专家）来洼就业管理规定，承担就业形势分析研判、失业预测预警工作，保持就业形势稳定。</w:t>
        <w:br/>
        <w:t xml:space="preserve">    （四）统筹建立覆盖城乡的社会保障体系，统筹组织实施并结合实际落实城乡社会保险及其补充保险政策和标准，组织实施上级并结合部门实际落实社会保险关系转移接续办法，统筹组织实施机关企事业单位基本养老保险政策，根据上级有关政策会同有关部门拟定全区社会保险及其补充保险基金的管理和监督办法，编制全区社会保险基金预决算草案，参与拟订全区社会保险基金投资运营政策，承担社会保险基金稽核、预测预警工作，拟订应对预案，保持社会保</w:t>
        <w:br/>
        <w:t xml:space="preserve">    险基金总体收支平衡和安全稳定运行。</w:t>
        <w:br/>
        <w:t xml:space="preserve">    （五）会同有关部门落实上级拟订本级事业单位人员工资收入分配政策，完善企事业单位人员工资正常增长和支付保障机制，推进企事业单位人员福利和离退休政策落实。实施国家荣誉制度，规范全区表彰奖励和评比表彰项目，承办区政府开展的有关表彰奖励活动。</w:t>
        <w:br/>
        <w:t xml:space="preserve">    （六）会同有关部门组织事业单位人事制度改革，拟订事业单位人员管理政策，按照管理权限负责规范事业单位岗位设置、公开招聘、聘用合同等人事综合管理工作，组织落实事业单位工作人员和机关工勤人员管理政策。落实专业技术人员管理和继续教育培训工作，牵头推进深化职称制度改革工作，健全博士、博士后管理办法，负责高层次专业技</w:t>
        <w:br/>
        <w:t xml:space="preserve">    术人才选拔、培养和引进工作。</w:t>
        <w:br/>
        <w:t xml:space="preserve">    （七）负责全区专业技术人才队伍、高技能人才队伍建设工作，研究制定并组织实施专业技术人才队伍和高技能人</w:t>
        <w:br/>
        <w:t xml:space="preserve">    （八）统筹实施劳动、人事争议调解仲裁制度，组织落</w:t>
        <w:br/>
        <w:t xml:space="preserve">    （九）承担民办职业培训学校设立、人力资源服务许可、</w:t>
        <w:br/>
        <w:t xml:space="preserve">    （十）按分工负责企业帮扶工作。</w:t>
        <w:br/>
        <w:t xml:space="preserve">    （十一）完成区委、区政府交办的其他任务。</w:t>
        <w:br/>
        <w:t xml:space="preserve">    （十二）职能转变。加强促进就业创业、持续推进养老</w:t>
        <w:br/>
        <w:t xml:space="preserve">    （十三）与区教育局的有关职责分工。毕业生就业政策</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辽宁省盘锦市大洼区人力资源和社会保障局（本级）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辽宁省盘锦市大洼区人力资源和社会保障局（本级）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267.86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267.86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267.86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增加45.36万元，增长20.39%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267.86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221.27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82.60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工资福利支出166.88万元；商品和服务支出38.40万元；对个人和家庭的补助15.99万元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46.60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17.40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主要包括事业单位招聘等业务支出。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增加45.36万元，增长20.39%</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无变化</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267.86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221.27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46.60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增加45.36万元，增长20.39%</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项目支出增加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118.56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97.94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2023年度一般公共预算财政拨款支出267.86万元。按支出功能分类科目分，包括：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1.社会保障和就业支出242.74万元，具体包括：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人力资源和社会保障管理事务（款）行政运行（项）164.43万元,主要是人员经费、办公经费等支出，完成年初预算的96.15%，决算数与年初预算数存在差异的主要原因是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人力资源和社会保障管理事务（款）一般行政管理事务（项）46.60万元,主要是项目支出等支出，完成年初预算的100%，决算数与年初预算数存在差异的主要原因是事业单位招聘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行政单位离退休（项）12.98万元,主要是退休人员取暖费等支出，完成年初预算的183.85%，决算数与年初预算数存在差异的主要原因是原环保局退休人员划入到我局。</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基本养老保险缴费支出（项）18.32万元,主要是人员养老保险等支出，完成年初预算的87.24%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其他社会保障和就业支出（款）其他社会保障和就业支出（项）0.41万元,主要是人员工伤保险等支出，完成年初预算的151.85%，决算数与年初预算数存在差异的主要原因是基数调整，保险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2.卫生健康支出9.52万元，具体包括：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（1）卫生健康支出（类）公共卫生（款）重大公共卫生服务（项）1.79万元,主要是人员经费等支出，完成年初预算的100%，决算数与年初预算数存在差异的主要原因是防疫一线人员补助。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（2）卫生健康支出（类）行政事业单位医疗（款）行政单位医疗（项）7.45万元,主要是人员医疗保险等支出，完成年初预算的81.07%，决算数与年初预算数存在差异的主要原因是人员减少。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（3）卫生健康支出（类）行政事业单位医疗（款）其他行政事业单位医疗支出（项）0.28万元,主要是人员大额医疗保险等支出，完成年初预算的127.27%，决算数与年初预算数存在差异的主要原因是退休人员增加。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3.住房保障支出15.62万元，具体包括：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（1）住房保障支出（类）住房改革支出（款）住房公积金（项）15.62万元,主要是住房公积金等支出，完成年初预算的90.92%，决算数与年初预算数存在差异的主要原因是人员减少。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221.27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182.87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38.40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38.40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比上年增加27.09万元，增长239.52%</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单位取暖费增加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盘锦市大洼区人力资源和社会保障局2023年度部门决算整体绩效目标267.86万元，其中，基本支出221.27万元，项目支出46.6万元。</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21.卫生健康支出（类）行政事业单位医疗（款）事业单位医疗（项）：反映财政部门安排的事业单位基本医疗保险缴费经费，未参加医疗保险的事业单位的公费医疗经费，按国家规定享受离休人员待遇的医疗经费。</w:t>
        <w:br/>
        <w:t xml:space="preserve">    22.住房保障（类）住房改革（款）住房公积金（项）：反映行政事业单位按人力资源和社会保障部、财政部规定的基本工资和津贴补贴以及规定比例为职工缴纳的住房公积金。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267.86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242.74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9.51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15.62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267.86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267.86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267.86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267.86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267.86</w:t>
            </w:r>
          </w:p>
        </w:tc>
        <w:tc>
          <w:tcPr>
            <w:tcW w:w="1160" w:type="dxa"/>
            <w:tcBorders/>
            <w:vAlign w:val="center"/>
          </w:tcPr>
          <w:p>
            <w:pPr>
              <w:jc w:val="right"/>
            </w:pPr>
            <w:r>
              <w:rPr>
                <w:rFonts w:ascii="宋体" w:eastAsia="宋体" w:hAnsi="宋体" w:cs="宋体"/>
                <w:b/>
                <w:i w:val="0"/>
                <w:color w:val="000000"/>
                <w:sz w:val="14"/>
              </w:rPr>
              <w:t xml:space="preserve">267.86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242.74</w:t>
            </w:r>
          </w:p>
        </w:tc>
        <w:tc>
          <w:tcPr>
            <w:tcW w:w="1160" w:type="dxa"/>
            <w:tcBorders/>
            <w:vAlign w:val="center"/>
          </w:tcPr>
          <w:p>
            <w:pPr>
              <w:jc w:val="right"/>
            </w:pPr>
            <w:r>
              <w:rPr>
                <w:rFonts w:ascii="宋体" w:eastAsia="宋体" w:hAnsi="宋体" w:cs="宋体"/>
                <w:b w:val="0"/>
                <w:i w:val="0"/>
                <w:color w:val="000000"/>
                <w:sz w:val="14"/>
              </w:rPr>
              <w:t xml:space="preserve">242.74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人力资源和社会保障管理事务</w:t>
            </w:r>
          </w:p>
        </w:tc>
        <w:tc>
          <w:tcPr>
            <w:tcW w:w="1160" w:type="dxa"/>
            <w:tcBorders/>
            <w:vAlign w:val="center"/>
          </w:tcPr>
          <w:p>
            <w:pPr>
              <w:jc w:val="right"/>
            </w:pPr>
            <w:r>
              <w:rPr>
                <w:rFonts w:ascii="宋体" w:eastAsia="宋体" w:hAnsi="宋体" w:cs="宋体"/>
                <w:b w:val="0"/>
                <w:i w:val="0"/>
                <w:color w:val="000000"/>
                <w:sz w:val="14"/>
              </w:rPr>
              <w:t xml:space="preserve">211.03</w:t>
            </w:r>
          </w:p>
        </w:tc>
        <w:tc>
          <w:tcPr>
            <w:tcW w:w="1160" w:type="dxa"/>
            <w:tcBorders/>
            <w:vAlign w:val="center"/>
          </w:tcPr>
          <w:p>
            <w:pPr>
              <w:jc w:val="right"/>
            </w:pPr>
            <w:r>
              <w:rPr>
                <w:rFonts w:ascii="宋体" w:eastAsia="宋体" w:hAnsi="宋体" w:cs="宋体"/>
                <w:b w:val="0"/>
                <w:i w:val="0"/>
                <w:color w:val="000000"/>
                <w:sz w:val="14"/>
              </w:rPr>
              <w:t xml:space="preserve">211.03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164.43</w:t>
            </w:r>
          </w:p>
        </w:tc>
        <w:tc>
          <w:tcPr>
            <w:tcW w:w="1160" w:type="dxa"/>
            <w:tcBorders/>
            <w:vAlign w:val="center"/>
          </w:tcPr>
          <w:p>
            <w:pPr>
              <w:jc w:val="right"/>
            </w:pPr>
            <w:r>
              <w:rPr>
                <w:rFonts w:ascii="宋体" w:eastAsia="宋体" w:hAnsi="宋体" w:cs="宋体"/>
                <w:b w:val="0"/>
                <w:i w:val="0"/>
                <w:color w:val="000000"/>
                <w:sz w:val="14"/>
              </w:rPr>
              <w:t xml:space="preserve">164.43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46.60</w:t>
            </w:r>
          </w:p>
        </w:tc>
        <w:tc>
          <w:tcPr>
            <w:tcW w:w="1160" w:type="dxa"/>
            <w:tcBorders/>
            <w:vAlign w:val="center"/>
          </w:tcPr>
          <w:p>
            <w:pPr>
              <w:jc w:val="right"/>
            </w:pPr>
            <w:r>
              <w:rPr>
                <w:rFonts w:ascii="宋体" w:eastAsia="宋体" w:hAnsi="宋体" w:cs="宋体"/>
                <w:b w:val="0"/>
                <w:i w:val="0"/>
                <w:color w:val="000000"/>
                <w:sz w:val="14"/>
              </w:rPr>
              <w:t xml:space="preserve">46.60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31.30</w:t>
            </w:r>
          </w:p>
        </w:tc>
        <w:tc>
          <w:tcPr>
            <w:tcW w:w="1160" w:type="dxa"/>
            <w:tcBorders/>
            <w:vAlign w:val="center"/>
          </w:tcPr>
          <w:p>
            <w:pPr>
              <w:jc w:val="right"/>
            </w:pPr>
            <w:r>
              <w:rPr>
                <w:rFonts w:ascii="宋体" w:eastAsia="宋体" w:hAnsi="宋体" w:cs="宋体"/>
                <w:b w:val="0"/>
                <w:i w:val="0"/>
                <w:color w:val="000000"/>
                <w:sz w:val="14"/>
              </w:rPr>
              <w:t xml:space="preserve">31.30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12.98</w:t>
            </w:r>
          </w:p>
        </w:tc>
        <w:tc>
          <w:tcPr>
            <w:tcW w:w="1160" w:type="dxa"/>
            <w:tcBorders/>
            <w:vAlign w:val="center"/>
          </w:tcPr>
          <w:p>
            <w:pPr>
              <w:jc w:val="right"/>
            </w:pPr>
            <w:r>
              <w:rPr>
                <w:rFonts w:ascii="宋体" w:eastAsia="宋体" w:hAnsi="宋体" w:cs="宋体"/>
                <w:b w:val="0"/>
                <w:i w:val="0"/>
                <w:color w:val="000000"/>
                <w:sz w:val="14"/>
              </w:rPr>
              <w:t xml:space="preserve">12.98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18.32</w:t>
            </w:r>
          </w:p>
        </w:tc>
        <w:tc>
          <w:tcPr>
            <w:tcW w:w="1160" w:type="dxa"/>
            <w:tcBorders/>
            <w:vAlign w:val="center"/>
          </w:tcPr>
          <w:p>
            <w:pPr>
              <w:jc w:val="right"/>
            </w:pPr>
            <w:r>
              <w:rPr>
                <w:rFonts w:ascii="宋体" w:eastAsia="宋体" w:hAnsi="宋体" w:cs="宋体"/>
                <w:b w:val="0"/>
                <w:i w:val="0"/>
                <w:color w:val="000000"/>
                <w:sz w:val="14"/>
              </w:rPr>
              <w:t xml:space="preserve">18.32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9.52</w:t>
            </w:r>
          </w:p>
        </w:tc>
        <w:tc>
          <w:tcPr>
            <w:tcW w:w="1160" w:type="dxa"/>
            <w:tcBorders/>
            <w:vAlign w:val="center"/>
          </w:tcPr>
          <w:p>
            <w:pPr>
              <w:jc w:val="right"/>
            </w:pPr>
            <w:r>
              <w:rPr>
                <w:rFonts w:ascii="宋体" w:eastAsia="宋体" w:hAnsi="宋体" w:cs="宋体"/>
                <w:b w:val="0"/>
                <w:i w:val="0"/>
                <w:color w:val="000000"/>
                <w:sz w:val="14"/>
              </w:rPr>
              <w:t xml:space="preserve">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jc w:val="right"/>
            </w:pPr>
            <w:r>
              <w:rPr>
                <w:rFonts w:ascii="宋体" w:eastAsia="宋体" w:hAnsi="宋体" w:cs="宋体"/>
                <w:b w:val="0"/>
                <w:i w:val="0"/>
                <w:color w:val="000000"/>
                <w:sz w:val="14"/>
              </w:rPr>
              <w:t xml:space="preserve">1.79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7.73</w:t>
            </w:r>
          </w:p>
        </w:tc>
        <w:tc>
          <w:tcPr>
            <w:tcW w:w="1160" w:type="dxa"/>
            <w:tcBorders/>
            <w:vAlign w:val="center"/>
          </w:tcPr>
          <w:p>
            <w:pPr>
              <w:jc w:val="right"/>
            </w:pPr>
            <w:r>
              <w:rPr>
                <w:rFonts w:ascii="宋体" w:eastAsia="宋体" w:hAnsi="宋体" w:cs="宋体"/>
                <w:b w:val="0"/>
                <w:i w:val="0"/>
                <w:color w:val="000000"/>
                <w:sz w:val="14"/>
              </w:rPr>
              <w:t xml:space="preserve">7.73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7.45</w:t>
            </w:r>
          </w:p>
        </w:tc>
        <w:tc>
          <w:tcPr>
            <w:tcW w:w="1160" w:type="dxa"/>
            <w:tcBorders/>
            <w:vAlign w:val="center"/>
          </w:tcPr>
          <w:p>
            <w:pPr>
              <w:jc w:val="right"/>
            </w:pPr>
            <w:r>
              <w:rPr>
                <w:rFonts w:ascii="宋体" w:eastAsia="宋体" w:hAnsi="宋体" w:cs="宋体"/>
                <w:b w:val="0"/>
                <w:i w:val="0"/>
                <w:color w:val="000000"/>
                <w:sz w:val="14"/>
              </w:rPr>
              <w:t xml:space="preserve">7.45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jc w:val="right"/>
            </w:pPr>
            <w:r>
              <w:rPr>
                <w:rFonts w:ascii="宋体" w:eastAsia="宋体" w:hAnsi="宋体" w:cs="宋体"/>
                <w:b w:val="0"/>
                <w:i w:val="0"/>
                <w:color w:val="000000"/>
                <w:sz w:val="14"/>
              </w:rPr>
              <w:t xml:space="preserve">0.28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15.62</w:t>
            </w:r>
          </w:p>
        </w:tc>
        <w:tc>
          <w:tcPr>
            <w:tcW w:w="1160" w:type="dxa"/>
            <w:tcBorders/>
            <w:vAlign w:val="center"/>
          </w:tcPr>
          <w:p>
            <w:pPr>
              <w:jc w:val="right"/>
            </w:pPr>
            <w:r>
              <w:rPr>
                <w:rFonts w:ascii="宋体" w:eastAsia="宋体" w:hAnsi="宋体" w:cs="宋体"/>
                <w:b w:val="0"/>
                <w:i w:val="0"/>
                <w:color w:val="000000"/>
                <w:sz w:val="14"/>
              </w:rPr>
              <w:t xml:space="preserve">15.62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15.62</w:t>
            </w:r>
          </w:p>
        </w:tc>
        <w:tc>
          <w:tcPr>
            <w:tcW w:w="1160" w:type="dxa"/>
            <w:tcBorders/>
            <w:vAlign w:val="center"/>
          </w:tcPr>
          <w:p>
            <w:pPr>
              <w:jc w:val="right"/>
            </w:pPr>
            <w:r>
              <w:rPr>
                <w:rFonts w:ascii="宋体" w:eastAsia="宋体" w:hAnsi="宋体" w:cs="宋体"/>
                <w:b w:val="0"/>
                <w:i w:val="0"/>
                <w:color w:val="000000"/>
                <w:sz w:val="14"/>
              </w:rPr>
              <w:t xml:space="preserve">15.62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15.62</w:t>
            </w:r>
          </w:p>
        </w:tc>
        <w:tc>
          <w:tcPr>
            <w:tcW w:w="1160" w:type="dxa"/>
            <w:tcBorders/>
            <w:vAlign w:val="center"/>
          </w:tcPr>
          <w:p>
            <w:pPr>
              <w:jc w:val="right"/>
            </w:pPr>
            <w:r>
              <w:rPr>
                <w:rFonts w:ascii="宋体" w:eastAsia="宋体" w:hAnsi="宋体" w:cs="宋体"/>
                <w:b w:val="0"/>
                <w:i w:val="0"/>
                <w:color w:val="000000"/>
                <w:sz w:val="14"/>
              </w:rPr>
              <w:t xml:space="preserve">15.62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267.86</w:t>
            </w:r>
          </w:p>
        </w:tc>
        <w:tc>
          <w:tcPr>
            <w:tcW w:w="1120" w:type="dxa"/>
            <w:tcBorders/>
            <w:vAlign w:val="center"/>
          </w:tcPr>
          <w:p>
            <w:pPr>
              <w:jc w:val="right"/>
            </w:pPr>
            <w:r>
              <w:rPr>
                <w:rFonts w:ascii="宋体" w:eastAsia="宋体" w:hAnsi="宋体" w:cs="宋体"/>
                <w:b/>
                <w:i w:val="0"/>
                <w:color w:val="000000"/>
                <w:sz w:val="16"/>
              </w:rPr>
              <w:t xml:space="preserve">221.27</w:t>
            </w:r>
          </w:p>
        </w:tc>
        <w:tc>
          <w:tcPr>
            <w:tcW w:w="1120" w:type="dxa"/>
            <w:tcBorders/>
            <w:vAlign w:val="center"/>
          </w:tcPr>
          <w:p>
            <w:pPr>
              <w:jc w:val="right"/>
            </w:pPr>
            <w:r>
              <w:rPr>
                <w:rFonts w:ascii="宋体" w:eastAsia="宋体" w:hAnsi="宋体" w:cs="宋体"/>
                <w:b/>
                <w:i w:val="0"/>
                <w:color w:val="000000"/>
                <w:sz w:val="16"/>
              </w:rPr>
              <w:t xml:space="preserve">46.60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242.74</w:t>
            </w:r>
          </w:p>
        </w:tc>
        <w:tc>
          <w:tcPr>
            <w:tcW w:w="1120" w:type="dxa"/>
            <w:tcBorders/>
            <w:vAlign w:val="center"/>
          </w:tcPr>
          <w:p>
            <w:pPr>
              <w:jc w:val="right"/>
            </w:pPr>
            <w:r>
              <w:rPr>
                <w:rFonts w:ascii="宋体" w:eastAsia="宋体" w:hAnsi="宋体" w:cs="宋体"/>
                <w:b w:val="0"/>
                <w:i w:val="0"/>
                <w:color w:val="000000"/>
                <w:sz w:val="16"/>
              </w:rPr>
              <w:t xml:space="preserve">196.14</w:t>
            </w:r>
          </w:p>
        </w:tc>
        <w:tc>
          <w:tcPr>
            <w:tcW w:w="1120" w:type="dxa"/>
            <w:tcBorders/>
            <w:vAlign w:val="center"/>
          </w:tcPr>
          <w:p>
            <w:pPr>
              <w:jc w:val="right"/>
            </w:pPr>
            <w:r>
              <w:rPr>
                <w:rFonts w:ascii="宋体" w:eastAsia="宋体" w:hAnsi="宋体" w:cs="宋体"/>
                <w:b w:val="0"/>
                <w:i w:val="0"/>
                <w:color w:val="000000"/>
                <w:sz w:val="16"/>
              </w:rPr>
              <w:t xml:space="preserve">46.60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人力资源和社会保障管理事务</w:t>
            </w:r>
          </w:p>
        </w:tc>
        <w:tc>
          <w:tcPr>
            <w:tcW w:w="1120" w:type="dxa"/>
            <w:tcBorders/>
            <w:vAlign w:val="center"/>
          </w:tcPr>
          <w:p>
            <w:pPr>
              <w:jc w:val="right"/>
            </w:pPr>
            <w:r>
              <w:rPr>
                <w:rFonts w:ascii="宋体" w:eastAsia="宋体" w:hAnsi="宋体" w:cs="宋体"/>
                <w:b w:val="0"/>
                <w:i w:val="0"/>
                <w:color w:val="000000"/>
                <w:sz w:val="16"/>
              </w:rPr>
              <w:t xml:space="preserve">211.03</w:t>
            </w:r>
          </w:p>
        </w:tc>
        <w:tc>
          <w:tcPr>
            <w:tcW w:w="1120" w:type="dxa"/>
            <w:tcBorders/>
            <w:vAlign w:val="center"/>
          </w:tcPr>
          <w:p>
            <w:pPr>
              <w:jc w:val="right"/>
            </w:pPr>
            <w:r>
              <w:rPr>
                <w:rFonts w:ascii="宋体" w:eastAsia="宋体" w:hAnsi="宋体" w:cs="宋体"/>
                <w:b w:val="0"/>
                <w:i w:val="0"/>
                <w:color w:val="000000"/>
                <w:sz w:val="16"/>
              </w:rPr>
              <w:t xml:space="preserve">164.43</w:t>
            </w:r>
          </w:p>
        </w:tc>
        <w:tc>
          <w:tcPr>
            <w:tcW w:w="1120" w:type="dxa"/>
            <w:tcBorders/>
            <w:vAlign w:val="center"/>
          </w:tcPr>
          <w:p>
            <w:pPr>
              <w:jc w:val="right"/>
            </w:pPr>
            <w:r>
              <w:rPr>
                <w:rFonts w:ascii="宋体" w:eastAsia="宋体" w:hAnsi="宋体" w:cs="宋体"/>
                <w:b w:val="0"/>
                <w:i w:val="0"/>
                <w:color w:val="000000"/>
                <w:sz w:val="16"/>
              </w:rPr>
              <w:t xml:space="preserve">46.60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164.43</w:t>
            </w:r>
          </w:p>
        </w:tc>
        <w:tc>
          <w:tcPr>
            <w:tcW w:w="1120" w:type="dxa"/>
            <w:tcBorders/>
            <w:vAlign w:val="center"/>
          </w:tcPr>
          <w:p>
            <w:pPr>
              <w:jc w:val="right"/>
            </w:pPr>
            <w:r>
              <w:rPr>
                <w:rFonts w:ascii="宋体" w:eastAsia="宋体" w:hAnsi="宋体" w:cs="宋体"/>
                <w:b w:val="0"/>
                <w:i w:val="0"/>
                <w:color w:val="000000"/>
                <w:sz w:val="16"/>
              </w:rPr>
              <w:t xml:space="preserve">164.43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46.60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46.60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31.30</w:t>
            </w:r>
          </w:p>
        </w:tc>
        <w:tc>
          <w:tcPr>
            <w:tcW w:w="1120" w:type="dxa"/>
            <w:tcBorders/>
            <w:vAlign w:val="center"/>
          </w:tcPr>
          <w:p>
            <w:pPr>
              <w:jc w:val="right"/>
            </w:pPr>
            <w:r>
              <w:rPr>
                <w:rFonts w:ascii="宋体" w:eastAsia="宋体" w:hAnsi="宋体" w:cs="宋体"/>
                <w:b w:val="0"/>
                <w:i w:val="0"/>
                <w:color w:val="000000"/>
                <w:sz w:val="16"/>
              </w:rPr>
              <w:t xml:space="preserve">31.30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12.98</w:t>
            </w:r>
          </w:p>
        </w:tc>
        <w:tc>
          <w:tcPr>
            <w:tcW w:w="1120" w:type="dxa"/>
            <w:tcBorders/>
            <w:vAlign w:val="center"/>
          </w:tcPr>
          <w:p>
            <w:pPr>
              <w:jc w:val="right"/>
            </w:pPr>
            <w:r>
              <w:rPr>
                <w:rFonts w:ascii="宋体" w:eastAsia="宋体" w:hAnsi="宋体" w:cs="宋体"/>
                <w:b w:val="0"/>
                <w:i w:val="0"/>
                <w:color w:val="000000"/>
                <w:sz w:val="16"/>
              </w:rPr>
              <w:t xml:space="preserve">12.98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18.32</w:t>
            </w:r>
          </w:p>
        </w:tc>
        <w:tc>
          <w:tcPr>
            <w:tcW w:w="1120" w:type="dxa"/>
            <w:tcBorders/>
            <w:vAlign w:val="center"/>
          </w:tcPr>
          <w:p>
            <w:pPr>
              <w:jc w:val="right"/>
            </w:pPr>
            <w:r>
              <w:rPr>
                <w:rFonts w:ascii="宋体" w:eastAsia="宋体" w:hAnsi="宋体" w:cs="宋体"/>
                <w:b w:val="0"/>
                <w:i w:val="0"/>
                <w:color w:val="000000"/>
                <w:sz w:val="16"/>
              </w:rPr>
              <w:t xml:space="preserve">18.32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9.52</w:t>
            </w:r>
          </w:p>
        </w:tc>
        <w:tc>
          <w:tcPr>
            <w:tcW w:w="1120" w:type="dxa"/>
            <w:tcBorders/>
            <w:vAlign w:val="center"/>
          </w:tcPr>
          <w:p>
            <w:pPr>
              <w:jc w:val="right"/>
            </w:pPr>
            <w:r>
              <w:rPr>
                <w:rFonts w:ascii="宋体" w:eastAsia="宋体" w:hAnsi="宋体" w:cs="宋体"/>
                <w:b w:val="0"/>
                <w:i w:val="0"/>
                <w:color w:val="000000"/>
                <w:sz w:val="16"/>
              </w:rPr>
              <w:t xml:space="preserve">9.52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jc w:val="right"/>
            </w:pPr>
            <w:r>
              <w:rPr>
                <w:rFonts w:ascii="宋体" w:eastAsia="宋体" w:hAnsi="宋体" w:cs="宋体"/>
                <w:b w:val="0"/>
                <w:i w:val="0"/>
                <w:color w:val="000000"/>
                <w:sz w:val="16"/>
              </w:rPr>
              <w:t xml:space="preserve">1.79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7.73</w:t>
            </w:r>
          </w:p>
        </w:tc>
        <w:tc>
          <w:tcPr>
            <w:tcW w:w="1120" w:type="dxa"/>
            <w:tcBorders/>
            <w:vAlign w:val="center"/>
          </w:tcPr>
          <w:p>
            <w:pPr>
              <w:jc w:val="right"/>
            </w:pPr>
            <w:r>
              <w:rPr>
                <w:rFonts w:ascii="宋体" w:eastAsia="宋体" w:hAnsi="宋体" w:cs="宋体"/>
                <w:b w:val="0"/>
                <w:i w:val="0"/>
                <w:color w:val="000000"/>
                <w:sz w:val="16"/>
              </w:rPr>
              <w:t xml:space="preserve">7.73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7.45</w:t>
            </w:r>
          </w:p>
        </w:tc>
        <w:tc>
          <w:tcPr>
            <w:tcW w:w="1120" w:type="dxa"/>
            <w:tcBorders/>
            <w:vAlign w:val="center"/>
          </w:tcPr>
          <w:p>
            <w:pPr>
              <w:jc w:val="right"/>
            </w:pPr>
            <w:r>
              <w:rPr>
                <w:rFonts w:ascii="宋体" w:eastAsia="宋体" w:hAnsi="宋体" w:cs="宋体"/>
                <w:b w:val="0"/>
                <w:i w:val="0"/>
                <w:color w:val="000000"/>
                <w:sz w:val="16"/>
              </w:rPr>
              <w:t xml:space="preserve">7.45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jc w:val="right"/>
            </w:pPr>
            <w:r>
              <w:rPr>
                <w:rFonts w:ascii="宋体" w:eastAsia="宋体" w:hAnsi="宋体" w:cs="宋体"/>
                <w:b w:val="0"/>
                <w:i w:val="0"/>
                <w:color w:val="000000"/>
                <w:sz w:val="16"/>
              </w:rPr>
              <w:t xml:space="preserve">0.28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15.62</w:t>
            </w:r>
          </w:p>
        </w:tc>
        <w:tc>
          <w:tcPr>
            <w:tcW w:w="1120" w:type="dxa"/>
            <w:tcBorders/>
            <w:vAlign w:val="center"/>
          </w:tcPr>
          <w:p>
            <w:pPr>
              <w:jc w:val="right"/>
            </w:pPr>
            <w:r>
              <w:rPr>
                <w:rFonts w:ascii="宋体" w:eastAsia="宋体" w:hAnsi="宋体" w:cs="宋体"/>
                <w:b w:val="0"/>
                <w:i w:val="0"/>
                <w:color w:val="000000"/>
                <w:sz w:val="16"/>
              </w:rPr>
              <w:t xml:space="preserve">15.62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15.62</w:t>
            </w:r>
          </w:p>
        </w:tc>
        <w:tc>
          <w:tcPr>
            <w:tcW w:w="1120" w:type="dxa"/>
            <w:tcBorders/>
            <w:vAlign w:val="center"/>
          </w:tcPr>
          <w:p>
            <w:pPr>
              <w:jc w:val="right"/>
            </w:pPr>
            <w:r>
              <w:rPr>
                <w:rFonts w:ascii="宋体" w:eastAsia="宋体" w:hAnsi="宋体" w:cs="宋体"/>
                <w:b w:val="0"/>
                <w:i w:val="0"/>
                <w:color w:val="000000"/>
                <w:sz w:val="16"/>
              </w:rPr>
              <w:t xml:space="preserve">15.62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15.62</w:t>
            </w:r>
          </w:p>
        </w:tc>
        <w:tc>
          <w:tcPr>
            <w:tcW w:w="1120" w:type="dxa"/>
            <w:tcBorders/>
            <w:vAlign w:val="center"/>
          </w:tcPr>
          <w:p>
            <w:pPr>
              <w:jc w:val="right"/>
            </w:pPr>
            <w:r>
              <w:rPr>
                <w:rFonts w:ascii="宋体" w:eastAsia="宋体" w:hAnsi="宋体" w:cs="宋体"/>
                <w:b w:val="0"/>
                <w:i w:val="0"/>
                <w:color w:val="000000"/>
                <w:sz w:val="16"/>
              </w:rPr>
              <w:t xml:space="preserve">15.62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267.86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242.74</w:t>
            </w:r>
          </w:p>
        </w:tc>
        <w:tc>
          <w:tcPr>
            <w:tcW w:w="1100" w:type="dxa"/>
            <w:tcBorders/>
            <w:vAlign w:val="center"/>
          </w:tcPr>
          <w:p>
            <w:pPr>
              <w:jc w:val="right"/>
            </w:pPr>
            <w:r>
              <w:rPr>
                <w:rFonts w:ascii="宋体" w:eastAsia="宋体" w:hAnsi="宋体" w:cs="宋体"/>
                <w:b w:val="0"/>
                <w:i w:val="0"/>
                <w:color w:val="000000"/>
                <w:sz w:val="14"/>
              </w:rPr>
              <w:t xml:space="preserve">242.74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9.51</w:t>
            </w:r>
          </w:p>
        </w:tc>
        <w:tc>
          <w:tcPr>
            <w:tcW w:w="1100" w:type="dxa"/>
            <w:tcBorders/>
            <w:vAlign w:val="center"/>
          </w:tcPr>
          <w:p>
            <w:pPr>
              <w:jc w:val="right"/>
            </w:pPr>
            <w:r>
              <w:rPr>
                <w:rFonts w:ascii="宋体" w:eastAsia="宋体" w:hAnsi="宋体" w:cs="宋体"/>
                <w:b w:val="0"/>
                <w:i w:val="0"/>
                <w:color w:val="000000"/>
                <w:sz w:val="14"/>
              </w:rPr>
              <w:t xml:space="preserve">9.51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15.62</w:t>
            </w:r>
          </w:p>
        </w:tc>
        <w:tc>
          <w:tcPr>
            <w:tcW w:w="1100" w:type="dxa"/>
            <w:tcBorders/>
            <w:vAlign w:val="center"/>
          </w:tcPr>
          <w:p>
            <w:pPr>
              <w:jc w:val="right"/>
            </w:pPr>
            <w:r>
              <w:rPr>
                <w:rFonts w:ascii="宋体" w:eastAsia="宋体" w:hAnsi="宋体" w:cs="宋体"/>
                <w:b w:val="0"/>
                <w:i w:val="0"/>
                <w:color w:val="000000"/>
                <w:sz w:val="14"/>
              </w:rPr>
              <w:t xml:space="preserve">15.62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267.86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267.86</w:t>
            </w:r>
          </w:p>
        </w:tc>
        <w:tc>
          <w:tcPr>
            <w:tcW w:w="1100" w:type="dxa"/>
            <w:tcBorders/>
            <w:vAlign w:val="center"/>
          </w:tcPr>
          <w:p>
            <w:pPr>
              <w:jc w:val="right"/>
            </w:pPr>
            <w:r>
              <w:rPr>
                <w:rFonts w:ascii="宋体" w:eastAsia="宋体" w:hAnsi="宋体" w:cs="宋体"/>
                <w:b w:val="0"/>
                <w:i w:val="0"/>
                <w:color w:val="000000"/>
                <w:sz w:val="14"/>
              </w:rPr>
              <w:t xml:space="preserve">267.86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267.86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267.86</w:t>
            </w:r>
          </w:p>
        </w:tc>
        <w:tc>
          <w:tcPr>
            <w:tcW w:w="1100" w:type="dxa"/>
            <w:tcBorders/>
            <w:vAlign w:val="center"/>
          </w:tcPr>
          <w:p>
            <w:pPr>
              <w:jc w:val="right"/>
            </w:pPr>
            <w:r>
              <w:rPr>
                <w:rFonts w:ascii="宋体" w:eastAsia="宋体" w:hAnsi="宋体" w:cs="宋体"/>
                <w:b w:val="0"/>
                <w:i w:val="0"/>
                <w:color w:val="000000"/>
                <w:sz w:val="14"/>
              </w:rPr>
              <w:t xml:space="preserve">267.86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267.86</w:t>
            </w:r>
          </w:p>
        </w:tc>
        <w:tc>
          <w:tcPr>
            <w:tcW w:w="1980" w:type="dxa"/>
            <w:tcBorders/>
            <w:vAlign w:val="center"/>
          </w:tcPr>
          <w:p>
            <w:pPr>
              <w:jc w:val="right"/>
            </w:pPr>
            <w:r>
              <w:rPr>
                <w:rFonts w:ascii="宋体" w:eastAsia="宋体" w:hAnsi="宋体" w:cs="宋体"/>
                <w:b/>
                <w:i w:val="0"/>
                <w:color w:val="000000"/>
                <w:sz w:val="20"/>
              </w:rPr>
              <w:t xml:space="preserve">221.27</w:t>
            </w:r>
          </w:p>
        </w:tc>
        <w:tc>
          <w:tcPr>
            <w:tcW w:w="1952" w:type="dxa"/>
            <w:tcBorders/>
            <w:vAlign w:val="center"/>
          </w:tcPr>
          <w:p>
            <w:pPr>
              <w:jc w:val="right"/>
            </w:pPr>
            <w:r>
              <w:rPr>
                <w:rFonts w:ascii="宋体" w:eastAsia="宋体" w:hAnsi="宋体" w:cs="宋体"/>
                <w:b/>
                <w:i w:val="0"/>
                <w:color w:val="000000"/>
                <w:sz w:val="20"/>
              </w:rPr>
              <w:t xml:space="preserve">46.60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242.74</w:t>
            </w:r>
          </w:p>
        </w:tc>
        <w:tc>
          <w:tcPr>
            <w:tcW w:w="1980" w:type="dxa"/>
            <w:tcBorders/>
            <w:vAlign w:val="center"/>
          </w:tcPr>
          <w:p>
            <w:pPr>
              <w:jc w:val="right"/>
            </w:pPr>
            <w:r>
              <w:rPr>
                <w:rFonts w:ascii="宋体" w:eastAsia="宋体" w:hAnsi="宋体" w:cs="宋体"/>
                <w:b w:val="0"/>
                <w:i w:val="0"/>
                <w:color w:val="000000"/>
                <w:sz w:val="20"/>
              </w:rPr>
              <w:t xml:space="preserve">196.14</w:t>
            </w:r>
          </w:p>
        </w:tc>
        <w:tc>
          <w:tcPr>
            <w:tcW w:w="1952" w:type="dxa"/>
            <w:tcBorders/>
            <w:vAlign w:val="center"/>
          </w:tcPr>
          <w:p>
            <w:pPr>
              <w:jc w:val="right"/>
            </w:pPr>
            <w:r>
              <w:rPr>
                <w:rFonts w:ascii="宋体" w:eastAsia="宋体" w:hAnsi="宋体" w:cs="宋体"/>
                <w:b w:val="0"/>
                <w:i w:val="0"/>
                <w:color w:val="000000"/>
                <w:sz w:val="20"/>
              </w:rPr>
              <w:t xml:space="preserve">46.60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人力资源和社会保障管理事务</w:t>
            </w:r>
          </w:p>
        </w:tc>
        <w:tc>
          <w:tcPr>
            <w:tcW w:w="1980" w:type="dxa"/>
            <w:tcBorders/>
            <w:vAlign w:val="center"/>
          </w:tcPr>
          <w:p>
            <w:pPr>
              <w:jc w:val="right"/>
            </w:pPr>
            <w:r>
              <w:rPr>
                <w:rFonts w:ascii="宋体" w:eastAsia="宋体" w:hAnsi="宋体" w:cs="宋体"/>
                <w:b w:val="0"/>
                <w:i w:val="0"/>
                <w:color w:val="000000"/>
                <w:sz w:val="20"/>
              </w:rPr>
              <w:t xml:space="preserve">211.03</w:t>
            </w:r>
          </w:p>
        </w:tc>
        <w:tc>
          <w:tcPr>
            <w:tcW w:w="1980" w:type="dxa"/>
            <w:tcBorders/>
            <w:vAlign w:val="center"/>
          </w:tcPr>
          <w:p>
            <w:pPr>
              <w:jc w:val="right"/>
            </w:pPr>
            <w:r>
              <w:rPr>
                <w:rFonts w:ascii="宋体" w:eastAsia="宋体" w:hAnsi="宋体" w:cs="宋体"/>
                <w:b w:val="0"/>
                <w:i w:val="0"/>
                <w:color w:val="000000"/>
                <w:sz w:val="20"/>
              </w:rPr>
              <w:t xml:space="preserve">164.43</w:t>
            </w:r>
          </w:p>
        </w:tc>
        <w:tc>
          <w:tcPr>
            <w:tcW w:w="1952" w:type="dxa"/>
            <w:tcBorders/>
            <w:vAlign w:val="center"/>
          </w:tcPr>
          <w:p>
            <w:pPr>
              <w:jc w:val="right"/>
            </w:pPr>
            <w:r>
              <w:rPr>
                <w:rFonts w:ascii="宋体" w:eastAsia="宋体" w:hAnsi="宋体" w:cs="宋体"/>
                <w:b w:val="0"/>
                <w:i w:val="0"/>
                <w:color w:val="000000"/>
                <w:sz w:val="20"/>
              </w:rPr>
              <w:t xml:space="preserve">46.60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164.43</w:t>
            </w:r>
          </w:p>
        </w:tc>
        <w:tc>
          <w:tcPr>
            <w:tcW w:w="1980" w:type="dxa"/>
            <w:tcBorders/>
            <w:vAlign w:val="center"/>
          </w:tcPr>
          <w:p>
            <w:pPr>
              <w:jc w:val="right"/>
            </w:pPr>
            <w:r>
              <w:rPr>
                <w:rFonts w:ascii="宋体" w:eastAsia="宋体" w:hAnsi="宋体" w:cs="宋体"/>
                <w:b w:val="0"/>
                <w:i w:val="0"/>
                <w:color w:val="000000"/>
                <w:sz w:val="20"/>
              </w:rPr>
              <w:t xml:space="preserve">164.43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46.60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46.60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31.30</w:t>
            </w:r>
          </w:p>
        </w:tc>
        <w:tc>
          <w:tcPr>
            <w:tcW w:w="1980" w:type="dxa"/>
            <w:tcBorders/>
            <w:vAlign w:val="center"/>
          </w:tcPr>
          <w:p>
            <w:pPr>
              <w:jc w:val="right"/>
            </w:pPr>
            <w:r>
              <w:rPr>
                <w:rFonts w:ascii="宋体" w:eastAsia="宋体" w:hAnsi="宋体" w:cs="宋体"/>
                <w:b w:val="0"/>
                <w:i w:val="0"/>
                <w:color w:val="000000"/>
                <w:sz w:val="20"/>
              </w:rPr>
              <w:t xml:space="preserve">31.30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12.98</w:t>
            </w:r>
          </w:p>
        </w:tc>
        <w:tc>
          <w:tcPr>
            <w:tcW w:w="1980" w:type="dxa"/>
            <w:tcBorders/>
            <w:vAlign w:val="center"/>
          </w:tcPr>
          <w:p>
            <w:pPr>
              <w:jc w:val="right"/>
            </w:pPr>
            <w:r>
              <w:rPr>
                <w:rFonts w:ascii="宋体" w:eastAsia="宋体" w:hAnsi="宋体" w:cs="宋体"/>
                <w:b w:val="0"/>
                <w:i w:val="0"/>
                <w:color w:val="000000"/>
                <w:sz w:val="20"/>
              </w:rPr>
              <w:t xml:space="preserve">12.98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18.32</w:t>
            </w:r>
          </w:p>
        </w:tc>
        <w:tc>
          <w:tcPr>
            <w:tcW w:w="1980" w:type="dxa"/>
            <w:tcBorders/>
            <w:vAlign w:val="center"/>
          </w:tcPr>
          <w:p>
            <w:pPr>
              <w:jc w:val="right"/>
            </w:pPr>
            <w:r>
              <w:rPr>
                <w:rFonts w:ascii="宋体" w:eastAsia="宋体" w:hAnsi="宋体" w:cs="宋体"/>
                <w:b w:val="0"/>
                <w:i w:val="0"/>
                <w:color w:val="000000"/>
                <w:sz w:val="20"/>
              </w:rPr>
              <w:t xml:space="preserve">18.32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9.52</w:t>
            </w:r>
          </w:p>
        </w:tc>
        <w:tc>
          <w:tcPr>
            <w:tcW w:w="1980" w:type="dxa"/>
            <w:tcBorders/>
            <w:vAlign w:val="center"/>
          </w:tcPr>
          <w:p>
            <w:pPr>
              <w:jc w:val="right"/>
            </w:pPr>
            <w:r>
              <w:rPr>
                <w:rFonts w:ascii="宋体" w:eastAsia="宋体" w:hAnsi="宋体" w:cs="宋体"/>
                <w:b w:val="0"/>
                <w:i w:val="0"/>
                <w:color w:val="000000"/>
                <w:sz w:val="20"/>
              </w:rPr>
              <w:t xml:space="preserve">9.52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80" w:type="dxa"/>
            <w:tcBorders/>
            <w:vAlign w:val="center"/>
          </w:tcPr>
          <w:p>
            <w:pPr>
              <w:jc w:val="right"/>
            </w:pPr>
            <w:r>
              <w:rPr>
                <w:rFonts w:ascii="宋体" w:eastAsia="宋体" w:hAnsi="宋体" w:cs="宋体"/>
                <w:b w:val="0"/>
                <w:i w:val="0"/>
                <w:color w:val="000000"/>
                <w:sz w:val="20"/>
              </w:rPr>
              <w:t xml:space="preserve">1.79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7.73</w:t>
            </w:r>
          </w:p>
        </w:tc>
        <w:tc>
          <w:tcPr>
            <w:tcW w:w="1980" w:type="dxa"/>
            <w:tcBorders/>
            <w:vAlign w:val="center"/>
          </w:tcPr>
          <w:p>
            <w:pPr>
              <w:jc w:val="right"/>
            </w:pPr>
            <w:r>
              <w:rPr>
                <w:rFonts w:ascii="宋体" w:eastAsia="宋体" w:hAnsi="宋体" w:cs="宋体"/>
                <w:b w:val="0"/>
                <w:i w:val="0"/>
                <w:color w:val="000000"/>
                <w:sz w:val="20"/>
              </w:rPr>
              <w:t xml:space="preserve">7.73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7.45</w:t>
            </w:r>
          </w:p>
        </w:tc>
        <w:tc>
          <w:tcPr>
            <w:tcW w:w="1980" w:type="dxa"/>
            <w:tcBorders/>
            <w:vAlign w:val="center"/>
          </w:tcPr>
          <w:p>
            <w:pPr>
              <w:jc w:val="right"/>
            </w:pPr>
            <w:r>
              <w:rPr>
                <w:rFonts w:ascii="宋体" w:eastAsia="宋体" w:hAnsi="宋体" w:cs="宋体"/>
                <w:b w:val="0"/>
                <w:i w:val="0"/>
                <w:color w:val="000000"/>
                <w:sz w:val="20"/>
              </w:rPr>
              <w:t xml:space="preserve">7.45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80" w:type="dxa"/>
            <w:tcBorders/>
            <w:vAlign w:val="center"/>
          </w:tcPr>
          <w:p>
            <w:pPr>
              <w:jc w:val="right"/>
            </w:pPr>
            <w:r>
              <w:rPr>
                <w:rFonts w:ascii="宋体" w:eastAsia="宋体" w:hAnsi="宋体" w:cs="宋体"/>
                <w:b w:val="0"/>
                <w:i w:val="0"/>
                <w:color w:val="000000"/>
                <w:sz w:val="20"/>
              </w:rPr>
              <w:t xml:space="preserve">0.28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15.62</w:t>
            </w:r>
          </w:p>
        </w:tc>
        <w:tc>
          <w:tcPr>
            <w:tcW w:w="1980" w:type="dxa"/>
            <w:tcBorders/>
            <w:vAlign w:val="center"/>
          </w:tcPr>
          <w:p>
            <w:pPr>
              <w:jc w:val="right"/>
            </w:pPr>
            <w:r>
              <w:rPr>
                <w:rFonts w:ascii="宋体" w:eastAsia="宋体" w:hAnsi="宋体" w:cs="宋体"/>
                <w:b w:val="0"/>
                <w:i w:val="0"/>
                <w:color w:val="000000"/>
                <w:sz w:val="20"/>
              </w:rPr>
              <w:t xml:space="preserve">15.62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15.62</w:t>
            </w:r>
          </w:p>
        </w:tc>
        <w:tc>
          <w:tcPr>
            <w:tcW w:w="1980" w:type="dxa"/>
            <w:tcBorders/>
            <w:vAlign w:val="center"/>
          </w:tcPr>
          <w:p>
            <w:pPr>
              <w:jc w:val="right"/>
            </w:pPr>
            <w:r>
              <w:rPr>
                <w:rFonts w:ascii="宋体" w:eastAsia="宋体" w:hAnsi="宋体" w:cs="宋体"/>
                <w:b w:val="0"/>
                <w:i w:val="0"/>
                <w:color w:val="000000"/>
                <w:sz w:val="20"/>
              </w:rPr>
              <w:t xml:space="preserve">15.62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15.62</w:t>
            </w:r>
          </w:p>
        </w:tc>
        <w:tc>
          <w:tcPr>
            <w:tcW w:w="1980" w:type="dxa"/>
            <w:tcBorders/>
            <w:vAlign w:val="center"/>
          </w:tcPr>
          <w:p>
            <w:pPr>
              <w:jc w:val="right"/>
            </w:pPr>
            <w:r>
              <w:rPr>
                <w:rFonts w:ascii="宋体" w:eastAsia="宋体" w:hAnsi="宋体" w:cs="宋体"/>
                <w:b w:val="0"/>
                <w:i w:val="0"/>
                <w:color w:val="000000"/>
                <w:sz w:val="20"/>
              </w:rPr>
              <w:t xml:space="preserve">15.62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166.88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38.40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64.11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7.50</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37.96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0.91</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22.74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18.32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7.07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15.41</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15.62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0.37</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0.87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15.99</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12.84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3.01</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13.30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182.87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38.40</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单位：辽宁省盘锦市大洼区人力资源和社会保障局（本级）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038001盘锦市大洼区人力资源和社会保障局本级-211104000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225.93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225.93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21.68405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21.68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28.7922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28.79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153.874272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153.87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0.144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0.14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负责高校毕业生基础人才的储备与管理服务、事业单位招聘、保险政策落实等工作。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已完成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深化校企合作规模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服务企业满意度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创业带动就业</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规范预算管理，增强计划组织和预算管理水平，优化资源配置，发挥预算等规划、控制功能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规范部门预算管理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