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辽宁省盘锦市大洼区机关事务服务中心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辽宁省盘锦市大洼区机关事务服务中心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辽宁省盘锦市大洼区机关事务服务中心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辽宁省盘锦市大洼区机关事务服务中心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辽宁省盘锦市大洼区机关事务服务中心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辽宁省盘锦市大洼区机关事务服务中心概况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（一）贯彻执行国家、省、市有关机关事务管理的方针、政策和法律、法规、规章，负责制定区级机关事务服务有关制度和实施意见，负责全区区直机关事务的管理、保障和服务工作。</w:t>
        <w:br/>
        <w:t xml:space="preserve">    （二）参与全区机关事务经费有关制度制定和预算编制工作，并具体组织实施。</w:t>
        <w:br/>
        <w:t xml:space="preserve">    （三）参与全区办公用房等国有资产管理办法制定工作；负责全区办公用房资产统计、调配工作；负责外市交流领导干部保障性住房的调配、管理、后勤保障等工作；负责监管和指导各镇街、各园区办公用房的管理使用工作。</w:t>
        <w:br/>
        <w:t xml:space="preserve">    （四）负责区委、区人大、区政府、区政协的公务、商务、外事接待工作；负责指导区直各部门、各镇街、各园区接待工作；负责区直机关各职工食堂管理和社会化服务保障的检查、考核及评价工作。</w:t>
        <w:br/>
        <w:t xml:space="preserve">    （五）负责全区公务用车编制管理、配备、使用、更新、报废、日常监管等工作；负责全区公务用车管理平台建设工作；负责监督和指导各镇街、各园区公务用车管理工作。</w:t>
        <w:br/>
        <w:t xml:space="preserve">    （六）负责区直机关办公区域物业社会化服务的检查、考核及评价工作；负责区直机关办公场所修缮及公用设施管理、维护工作。</w:t>
        <w:br/>
        <w:t xml:space="preserve">    （七）负责区直机关公共机构节能日常监管、能耗统计、考核评价等工作；负责指导各镇街、各园区公共机构节能工作。</w:t>
        <w:br/>
        <w:t xml:space="preserve">    （八）负责在全区行政区域内由区本级承办的国家、省、市大型会议及重要公务活动的接待服务工作；负责由区本级组织召开的大型会议服务工作；负责上述会议、公务活动所用场所会务设备的管理、维护工作。</w:t>
        <w:br/>
        <w:t xml:space="preserve">    （九）承办区委、区政府交办的其它事项。</w:t>
        <w:br/>
        <w:t xml:space="preserve">    三、内设机构</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辽宁省盘锦市大洼区机关事务服务中心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盘锦市大洼区机关事务服务中心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2569.58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2569.57</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2569.57</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0.01</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增加1530.54万元，增长147.30%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新接收食堂及办公楼物业等</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2569.57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569.08</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22.15</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工资福利支出207.18万元；商品和服务支出356.75万元；资本性支出5.15万元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2000.49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77.85</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主要包括物业管理费、食堂运行经费等等业务支出。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增加1530.55万元，增长147.31%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新接收食堂及办公楼物业等新接收食堂及办公楼物业等</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0.01</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主要是利息等原因形成的结余。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减少0.01万元，降低53.46%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利息</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2569.57</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569.08</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2000.49</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增加1530.55万元，增长147.31%</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新接收食堂及办公楼物业等</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139.71</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281.64</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122.19</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2023年度一般公共预算财政拨款支出2569.57万元。按支出功能分类科目分，包括：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1.一般公共服务支出2517.31万元，具体包括：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事业运行（项）466.75万元,主要是新接收食堂及办公楼物业等等支出，完成年初预算的200%，决算数与年初预算数存在差异的主要原因是维修维护和公车项目未做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政府办公厅（室）及相关机构事务（款）其他政府办公厅（室）及相关机构事务支出（项）2050.56万元,主要是新接收食堂及办公楼物业等等支出，完成年初预算的125%，决算数与年初预算数存在差异的主要原因是维修维护和公车项目未做预算等。</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2.社会保障和就业支出24.40万元，具体包括：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24.11万元,主要是养老保险等支出，完成年初预算的110%，决算数与年初预算数存在差异的主要原因是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（2）社会保障和就业支出（类）其他社会保障和就业支出（款）其他社会保障和就业支出（项）0.29万元,主要是工伤保险等支出，完成年初预算的101%，决算数与年初预算数存在差异的主要原因是基数调整。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3.卫生健康支出9.71万元，具体包括：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（1）卫生健康支出（类）行政事业单位医疗（款）事业单位医疗（项）9.59万元,主要是医疗保险等支出，完成年初预算的101%，决算数与年初预算数存在差异的主要原因是基数调整。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（2）卫生健康支出（类）行政事业单位医疗（款）其他行政事业单位医疗支出（项）0.12万元,主要是大额医疗保险等支出，完成年初预算的100%，决算数与年初预算数存在差异的主要原因是无。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4.住房保障支出18.16万元，具体包括：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（1）住房保障支出（类）住房改革支出（款）住房公积金（项）18.16万元,主要是住房公积金等支出，完成年初预算的110%，决算数与年初预算数存在差异的主要原因是基数调整。</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81.29</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3251.60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大于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公车未做预算</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9.75</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71.54</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9.75</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11.99</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大于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51</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836</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9.75</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主要用于公务及商务接待等；</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比上年减少0.89万元，降低8.37%</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疫情</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71.54</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88.01</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2861.60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大于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新增公车未做预算</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比上年增加71.54万元，增长0.00%</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新增公车未做预算</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70.24</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主要用于纪委、于楼街道等单位公务用车购置等，</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5</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1.30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主要用于加油、保险等，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6</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569.08</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207.18</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361.90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6</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6</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，其他用车主要是各单位部门用车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一、项目依据</w:t>
        <w:br/>
        <w:t xml:space="preserve">    依据《中华人民共和国反食品浪费法》《党政机关厉行节约反对浪费条例》和《机关事务管理条例》等相关规定。</w:t>
        <w:br/>
        <w:t xml:space="preserve">    二、项目实施的必要性</w:t>
        <w:br/>
        <w:t xml:space="preserve">    机关食堂能有效解决机关干部工作日就餐难的问题，不仅有利于减轻机关干部经济压力，保持身体健康，也有利于机关干部集中精力开展工作，提升工作效率负担。</w:t>
        <w:br/>
        <w:t xml:space="preserve">    项目实施的合理性</w:t>
        <w:br/>
        <w:t xml:space="preserve">    规范全区党政机关食堂服务标准，落实厉行节约反对浪费要求，进一步提升机关食堂服务保障水平，提高机关干部的生活质量。</w:t>
        <w:br/>
        <w:t xml:space="preserve">    四、预期绩效的可持续性</w:t>
        <w:br/>
        <w:t xml:space="preserve">    1.项目所依据的宏观政策具有可持续性。</w:t>
        <w:br/>
        <w:t xml:space="preserve">    2.项目产出的社会效益具有可持续性。</w:t>
        <w:br/>
        <w:t xml:space="preserve">    五、筹资的合规性</w:t>
        <w:br/>
        <w:t xml:space="preserve">    项目筹资行为符合预算法及实施条例等相关规定；项目资金来源渠道合法合规，真实可靠。</w:t>
        <w:br/>
        <w:t xml:space="preserve">    六、实施期绩效目标</w:t>
        <w:br/>
        <w:t xml:space="preserve">    为机关干部提供优质低成本的伙食，更好的服务于机关干部，提高机关干部的生活质量。</w:t>
        <w:br/>
        <w:t xml:space="preserve">    一、项目依据</w:t>
        <w:br/>
        <w:t xml:space="preserve">    依据《物业管理条例》、《党政机关厉行节约反对浪费条例》和《机关事务条例》等相关规定。</w:t>
        <w:br/>
        <w:t xml:space="preserve">    二、项目实施的必要性</w:t>
        <w:br/>
        <w:t xml:space="preserve">    1.政府购买物业管理服务，其本质是行政后勤工作的社会化改革，核心是后勤服务保障工作的资源配置市场化，将原有的后勤服务保障存量资源与现有的市场资源对接。</w:t>
        <w:br/>
        <w:t xml:space="preserve">    2.专业物业管理是一种集经营、管理、服务于一身的综合性管理，管理的内容基本能够满足政府后勤服务之需要，其管理的手段与方法也足以能够为政府提供较为满意的服务。</w:t>
        <w:br/>
        <w:t xml:space="preserve">    项目实施的合理性</w:t>
        <w:br/>
        <w:t xml:space="preserve">    购买物业管理服务对贯彻厉行节约理念、推进节约型机关建设具有十分的重要意义，可以有效规范我区党政机关物业服务，解决资源不均，服务水平不一等问题，有利于服务成本的控制，从而促进党政机关的后勤保障质效、安全运行和整体形象水平提升。</w:t>
        <w:br/>
        <w:t xml:space="preserve">    四、预期绩效的可持续性</w:t>
        <w:br/>
        <w:t xml:space="preserve">    1.项目所依据的宏观政策具有可持续性。</w:t>
        <w:br/>
        <w:t xml:space="preserve">    2.项目产出的社会效益具有可持续性。</w:t>
        <w:br/>
        <w:t xml:space="preserve">    五、筹资的合规性</w:t>
        <w:br/>
        <w:t xml:space="preserve">    项目筹资行为符合预算法及实施条例等相关规定；项目资金来源渠道合法合规，真实可靠。</w:t>
        <w:br/>
        <w:t xml:space="preserve">    六、实施期绩效目标</w:t>
        <w:br/>
        <w:t xml:space="preserve">    通过统一的物业管理服务，进一步提升我区党政机关物业服务管理水平，营造安全有序、绿色整洁、文明和谐的机关办公环境。</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16.其他政府办公厅（室）及相关机构事务支出：其他政府办公厅（室）及相关机构事务支出其17.社会保障和就业（类）行政事业单位养老支出（款）事业单位离退休（项）：反映事业单位开支的离退休经费。</w:t>
        <w:br/>
        <w:t xml:space="preserve">    18社会保障和就业（类）行政事业单位养老支出（款）机关事业单位基本养老保险缴费支出（项）：反映机关事业单位实施养老保险制度由单位缴纳的基本养老保险费支出。</w:t>
        <w:br/>
        <w:t xml:space="preserve">    19.社会保障和就业（类）行政事业单位养老支出（款）机关事业单位职业年金缴费支出（项）：反映机关事业单位实施养老保险制度由单位实际缴纳的职业年金支出。</w:t>
        <w:br/>
        <w:t xml:space="preserve">    20.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br/>
        <w:t xml:space="preserve">    21.卫生健康支出（类）行政事业单位医疗（款）事业单位医疗（项）：反映财政部门安排的事业单位基本医疗保险缴费经费，未参加医疗保险的事业单位的公费医疗经费，按国家规定享受离休人员待遇的医疗经费。</w:t>
        <w:br/>
        <w:t xml:space="preserve">    22.住房保障（类）住房改革（款）住房公积金（项）：反映行政事业单位按人力资源和社会保障部、财政部规定的基本工资和津贴补贴以及规定比例为职工缴纳的住房公积金。</w:t>
        <w:br/>
        <w:t xml:space="preserve">    23.社会保障和就业（类）社会福利（款）殡葬（项）：反映行政事业单位殡葬基本支出和项目支出的经费。</w:t>
        <w:br/>
        <w:t xml:space="preserve">    24.社会保障和就业（类）其他社会保障和就业（款）其他社会保障和就业支出（项）：反映行政事业单位为职工缴纳的失业、工伤、生育、大病统筹等社会保险费的经费。</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部门：辽宁省盘锦市大洼区机关事务服务中心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2,569.57</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2,517.31</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0.01</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24.40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9.70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18.16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2,569.58</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2,569.57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0.01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2,569.58</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2,569.58</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部门：辽宁省盘锦市大洼区机关事务服务中心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2,569.58</w:t>
            </w:r>
          </w:p>
        </w:tc>
        <w:tc>
          <w:tcPr>
            <w:tcW w:w="1160" w:type="dxa"/>
            <w:tcBorders/>
            <w:vAlign w:val="center"/>
          </w:tcPr>
          <w:p>
            <w:pPr>
              <w:jc w:val="right"/>
            </w:pPr>
            <w:r>
              <w:rPr>
                <w:rFonts w:ascii="宋体" w:eastAsia="宋体" w:hAnsi="宋体" w:cs="宋体"/>
                <w:b/>
                <w:i w:val="0"/>
                <w:color w:val="000000"/>
                <w:sz w:val="14"/>
              </w:rPr>
              <w:t xml:space="preserve">2,569.57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0.01</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2,517.32</w:t>
            </w:r>
          </w:p>
        </w:tc>
        <w:tc>
          <w:tcPr>
            <w:tcW w:w="1160" w:type="dxa"/>
            <w:tcBorders/>
            <w:vAlign w:val="center"/>
          </w:tcPr>
          <w:p>
            <w:pPr>
              <w:jc w:val="right"/>
            </w:pPr>
            <w:r>
              <w:rPr>
                <w:rFonts w:ascii="宋体" w:eastAsia="宋体" w:hAnsi="宋体" w:cs="宋体"/>
                <w:b w:val="0"/>
                <w:i w:val="0"/>
                <w:color w:val="000000"/>
                <w:sz w:val="14"/>
              </w:rPr>
              <w:t xml:space="preserve">2,517.31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0.01</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2,517.32</w:t>
            </w:r>
          </w:p>
        </w:tc>
        <w:tc>
          <w:tcPr>
            <w:tcW w:w="1160" w:type="dxa"/>
            <w:tcBorders/>
            <w:vAlign w:val="center"/>
          </w:tcPr>
          <w:p>
            <w:pPr>
              <w:jc w:val="right"/>
            </w:pPr>
            <w:r>
              <w:rPr>
                <w:rFonts w:ascii="宋体" w:eastAsia="宋体" w:hAnsi="宋体" w:cs="宋体"/>
                <w:b w:val="0"/>
                <w:i w:val="0"/>
                <w:color w:val="000000"/>
                <w:sz w:val="14"/>
              </w:rPr>
              <w:t xml:space="preserve">2,517.31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0.01</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466.76</w:t>
            </w:r>
          </w:p>
        </w:tc>
        <w:tc>
          <w:tcPr>
            <w:tcW w:w="1160" w:type="dxa"/>
            <w:tcBorders/>
            <w:vAlign w:val="center"/>
          </w:tcPr>
          <w:p>
            <w:pPr>
              <w:jc w:val="right"/>
            </w:pPr>
            <w:r>
              <w:rPr>
                <w:rFonts w:ascii="宋体" w:eastAsia="宋体" w:hAnsi="宋体" w:cs="宋体"/>
                <w:b w:val="0"/>
                <w:i w:val="0"/>
                <w:color w:val="000000"/>
                <w:sz w:val="14"/>
              </w:rPr>
              <w:t xml:space="preserve">466.75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0.01</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其他政府办公厅（室）及相关机构事务支出</w:t>
            </w:r>
          </w:p>
        </w:tc>
        <w:tc>
          <w:tcPr>
            <w:tcW w:w="1160" w:type="dxa"/>
            <w:tcBorders/>
            <w:vAlign w:val="center"/>
          </w:tcPr>
          <w:p>
            <w:pPr>
              <w:jc w:val="right"/>
            </w:pPr>
            <w:r>
              <w:rPr>
                <w:rFonts w:ascii="宋体" w:eastAsia="宋体" w:hAnsi="宋体" w:cs="宋体"/>
                <w:b w:val="0"/>
                <w:i w:val="0"/>
                <w:color w:val="000000"/>
                <w:sz w:val="14"/>
              </w:rPr>
              <w:t xml:space="preserve">2,050.56</w:t>
            </w:r>
          </w:p>
        </w:tc>
        <w:tc>
          <w:tcPr>
            <w:tcW w:w="1160" w:type="dxa"/>
            <w:tcBorders/>
            <w:vAlign w:val="center"/>
          </w:tcPr>
          <w:p>
            <w:pPr>
              <w:jc w:val="right"/>
            </w:pPr>
            <w:r>
              <w:rPr>
                <w:rFonts w:ascii="宋体" w:eastAsia="宋体" w:hAnsi="宋体" w:cs="宋体"/>
                <w:b w:val="0"/>
                <w:i w:val="0"/>
                <w:color w:val="000000"/>
                <w:sz w:val="14"/>
              </w:rPr>
              <w:t xml:space="preserve">2,050.56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24.40</w:t>
            </w:r>
          </w:p>
        </w:tc>
        <w:tc>
          <w:tcPr>
            <w:tcW w:w="1160" w:type="dxa"/>
            <w:tcBorders/>
            <w:vAlign w:val="center"/>
          </w:tcPr>
          <w:p>
            <w:pPr>
              <w:jc w:val="right"/>
            </w:pPr>
            <w:r>
              <w:rPr>
                <w:rFonts w:ascii="宋体" w:eastAsia="宋体" w:hAnsi="宋体" w:cs="宋体"/>
                <w:b w:val="0"/>
                <w:i w:val="0"/>
                <w:color w:val="000000"/>
                <w:sz w:val="14"/>
              </w:rPr>
              <w:t xml:space="preserve">24.40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24.11</w:t>
            </w:r>
          </w:p>
        </w:tc>
        <w:tc>
          <w:tcPr>
            <w:tcW w:w="1160" w:type="dxa"/>
            <w:tcBorders/>
            <w:vAlign w:val="center"/>
          </w:tcPr>
          <w:p>
            <w:pPr>
              <w:jc w:val="right"/>
            </w:pPr>
            <w:r>
              <w:rPr>
                <w:rFonts w:ascii="宋体" w:eastAsia="宋体" w:hAnsi="宋体" w:cs="宋体"/>
                <w:b w:val="0"/>
                <w:i w:val="0"/>
                <w:color w:val="000000"/>
                <w:sz w:val="14"/>
              </w:rPr>
              <w:t xml:space="preserve">24.11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24.11</w:t>
            </w:r>
          </w:p>
        </w:tc>
        <w:tc>
          <w:tcPr>
            <w:tcW w:w="1160" w:type="dxa"/>
            <w:tcBorders/>
            <w:vAlign w:val="center"/>
          </w:tcPr>
          <w:p>
            <w:pPr>
              <w:jc w:val="right"/>
            </w:pPr>
            <w:r>
              <w:rPr>
                <w:rFonts w:ascii="宋体" w:eastAsia="宋体" w:hAnsi="宋体" w:cs="宋体"/>
                <w:b w:val="0"/>
                <w:i w:val="0"/>
                <w:color w:val="000000"/>
                <w:sz w:val="14"/>
              </w:rPr>
              <w:t xml:space="preserve">24.11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0.29</w:t>
            </w:r>
          </w:p>
        </w:tc>
        <w:tc>
          <w:tcPr>
            <w:tcW w:w="1160" w:type="dxa"/>
            <w:tcBorders/>
            <w:vAlign w:val="center"/>
          </w:tcPr>
          <w:p>
            <w:pPr>
              <w:jc w:val="right"/>
            </w:pPr>
            <w:r>
              <w:rPr>
                <w:rFonts w:ascii="宋体" w:eastAsia="宋体" w:hAnsi="宋体" w:cs="宋体"/>
                <w:b w:val="0"/>
                <w:i w:val="0"/>
                <w:color w:val="000000"/>
                <w:sz w:val="14"/>
              </w:rPr>
              <w:t xml:space="preserve">0.29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0.29</w:t>
            </w:r>
          </w:p>
        </w:tc>
        <w:tc>
          <w:tcPr>
            <w:tcW w:w="1160" w:type="dxa"/>
            <w:tcBorders/>
            <w:vAlign w:val="center"/>
          </w:tcPr>
          <w:p>
            <w:pPr>
              <w:jc w:val="right"/>
            </w:pPr>
            <w:r>
              <w:rPr>
                <w:rFonts w:ascii="宋体" w:eastAsia="宋体" w:hAnsi="宋体" w:cs="宋体"/>
                <w:b w:val="0"/>
                <w:i w:val="0"/>
                <w:color w:val="000000"/>
                <w:sz w:val="14"/>
              </w:rPr>
              <w:t xml:space="preserve">0.29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9.71</w:t>
            </w:r>
          </w:p>
        </w:tc>
        <w:tc>
          <w:tcPr>
            <w:tcW w:w="1160" w:type="dxa"/>
            <w:tcBorders/>
            <w:vAlign w:val="center"/>
          </w:tcPr>
          <w:p>
            <w:pPr>
              <w:jc w:val="right"/>
            </w:pPr>
            <w:r>
              <w:rPr>
                <w:rFonts w:ascii="宋体" w:eastAsia="宋体" w:hAnsi="宋体" w:cs="宋体"/>
                <w:b w:val="0"/>
                <w:i w:val="0"/>
                <w:color w:val="000000"/>
                <w:sz w:val="14"/>
              </w:rPr>
              <w:t xml:space="preserve">9.71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9.71</w:t>
            </w:r>
          </w:p>
        </w:tc>
        <w:tc>
          <w:tcPr>
            <w:tcW w:w="1160" w:type="dxa"/>
            <w:tcBorders/>
            <w:vAlign w:val="center"/>
          </w:tcPr>
          <w:p>
            <w:pPr>
              <w:jc w:val="right"/>
            </w:pPr>
            <w:r>
              <w:rPr>
                <w:rFonts w:ascii="宋体" w:eastAsia="宋体" w:hAnsi="宋体" w:cs="宋体"/>
                <w:b w:val="0"/>
                <w:i w:val="0"/>
                <w:color w:val="000000"/>
                <w:sz w:val="14"/>
              </w:rPr>
              <w:t xml:space="preserve">9.71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9.59</w:t>
            </w:r>
          </w:p>
        </w:tc>
        <w:tc>
          <w:tcPr>
            <w:tcW w:w="1160" w:type="dxa"/>
            <w:tcBorders/>
            <w:vAlign w:val="center"/>
          </w:tcPr>
          <w:p>
            <w:pPr>
              <w:jc w:val="right"/>
            </w:pPr>
            <w:r>
              <w:rPr>
                <w:rFonts w:ascii="宋体" w:eastAsia="宋体" w:hAnsi="宋体" w:cs="宋体"/>
                <w:b w:val="0"/>
                <w:i w:val="0"/>
                <w:color w:val="000000"/>
                <w:sz w:val="14"/>
              </w:rPr>
              <w:t xml:space="preserve">9.59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0.12</w:t>
            </w:r>
          </w:p>
        </w:tc>
        <w:tc>
          <w:tcPr>
            <w:tcW w:w="1160" w:type="dxa"/>
            <w:tcBorders/>
            <w:vAlign w:val="center"/>
          </w:tcPr>
          <w:p>
            <w:pPr>
              <w:jc w:val="right"/>
            </w:pPr>
            <w:r>
              <w:rPr>
                <w:rFonts w:ascii="宋体" w:eastAsia="宋体" w:hAnsi="宋体" w:cs="宋体"/>
                <w:b w:val="0"/>
                <w:i w:val="0"/>
                <w:color w:val="000000"/>
                <w:sz w:val="14"/>
              </w:rPr>
              <w:t xml:space="preserve">0.12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18.16</w:t>
            </w:r>
          </w:p>
        </w:tc>
        <w:tc>
          <w:tcPr>
            <w:tcW w:w="1160" w:type="dxa"/>
            <w:tcBorders/>
            <w:vAlign w:val="center"/>
          </w:tcPr>
          <w:p>
            <w:pPr>
              <w:jc w:val="right"/>
            </w:pPr>
            <w:r>
              <w:rPr>
                <w:rFonts w:ascii="宋体" w:eastAsia="宋体" w:hAnsi="宋体" w:cs="宋体"/>
                <w:b w:val="0"/>
                <w:i w:val="0"/>
                <w:color w:val="000000"/>
                <w:sz w:val="14"/>
              </w:rPr>
              <w:t xml:space="preserve">18.16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18.16</w:t>
            </w:r>
          </w:p>
        </w:tc>
        <w:tc>
          <w:tcPr>
            <w:tcW w:w="1160" w:type="dxa"/>
            <w:tcBorders/>
            <w:vAlign w:val="center"/>
          </w:tcPr>
          <w:p>
            <w:pPr>
              <w:jc w:val="right"/>
            </w:pPr>
            <w:r>
              <w:rPr>
                <w:rFonts w:ascii="宋体" w:eastAsia="宋体" w:hAnsi="宋体" w:cs="宋体"/>
                <w:b w:val="0"/>
                <w:i w:val="0"/>
                <w:color w:val="000000"/>
                <w:sz w:val="14"/>
              </w:rPr>
              <w:t xml:space="preserve">18.16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18.16</w:t>
            </w:r>
          </w:p>
        </w:tc>
        <w:tc>
          <w:tcPr>
            <w:tcW w:w="1160" w:type="dxa"/>
            <w:tcBorders/>
            <w:vAlign w:val="center"/>
          </w:tcPr>
          <w:p>
            <w:pPr>
              <w:jc w:val="right"/>
            </w:pPr>
            <w:r>
              <w:rPr>
                <w:rFonts w:ascii="宋体" w:eastAsia="宋体" w:hAnsi="宋体" w:cs="宋体"/>
                <w:b w:val="0"/>
                <w:i w:val="0"/>
                <w:color w:val="000000"/>
                <w:sz w:val="14"/>
              </w:rPr>
              <w:t xml:space="preserve">18.16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部门：辽宁省盘锦市大洼区机关事务服务中心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2,569.57</w:t>
            </w:r>
          </w:p>
        </w:tc>
        <w:tc>
          <w:tcPr>
            <w:tcW w:w="1120" w:type="dxa"/>
            <w:tcBorders/>
            <w:vAlign w:val="center"/>
          </w:tcPr>
          <w:p>
            <w:pPr>
              <w:jc w:val="right"/>
            </w:pPr>
            <w:r>
              <w:rPr>
                <w:rFonts w:ascii="宋体" w:eastAsia="宋体" w:hAnsi="宋体" w:cs="宋体"/>
                <w:b/>
                <w:i w:val="0"/>
                <w:color w:val="000000"/>
                <w:sz w:val="16"/>
              </w:rPr>
              <w:t xml:space="preserve">569.08</w:t>
            </w:r>
          </w:p>
        </w:tc>
        <w:tc>
          <w:tcPr>
            <w:tcW w:w="1120" w:type="dxa"/>
            <w:tcBorders/>
            <w:vAlign w:val="center"/>
          </w:tcPr>
          <w:p>
            <w:pPr>
              <w:jc w:val="right"/>
            </w:pPr>
            <w:r>
              <w:rPr>
                <w:rFonts w:ascii="宋体" w:eastAsia="宋体" w:hAnsi="宋体" w:cs="宋体"/>
                <w:b/>
                <w:i w:val="0"/>
                <w:color w:val="000000"/>
                <w:sz w:val="16"/>
              </w:rPr>
              <w:t xml:space="preserve">2,000.49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2,517.31</w:t>
            </w:r>
          </w:p>
        </w:tc>
        <w:tc>
          <w:tcPr>
            <w:tcW w:w="1120" w:type="dxa"/>
            <w:tcBorders/>
            <w:vAlign w:val="center"/>
          </w:tcPr>
          <w:p>
            <w:pPr>
              <w:jc w:val="right"/>
            </w:pPr>
            <w:r>
              <w:rPr>
                <w:rFonts w:ascii="宋体" w:eastAsia="宋体" w:hAnsi="宋体" w:cs="宋体"/>
                <w:b w:val="0"/>
                <w:i w:val="0"/>
                <w:color w:val="000000"/>
                <w:sz w:val="16"/>
              </w:rPr>
              <w:t xml:space="preserve">516.82</w:t>
            </w:r>
          </w:p>
        </w:tc>
        <w:tc>
          <w:tcPr>
            <w:tcW w:w="1120" w:type="dxa"/>
            <w:tcBorders/>
            <w:vAlign w:val="center"/>
          </w:tcPr>
          <w:p>
            <w:pPr>
              <w:jc w:val="right"/>
            </w:pPr>
            <w:r>
              <w:rPr>
                <w:rFonts w:ascii="宋体" w:eastAsia="宋体" w:hAnsi="宋体" w:cs="宋体"/>
                <w:b w:val="0"/>
                <w:i w:val="0"/>
                <w:color w:val="000000"/>
                <w:sz w:val="16"/>
              </w:rPr>
              <w:t xml:space="preserve">2,000.49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2,517.31</w:t>
            </w:r>
          </w:p>
        </w:tc>
        <w:tc>
          <w:tcPr>
            <w:tcW w:w="1120" w:type="dxa"/>
            <w:tcBorders/>
            <w:vAlign w:val="center"/>
          </w:tcPr>
          <w:p>
            <w:pPr>
              <w:jc w:val="right"/>
            </w:pPr>
            <w:r>
              <w:rPr>
                <w:rFonts w:ascii="宋体" w:eastAsia="宋体" w:hAnsi="宋体" w:cs="宋体"/>
                <w:b w:val="0"/>
                <w:i w:val="0"/>
                <w:color w:val="000000"/>
                <w:sz w:val="16"/>
              </w:rPr>
              <w:t xml:space="preserve">516.82</w:t>
            </w:r>
          </w:p>
        </w:tc>
        <w:tc>
          <w:tcPr>
            <w:tcW w:w="1120" w:type="dxa"/>
            <w:tcBorders/>
            <w:vAlign w:val="center"/>
          </w:tcPr>
          <w:p>
            <w:pPr>
              <w:jc w:val="right"/>
            </w:pPr>
            <w:r>
              <w:rPr>
                <w:rFonts w:ascii="宋体" w:eastAsia="宋体" w:hAnsi="宋体" w:cs="宋体"/>
                <w:b w:val="0"/>
                <w:i w:val="0"/>
                <w:color w:val="000000"/>
                <w:sz w:val="16"/>
              </w:rPr>
              <w:t xml:space="preserve">2,000.49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466.75</w:t>
            </w:r>
          </w:p>
        </w:tc>
        <w:tc>
          <w:tcPr>
            <w:tcW w:w="1120" w:type="dxa"/>
            <w:tcBorders/>
            <w:vAlign w:val="center"/>
          </w:tcPr>
          <w:p>
            <w:pPr>
              <w:jc w:val="right"/>
            </w:pPr>
            <w:r>
              <w:rPr>
                <w:rFonts w:ascii="宋体" w:eastAsia="宋体" w:hAnsi="宋体" w:cs="宋体"/>
                <w:b w:val="0"/>
                <w:i w:val="0"/>
                <w:color w:val="000000"/>
                <w:sz w:val="16"/>
              </w:rPr>
              <w:t xml:space="preserve">466.75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其他政府办公厅（室）及相关机构事务支出</w:t>
            </w:r>
          </w:p>
        </w:tc>
        <w:tc>
          <w:tcPr>
            <w:tcW w:w="1120" w:type="dxa"/>
            <w:tcBorders/>
            <w:vAlign w:val="center"/>
          </w:tcPr>
          <w:p>
            <w:pPr>
              <w:jc w:val="right"/>
            </w:pPr>
            <w:r>
              <w:rPr>
                <w:rFonts w:ascii="宋体" w:eastAsia="宋体" w:hAnsi="宋体" w:cs="宋体"/>
                <w:b w:val="0"/>
                <w:i w:val="0"/>
                <w:color w:val="000000"/>
                <w:sz w:val="16"/>
              </w:rPr>
              <w:t xml:space="preserve">2,050.56</w:t>
            </w:r>
          </w:p>
        </w:tc>
        <w:tc>
          <w:tcPr>
            <w:tcW w:w="1120" w:type="dxa"/>
            <w:tcBorders/>
            <w:vAlign w:val="center"/>
          </w:tcPr>
          <w:p>
            <w:pPr>
              <w:jc w:val="right"/>
            </w:pPr>
            <w:r>
              <w:rPr>
                <w:rFonts w:ascii="宋体" w:eastAsia="宋体" w:hAnsi="宋体" w:cs="宋体"/>
                <w:b w:val="0"/>
                <w:i w:val="0"/>
                <w:color w:val="000000"/>
                <w:sz w:val="16"/>
              </w:rPr>
              <w:t xml:space="preserve">50.07</w:t>
            </w:r>
          </w:p>
        </w:tc>
        <w:tc>
          <w:tcPr>
            <w:tcW w:w="1120" w:type="dxa"/>
            <w:tcBorders/>
            <w:vAlign w:val="center"/>
          </w:tcPr>
          <w:p>
            <w:pPr>
              <w:jc w:val="right"/>
            </w:pPr>
            <w:r>
              <w:rPr>
                <w:rFonts w:ascii="宋体" w:eastAsia="宋体" w:hAnsi="宋体" w:cs="宋体"/>
                <w:b w:val="0"/>
                <w:i w:val="0"/>
                <w:color w:val="000000"/>
                <w:sz w:val="16"/>
              </w:rPr>
              <w:t xml:space="preserve">2,000.49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24.40</w:t>
            </w:r>
          </w:p>
        </w:tc>
        <w:tc>
          <w:tcPr>
            <w:tcW w:w="1120" w:type="dxa"/>
            <w:tcBorders/>
            <w:vAlign w:val="center"/>
          </w:tcPr>
          <w:p>
            <w:pPr>
              <w:jc w:val="right"/>
            </w:pPr>
            <w:r>
              <w:rPr>
                <w:rFonts w:ascii="宋体" w:eastAsia="宋体" w:hAnsi="宋体" w:cs="宋体"/>
                <w:b w:val="0"/>
                <w:i w:val="0"/>
                <w:color w:val="000000"/>
                <w:sz w:val="16"/>
              </w:rPr>
              <w:t xml:space="preserve">24.40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24.11</w:t>
            </w:r>
          </w:p>
        </w:tc>
        <w:tc>
          <w:tcPr>
            <w:tcW w:w="1120" w:type="dxa"/>
            <w:tcBorders/>
            <w:vAlign w:val="center"/>
          </w:tcPr>
          <w:p>
            <w:pPr>
              <w:jc w:val="right"/>
            </w:pPr>
            <w:r>
              <w:rPr>
                <w:rFonts w:ascii="宋体" w:eastAsia="宋体" w:hAnsi="宋体" w:cs="宋体"/>
                <w:b w:val="0"/>
                <w:i w:val="0"/>
                <w:color w:val="000000"/>
                <w:sz w:val="16"/>
              </w:rPr>
              <w:t xml:space="preserve">24.11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24.11</w:t>
            </w:r>
          </w:p>
        </w:tc>
        <w:tc>
          <w:tcPr>
            <w:tcW w:w="1120" w:type="dxa"/>
            <w:tcBorders/>
            <w:vAlign w:val="center"/>
          </w:tcPr>
          <w:p>
            <w:pPr>
              <w:jc w:val="right"/>
            </w:pPr>
            <w:r>
              <w:rPr>
                <w:rFonts w:ascii="宋体" w:eastAsia="宋体" w:hAnsi="宋体" w:cs="宋体"/>
                <w:b w:val="0"/>
                <w:i w:val="0"/>
                <w:color w:val="000000"/>
                <w:sz w:val="16"/>
              </w:rPr>
              <w:t xml:space="preserve">24.11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0.29</w:t>
            </w:r>
          </w:p>
        </w:tc>
        <w:tc>
          <w:tcPr>
            <w:tcW w:w="1120" w:type="dxa"/>
            <w:tcBorders/>
            <w:vAlign w:val="center"/>
          </w:tcPr>
          <w:p>
            <w:pPr>
              <w:jc w:val="right"/>
            </w:pPr>
            <w:r>
              <w:rPr>
                <w:rFonts w:ascii="宋体" w:eastAsia="宋体" w:hAnsi="宋体" w:cs="宋体"/>
                <w:b w:val="0"/>
                <w:i w:val="0"/>
                <w:color w:val="000000"/>
                <w:sz w:val="16"/>
              </w:rPr>
              <w:t xml:space="preserve">0.29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0.29</w:t>
            </w:r>
          </w:p>
        </w:tc>
        <w:tc>
          <w:tcPr>
            <w:tcW w:w="1120" w:type="dxa"/>
            <w:tcBorders/>
            <w:vAlign w:val="center"/>
          </w:tcPr>
          <w:p>
            <w:pPr>
              <w:jc w:val="right"/>
            </w:pPr>
            <w:r>
              <w:rPr>
                <w:rFonts w:ascii="宋体" w:eastAsia="宋体" w:hAnsi="宋体" w:cs="宋体"/>
                <w:b w:val="0"/>
                <w:i w:val="0"/>
                <w:color w:val="000000"/>
                <w:sz w:val="16"/>
              </w:rPr>
              <w:t xml:space="preserve">0.29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9.71</w:t>
            </w:r>
          </w:p>
        </w:tc>
        <w:tc>
          <w:tcPr>
            <w:tcW w:w="1120" w:type="dxa"/>
            <w:tcBorders/>
            <w:vAlign w:val="center"/>
          </w:tcPr>
          <w:p>
            <w:pPr>
              <w:jc w:val="right"/>
            </w:pPr>
            <w:r>
              <w:rPr>
                <w:rFonts w:ascii="宋体" w:eastAsia="宋体" w:hAnsi="宋体" w:cs="宋体"/>
                <w:b w:val="0"/>
                <w:i w:val="0"/>
                <w:color w:val="000000"/>
                <w:sz w:val="16"/>
              </w:rPr>
              <w:t xml:space="preserve">9.71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9.71</w:t>
            </w:r>
          </w:p>
        </w:tc>
        <w:tc>
          <w:tcPr>
            <w:tcW w:w="1120" w:type="dxa"/>
            <w:tcBorders/>
            <w:vAlign w:val="center"/>
          </w:tcPr>
          <w:p>
            <w:pPr>
              <w:jc w:val="right"/>
            </w:pPr>
            <w:r>
              <w:rPr>
                <w:rFonts w:ascii="宋体" w:eastAsia="宋体" w:hAnsi="宋体" w:cs="宋体"/>
                <w:b w:val="0"/>
                <w:i w:val="0"/>
                <w:color w:val="000000"/>
                <w:sz w:val="16"/>
              </w:rPr>
              <w:t xml:space="preserve">9.71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9.59</w:t>
            </w:r>
          </w:p>
        </w:tc>
        <w:tc>
          <w:tcPr>
            <w:tcW w:w="1120" w:type="dxa"/>
            <w:tcBorders/>
            <w:vAlign w:val="center"/>
          </w:tcPr>
          <w:p>
            <w:pPr>
              <w:jc w:val="right"/>
            </w:pPr>
            <w:r>
              <w:rPr>
                <w:rFonts w:ascii="宋体" w:eastAsia="宋体" w:hAnsi="宋体" w:cs="宋体"/>
                <w:b w:val="0"/>
                <w:i w:val="0"/>
                <w:color w:val="000000"/>
                <w:sz w:val="16"/>
              </w:rPr>
              <w:t xml:space="preserve">9.59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0.12</w:t>
            </w:r>
          </w:p>
        </w:tc>
        <w:tc>
          <w:tcPr>
            <w:tcW w:w="1120" w:type="dxa"/>
            <w:tcBorders/>
            <w:vAlign w:val="center"/>
          </w:tcPr>
          <w:p>
            <w:pPr>
              <w:jc w:val="right"/>
            </w:pPr>
            <w:r>
              <w:rPr>
                <w:rFonts w:ascii="宋体" w:eastAsia="宋体" w:hAnsi="宋体" w:cs="宋体"/>
                <w:b w:val="0"/>
                <w:i w:val="0"/>
                <w:color w:val="000000"/>
                <w:sz w:val="16"/>
              </w:rPr>
              <w:t xml:space="preserve">0.12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18.16</w:t>
            </w:r>
          </w:p>
        </w:tc>
        <w:tc>
          <w:tcPr>
            <w:tcW w:w="1120" w:type="dxa"/>
            <w:tcBorders/>
            <w:vAlign w:val="center"/>
          </w:tcPr>
          <w:p>
            <w:pPr>
              <w:jc w:val="right"/>
            </w:pPr>
            <w:r>
              <w:rPr>
                <w:rFonts w:ascii="宋体" w:eastAsia="宋体" w:hAnsi="宋体" w:cs="宋体"/>
                <w:b w:val="0"/>
                <w:i w:val="0"/>
                <w:color w:val="000000"/>
                <w:sz w:val="16"/>
              </w:rPr>
              <w:t xml:space="preserve">18.16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18.16</w:t>
            </w:r>
          </w:p>
        </w:tc>
        <w:tc>
          <w:tcPr>
            <w:tcW w:w="1120" w:type="dxa"/>
            <w:tcBorders/>
            <w:vAlign w:val="center"/>
          </w:tcPr>
          <w:p>
            <w:pPr>
              <w:jc w:val="right"/>
            </w:pPr>
            <w:r>
              <w:rPr>
                <w:rFonts w:ascii="宋体" w:eastAsia="宋体" w:hAnsi="宋体" w:cs="宋体"/>
                <w:b w:val="0"/>
                <w:i w:val="0"/>
                <w:color w:val="000000"/>
                <w:sz w:val="16"/>
              </w:rPr>
              <w:t xml:space="preserve">18.16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18.16</w:t>
            </w:r>
          </w:p>
        </w:tc>
        <w:tc>
          <w:tcPr>
            <w:tcW w:w="1120" w:type="dxa"/>
            <w:tcBorders/>
            <w:vAlign w:val="center"/>
          </w:tcPr>
          <w:p>
            <w:pPr>
              <w:jc w:val="right"/>
            </w:pPr>
            <w:r>
              <w:rPr>
                <w:rFonts w:ascii="宋体" w:eastAsia="宋体" w:hAnsi="宋体" w:cs="宋体"/>
                <w:b w:val="0"/>
                <w:i w:val="0"/>
                <w:color w:val="000000"/>
                <w:sz w:val="16"/>
              </w:rPr>
              <w:t xml:space="preserve">18.16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部门：辽宁省盘锦市大洼区机关事务服务中心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2,569.57</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2,517.31</w:t>
            </w:r>
          </w:p>
        </w:tc>
        <w:tc>
          <w:tcPr>
            <w:tcW w:w="1100" w:type="dxa"/>
            <w:tcBorders/>
            <w:vAlign w:val="center"/>
          </w:tcPr>
          <w:p>
            <w:pPr>
              <w:jc w:val="right"/>
            </w:pPr>
            <w:r>
              <w:rPr>
                <w:rFonts w:ascii="宋体" w:eastAsia="宋体" w:hAnsi="宋体" w:cs="宋体"/>
                <w:b w:val="0"/>
                <w:i w:val="0"/>
                <w:color w:val="000000"/>
                <w:sz w:val="14"/>
              </w:rPr>
              <w:t xml:space="preserve">2,517.31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24.40</w:t>
            </w:r>
          </w:p>
        </w:tc>
        <w:tc>
          <w:tcPr>
            <w:tcW w:w="1100" w:type="dxa"/>
            <w:tcBorders/>
            <w:vAlign w:val="center"/>
          </w:tcPr>
          <w:p>
            <w:pPr>
              <w:jc w:val="right"/>
            </w:pPr>
            <w:r>
              <w:rPr>
                <w:rFonts w:ascii="宋体" w:eastAsia="宋体" w:hAnsi="宋体" w:cs="宋体"/>
                <w:b w:val="0"/>
                <w:i w:val="0"/>
                <w:color w:val="000000"/>
                <w:sz w:val="14"/>
              </w:rPr>
              <w:t xml:space="preserve">24.40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9.70</w:t>
            </w:r>
          </w:p>
        </w:tc>
        <w:tc>
          <w:tcPr>
            <w:tcW w:w="1100" w:type="dxa"/>
            <w:tcBorders/>
            <w:vAlign w:val="center"/>
          </w:tcPr>
          <w:p>
            <w:pPr>
              <w:jc w:val="right"/>
            </w:pPr>
            <w:r>
              <w:rPr>
                <w:rFonts w:ascii="宋体" w:eastAsia="宋体" w:hAnsi="宋体" w:cs="宋体"/>
                <w:b w:val="0"/>
                <w:i w:val="0"/>
                <w:color w:val="000000"/>
                <w:sz w:val="14"/>
              </w:rPr>
              <w:t xml:space="preserve">9.70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18.16</w:t>
            </w:r>
          </w:p>
        </w:tc>
        <w:tc>
          <w:tcPr>
            <w:tcW w:w="1100" w:type="dxa"/>
            <w:tcBorders/>
            <w:vAlign w:val="center"/>
          </w:tcPr>
          <w:p>
            <w:pPr>
              <w:jc w:val="right"/>
            </w:pPr>
            <w:r>
              <w:rPr>
                <w:rFonts w:ascii="宋体" w:eastAsia="宋体" w:hAnsi="宋体" w:cs="宋体"/>
                <w:b w:val="0"/>
                <w:i w:val="0"/>
                <w:color w:val="000000"/>
                <w:sz w:val="14"/>
              </w:rPr>
              <w:t xml:space="preserve">18.16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2,569.57</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2,569.57</w:t>
            </w:r>
          </w:p>
        </w:tc>
        <w:tc>
          <w:tcPr>
            <w:tcW w:w="1100" w:type="dxa"/>
            <w:tcBorders/>
            <w:vAlign w:val="center"/>
          </w:tcPr>
          <w:p>
            <w:pPr>
              <w:jc w:val="right"/>
            </w:pPr>
            <w:r>
              <w:rPr>
                <w:rFonts w:ascii="宋体" w:eastAsia="宋体" w:hAnsi="宋体" w:cs="宋体"/>
                <w:b w:val="0"/>
                <w:i w:val="0"/>
                <w:color w:val="000000"/>
                <w:sz w:val="14"/>
              </w:rPr>
              <w:t xml:space="preserve">2,569.57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2,569.57</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2,569.57</w:t>
            </w:r>
          </w:p>
        </w:tc>
        <w:tc>
          <w:tcPr>
            <w:tcW w:w="1100" w:type="dxa"/>
            <w:tcBorders/>
            <w:vAlign w:val="center"/>
          </w:tcPr>
          <w:p>
            <w:pPr>
              <w:jc w:val="right"/>
            </w:pPr>
            <w:r>
              <w:rPr>
                <w:rFonts w:ascii="宋体" w:eastAsia="宋体" w:hAnsi="宋体" w:cs="宋体"/>
                <w:b w:val="0"/>
                <w:i w:val="0"/>
                <w:color w:val="000000"/>
                <w:sz w:val="14"/>
              </w:rPr>
              <w:t xml:space="preserve">2,569.57</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部门：辽宁省盘锦市大洼区机关事务服务中心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2,569.57</w:t>
            </w:r>
          </w:p>
        </w:tc>
        <w:tc>
          <w:tcPr>
            <w:tcW w:w="1980" w:type="dxa"/>
            <w:tcBorders/>
            <w:vAlign w:val="center"/>
          </w:tcPr>
          <w:p>
            <w:pPr>
              <w:jc w:val="right"/>
            </w:pPr>
            <w:r>
              <w:rPr>
                <w:rFonts w:ascii="宋体" w:eastAsia="宋体" w:hAnsi="宋体" w:cs="宋体"/>
                <w:b/>
                <w:i w:val="0"/>
                <w:color w:val="000000"/>
                <w:sz w:val="20"/>
              </w:rPr>
              <w:t xml:space="preserve">569.08</w:t>
            </w:r>
          </w:p>
        </w:tc>
        <w:tc>
          <w:tcPr>
            <w:tcW w:w="1952" w:type="dxa"/>
            <w:tcBorders/>
            <w:vAlign w:val="center"/>
          </w:tcPr>
          <w:p>
            <w:pPr>
              <w:jc w:val="right"/>
            </w:pPr>
            <w:r>
              <w:rPr>
                <w:rFonts w:ascii="宋体" w:eastAsia="宋体" w:hAnsi="宋体" w:cs="宋体"/>
                <w:b/>
                <w:i w:val="0"/>
                <w:color w:val="000000"/>
                <w:sz w:val="20"/>
              </w:rPr>
              <w:t xml:space="preserve">2,000.49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2,517.31</w:t>
            </w:r>
          </w:p>
        </w:tc>
        <w:tc>
          <w:tcPr>
            <w:tcW w:w="1980" w:type="dxa"/>
            <w:tcBorders/>
            <w:vAlign w:val="center"/>
          </w:tcPr>
          <w:p>
            <w:pPr>
              <w:jc w:val="right"/>
            </w:pPr>
            <w:r>
              <w:rPr>
                <w:rFonts w:ascii="宋体" w:eastAsia="宋体" w:hAnsi="宋体" w:cs="宋体"/>
                <w:b w:val="0"/>
                <w:i w:val="0"/>
                <w:color w:val="000000"/>
                <w:sz w:val="20"/>
              </w:rPr>
              <w:t xml:space="preserve">516.82</w:t>
            </w:r>
          </w:p>
        </w:tc>
        <w:tc>
          <w:tcPr>
            <w:tcW w:w="1952" w:type="dxa"/>
            <w:tcBorders/>
            <w:vAlign w:val="center"/>
          </w:tcPr>
          <w:p>
            <w:pPr>
              <w:jc w:val="right"/>
            </w:pPr>
            <w:r>
              <w:rPr>
                <w:rFonts w:ascii="宋体" w:eastAsia="宋体" w:hAnsi="宋体" w:cs="宋体"/>
                <w:b w:val="0"/>
                <w:i w:val="0"/>
                <w:color w:val="000000"/>
                <w:sz w:val="20"/>
              </w:rPr>
              <w:t xml:space="preserve">2,000.49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2,517.31</w:t>
            </w:r>
          </w:p>
        </w:tc>
        <w:tc>
          <w:tcPr>
            <w:tcW w:w="1980" w:type="dxa"/>
            <w:tcBorders/>
            <w:vAlign w:val="center"/>
          </w:tcPr>
          <w:p>
            <w:pPr>
              <w:jc w:val="right"/>
            </w:pPr>
            <w:r>
              <w:rPr>
                <w:rFonts w:ascii="宋体" w:eastAsia="宋体" w:hAnsi="宋体" w:cs="宋体"/>
                <w:b w:val="0"/>
                <w:i w:val="0"/>
                <w:color w:val="000000"/>
                <w:sz w:val="20"/>
              </w:rPr>
              <w:t xml:space="preserve">516.82</w:t>
            </w:r>
          </w:p>
        </w:tc>
        <w:tc>
          <w:tcPr>
            <w:tcW w:w="1952" w:type="dxa"/>
            <w:tcBorders/>
            <w:vAlign w:val="center"/>
          </w:tcPr>
          <w:p>
            <w:pPr>
              <w:jc w:val="right"/>
            </w:pPr>
            <w:r>
              <w:rPr>
                <w:rFonts w:ascii="宋体" w:eastAsia="宋体" w:hAnsi="宋体" w:cs="宋体"/>
                <w:b w:val="0"/>
                <w:i w:val="0"/>
                <w:color w:val="000000"/>
                <w:sz w:val="20"/>
              </w:rPr>
              <w:t xml:space="preserve">2,000.49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466.75</w:t>
            </w:r>
          </w:p>
        </w:tc>
        <w:tc>
          <w:tcPr>
            <w:tcW w:w="1980" w:type="dxa"/>
            <w:tcBorders/>
            <w:vAlign w:val="center"/>
          </w:tcPr>
          <w:p>
            <w:pPr>
              <w:jc w:val="right"/>
            </w:pPr>
            <w:r>
              <w:rPr>
                <w:rFonts w:ascii="宋体" w:eastAsia="宋体" w:hAnsi="宋体" w:cs="宋体"/>
                <w:b w:val="0"/>
                <w:i w:val="0"/>
                <w:color w:val="000000"/>
                <w:sz w:val="20"/>
              </w:rPr>
              <w:t xml:space="preserve">466.75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其他政府办公厅（室）及相关机构事务支出</w:t>
            </w:r>
          </w:p>
        </w:tc>
        <w:tc>
          <w:tcPr>
            <w:tcW w:w="1980" w:type="dxa"/>
            <w:tcBorders/>
            <w:vAlign w:val="center"/>
          </w:tcPr>
          <w:p>
            <w:pPr>
              <w:jc w:val="right"/>
            </w:pPr>
            <w:r>
              <w:rPr>
                <w:rFonts w:ascii="宋体" w:eastAsia="宋体" w:hAnsi="宋体" w:cs="宋体"/>
                <w:b w:val="0"/>
                <w:i w:val="0"/>
                <w:color w:val="000000"/>
                <w:sz w:val="20"/>
              </w:rPr>
              <w:t xml:space="preserve">2,050.56</w:t>
            </w:r>
          </w:p>
        </w:tc>
        <w:tc>
          <w:tcPr>
            <w:tcW w:w="1980" w:type="dxa"/>
            <w:tcBorders/>
            <w:vAlign w:val="center"/>
          </w:tcPr>
          <w:p>
            <w:pPr>
              <w:jc w:val="right"/>
            </w:pPr>
            <w:r>
              <w:rPr>
                <w:rFonts w:ascii="宋体" w:eastAsia="宋体" w:hAnsi="宋体" w:cs="宋体"/>
                <w:b w:val="0"/>
                <w:i w:val="0"/>
                <w:color w:val="000000"/>
                <w:sz w:val="20"/>
              </w:rPr>
              <w:t xml:space="preserve">50.07</w:t>
            </w:r>
          </w:p>
        </w:tc>
        <w:tc>
          <w:tcPr>
            <w:tcW w:w="1952" w:type="dxa"/>
            <w:tcBorders/>
            <w:vAlign w:val="center"/>
          </w:tcPr>
          <w:p>
            <w:pPr>
              <w:jc w:val="right"/>
            </w:pPr>
            <w:r>
              <w:rPr>
                <w:rFonts w:ascii="宋体" w:eastAsia="宋体" w:hAnsi="宋体" w:cs="宋体"/>
                <w:b w:val="0"/>
                <w:i w:val="0"/>
                <w:color w:val="000000"/>
                <w:sz w:val="20"/>
              </w:rPr>
              <w:t xml:space="preserve">2,000.49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24.40</w:t>
            </w:r>
          </w:p>
        </w:tc>
        <w:tc>
          <w:tcPr>
            <w:tcW w:w="1980" w:type="dxa"/>
            <w:tcBorders/>
            <w:vAlign w:val="center"/>
          </w:tcPr>
          <w:p>
            <w:pPr>
              <w:jc w:val="right"/>
            </w:pPr>
            <w:r>
              <w:rPr>
                <w:rFonts w:ascii="宋体" w:eastAsia="宋体" w:hAnsi="宋体" w:cs="宋体"/>
                <w:b w:val="0"/>
                <w:i w:val="0"/>
                <w:color w:val="000000"/>
                <w:sz w:val="20"/>
              </w:rPr>
              <w:t xml:space="preserve">24.40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24.11</w:t>
            </w:r>
          </w:p>
        </w:tc>
        <w:tc>
          <w:tcPr>
            <w:tcW w:w="1980" w:type="dxa"/>
            <w:tcBorders/>
            <w:vAlign w:val="center"/>
          </w:tcPr>
          <w:p>
            <w:pPr>
              <w:jc w:val="right"/>
            </w:pPr>
            <w:r>
              <w:rPr>
                <w:rFonts w:ascii="宋体" w:eastAsia="宋体" w:hAnsi="宋体" w:cs="宋体"/>
                <w:b w:val="0"/>
                <w:i w:val="0"/>
                <w:color w:val="000000"/>
                <w:sz w:val="20"/>
              </w:rPr>
              <w:t xml:space="preserve">24.11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24.11</w:t>
            </w:r>
          </w:p>
        </w:tc>
        <w:tc>
          <w:tcPr>
            <w:tcW w:w="1980" w:type="dxa"/>
            <w:tcBorders/>
            <w:vAlign w:val="center"/>
          </w:tcPr>
          <w:p>
            <w:pPr>
              <w:jc w:val="right"/>
            </w:pPr>
            <w:r>
              <w:rPr>
                <w:rFonts w:ascii="宋体" w:eastAsia="宋体" w:hAnsi="宋体" w:cs="宋体"/>
                <w:b w:val="0"/>
                <w:i w:val="0"/>
                <w:color w:val="000000"/>
                <w:sz w:val="20"/>
              </w:rPr>
              <w:t xml:space="preserve">24.11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0.29</w:t>
            </w:r>
          </w:p>
        </w:tc>
        <w:tc>
          <w:tcPr>
            <w:tcW w:w="1980" w:type="dxa"/>
            <w:tcBorders/>
            <w:vAlign w:val="center"/>
          </w:tcPr>
          <w:p>
            <w:pPr>
              <w:jc w:val="right"/>
            </w:pPr>
            <w:r>
              <w:rPr>
                <w:rFonts w:ascii="宋体" w:eastAsia="宋体" w:hAnsi="宋体" w:cs="宋体"/>
                <w:b w:val="0"/>
                <w:i w:val="0"/>
                <w:color w:val="000000"/>
                <w:sz w:val="20"/>
              </w:rPr>
              <w:t xml:space="preserve">0.29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0.29</w:t>
            </w:r>
          </w:p>
        </w:tc>
        <w:tc>
          <w:tcPr>
            <w:tcW w:w="1980" w:type="dxa"/>
            <w:tcBorders/>
            <w:vAlign w:val="center"/>
          </w:tcPr>
          <w:p>
            <w:pPr>
              <w:jc w:val="right"/>
            </w:pPr>
            <w:r>
              <w:rPr>
                <w:rFonts w:ascii="宋体" w:eastAsia="宋体" w:hAnsi="宋体" w:cs="宋体"/>
                <w:b w:val="0"/>
                <w:i w:val="0"/>
                <w:color w:val="000000"/>
                <w:sz w:val="20"/>
              </w:rPr>
              <w:t xml:space="preserve">0.29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9.71</w:t>
            </w:r>
          </w:p>
        </w:tc>
        <w:tc>
          <w:tcPr>
            <w:tcW w:w="1980" w:type="dxa"/>
            <w:tcBorders/>
            <w:vAlign w:val="center"/>
          </w:tcPr>
          <w:p>
            <w:pPr>
              <w:jc w:val="right"/>
            </w:pPr>
            <w:r>
              <w:rPr>
                <w:rFonts w:ascii="宋体" w:eastAsia="宋体" w:hAnsi="宋体" w:cs="宋体"/>
                <w:b w:val="0"/>
                <w:i w:val="0"/>
                <w:color w:val="000000"/>
                <w:sz w:val="20"/>
              </w:rPr>
              <w:t xml:space="preserve">9.71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9.71</w:t>
            </w:r>
          </w:p>
        </w:tc>
        <w:tc>
          <w:tcPr>
            <w:tcW w:w="1980" w:type="dxa"/>
            <w:tcBorders/>
            <w:vAlign w:val="center"/>
          </w:tcPr>
          <w:p>
            <w:pPr>
              <w:jc w:val="right"/>
            </w:pPr>
            <w:r>
              <w:rPr>
                <w:rFonts w:ascii="宋体" w:eastAsia="宋体" w:hAnsi="宋体" w:cs="宋体"/>
                <w:b w:val="0"/>
                <w:i w:val="0"/>
                <w:color w:val="000000"/>
                <w:sz w:val="20"/>
              </w:rPr>
              <w:t xml:space="preserve">9.71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9.59</w:t>
            </w:r>
          </w:p>
        </w:tc>
        <w:tc>
          <w:tcPr>
            <w:tcW w:w="1980" w:type="dxa"/>
            <w:tcBorders/>
            <w:vAlign w:val="center"/>
          </w:tcPr>
          <w:p>
            <w:pPr>
              <w:jc w:val="right"/>
            </w:pPr>
            <w:r>
              <w:rPr>
                <w:rFonts w:ascii="宋体" w:eastAsia="宋体" w:hAnsi="宋体" w:cs="宋体"/>
                <w:b w:val="0"/>
                <w:i w:val="0"/>
                <w:color w:val="000000"/>
                <w:sz w:val="20"/>
              </w:rPr>
              <w:t xml:space="preserve">9.59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0.12</w:t>
            </w:r>
          </w:p>
        </w:tc>
        <w:tc>
          <w:tcPr>
            <w:tcW w:w="1980" w:type="dxa"/>
            <w:tcBorders/>
            <w:vAlign w:val="center"/>
          </w:tcPr>
          <w:p>
            <w:pPr>
              <w:jc w:val="right"/>
            </w:pPr>
            <w:r>
              <w:rPr>
                <w:rFonts w:ascii="宋体" w:eastAsia="宋体" w:hAnsi="宋体" w:cs="宋体"/>
                <w:b w:val="0"/>
                <w:i w:val="0"/>
                <w:color w:val="000000"/>
                <w:sz w:val="20"/>
              </w:rPr>
              <w:t xml:space="preserve">0.12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18.16</w:t>
            </w:r>
          </w:p>
        </w:tc>
        <w:tc>
          <w:tcPr>
            <w:tcW w:w="1980" w:type="dxa"/>
            <w:tcBorders/>
            <w:vAlign w:val="center"/>
          </w:tcPr>
          <w:p>
            <w:pPr>
              <w:jc w:val="right"/>
            </w:pPr>
            <w:r>
              <w:rPr>
                <w:rFonts w:ascii="宋体" w:eastAsia="宋体" w:hAnsi="宋体" w:cs="宋体"/>
                <w:b w:val="0"/>
                <w:i w:val="0"/>
                <w:color w:val="000000"/>
                <w:sz w:val="20"/>
              </w:rPr>
              <w:t xml:space="preserve">18.16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18.16</w:t>
            </w:r>
          </w:p>
        </w:tc>
        <w:tc>
          <w:tcPr>
            <w:tcW w:w="1980" w:type="dxa"/>
            <w:tcBorders/>
            <w:vAlign w:val="center"/>
          </w:tcPr>
          <w:p>
            <w:pPr>
              <w:jc w:val="right"/>
            </w:pPr>
            <w:r>
              <w:rPr>
                <w:rFonts w:ascii="宋体" w:eastAsia="宋体" w:hAnsi="宋体" w:cs="宋体"/>
                <w:b w:val="0"/>
                <w:i w:val="0"/>
                <w:color w:val="000000"/>
                <w:sz w:val="20"/>
              </w:rPr>
              <w:t xml:space="preserve">18.16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18.16</w:t>
            </w:r>
          </w:p>
        </w:tc>
        <w:tc>
          <w:tcPr>
            <w:tcW w:w="1980" w:type="dxa"/>
            <w:tcBorders/>
            <w:vAlign w:val="center"/>
          </w:tcPr>
          <w:p>
            <w:pPr>
              <w:jc w:val="right"/>
            </w:pPr>
            <w:r>
              <w:rPr>
                <w:rFonts w:ascii="宋体" w:eastAsia="宋体" w:hAnsi="宋体" w:cs="宋体"/>
                <w:b w:val="0"/>
                <w:i w:val="0"/>
                <w:color w:val="000000"/>
                <w:sz w:val="20"/>
              </w:rPr>
              <w:t xml:space="preserve">18.16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部门：辽宁省盘锦市大洼区机关事务服务中心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207.18</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356.75</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85.31</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2.85</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4.80</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0.09</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5.15</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64.81</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7.92</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5.15</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24.11</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192.09</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9.59</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jc w:val="right"/>
            </w:pPr>
            <w:r>
              <w:rPr>
                <w:rFonts w:ascii="宋体" w:eastAsia="宋体" w:hAnsi="宋体" w:cs="宋体"/>
                <w:b w:val="0"/>
                <w:i w:val="0"/>
                <w:color w:val="000000"/>
                <w:sz w:val="14"/>
              </w:rPr>
              <w:t xml:space="preserve">152.48</w:t>
            </w: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0.40</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0.02</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18.16</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1.30</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207.18</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361.90</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部门：辽宁省盘锦市大洼区机关事务服务中心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81.29</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jc w:val="right"/>
            </w:pPr>
            <w:r>
              <w:rPr>
                <w:rFonts w:ascii="宋体" w:eastAsia="宋体" w:hAnsi="宋体" w:cs="宋体"/>
                <w:b w:val="0"/>
                <w:i w:val="0"/>
                <w:color w:val="000000"/>
                <w:sz w:val="23"/>
              </w:rPr>
              <w:t xml:space="preserve">9.75</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71.54</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1.30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jc w:val="right"/>
            </w:pPr>
            <w:r>
              <w:rPr>
                <w:rFonts w:ascii="宋体" w:eastAsia="宋体" w:hAnsi="宋体" w:cs="宋体"/>
                <w:b w:val="0"/>
                <w:i w:val="0"/>
                <w:color w:val="000000"/>
                <w:sz w:val="23"/>
              </w:rPr>
              <w:t xml:space="preserve">70.24</w:t>
            </w: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部门：辽宁省盘锦市大洼区机关事务服务中心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部门：辽宁省盘锦市大洼区机关事务服务中心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069001盘锦市大洼区机关事务服务中心-211104000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202.06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202.06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4.258372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4.25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185.077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185.07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4.788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4.78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13.4</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　　　　通过统一的物业管理服务，进一步提升我区党政机关物业服务管理水平，营造安全有序、绿色整洁、文明和谐的机关办公环境。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完成</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经济效益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采购成本节支率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服务企业满意度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社会民众满意度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建立可持续发展方案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持续发展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无</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继续全额安排，提高资金利用效率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绩效自评合格，审核通过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