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辽宁省盘锦市大洼区供销合作社联合社</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辽宁省盘锦市大洼区供销合作社联合社</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辽宁省盘锦市大洼区供销合作社联合社</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辽宁省盘锦市大洼区供销合作社联合社</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辽宁省盘锦市大洼区供销合作社联合社</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辽宁省盘锦市大洼区供销合作社联合社概况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（一）贯彻落实党中央、国务院“三农”工作方针政策和区委、区政府工作部署要求，拟定全区供销合作社发展战略和发展规划，领导全区供销合作事业改革和发展。</w:t>
        <w:br/>
        <w:t xml:space="preserve">    （二）根据区政府授权对农业生产资料、农副产品经营、储备进行组织、协调和管理，指导供销合作社承担政府委托的公益性服务和其他任务。</w:t>
        <w:br/>
        <w:t xml:space="preserve">    （三）贯彻落实供销合作社法治建设要求，向政府有关部门反映农民社员和供销合作社的意见与诉求，维护其合法权益。</w:t>
        <w:br/>
        <w:t xml:space="preserve">    （四）指导供销合作社构建联合社机关主导的行业指导和社有企业支撑的经营服务双线运行体系。</w:t>
        <w:br/>
        <w:t xml:space="preserve">    （五）指导供销合作社组织建设和业务活动，推进基层社改造，领办创办农民专业合作社，打造城乡社区综合服务平台，健全农业社会化服务体系，参与乡村振兴。</w:t>
        <w:br/>
        <w:t xml:space="preserve">    （六）组织供销合作社实施农产品现代流通体系建设，新农村现代流通网络工程，发展农村电子商务，健全农资、农副产品、日用消费品、再生资源回收等经营服务网络，发展电子商务。</w:t>
        <w:br/>
        <w:t xml:space="preserve">    （七）创新服务方式，开展农村合作金融服务和农村土地流转。</w:t>
        <w:br/>
        <w:t xml:space="preserve">    （八）指导社有资产运营，确保社有企业为农服务方向，依法履行社有企业出资人职责，监督、管理和运营社有资产，落实社有资产保值增值。</w:t>
        <w:br/>
        <w:t xml:space="preserve">    （九）承办区委、区政府交办的其他事项。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辽宁省盘锦市大洼区供销合作社联合社</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盘锦市大洼区供销合作社联合社本级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166.20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165.91</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99.83</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165.91</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0.12</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0.07</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0.17</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0.10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减少22.31万元，降低11.83%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上年补发绩效工资</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165.91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160.53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96.76</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工资福利支出124.88万元；商品和服务支出14.29万元；对个人和家庭的补助21.36万元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5.38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3.24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主要包括60年代精简人员补贴等业务支出。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减少22.43万元，降低11.91%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上年补发绩效工资</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0.29</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主要是基本户利息收入等原因形成的结余。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增加0.12万元，增长67.97%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基本户利息收入</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165.91</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160.53</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5.38</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减少22.42万元，降低11.91%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上年补发绩效工资</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114.81</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111.09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2023年度一般公共预算财政拨款支出165.91万元。按支出功能分类科目分，包括：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1.社会保障和就业支出41.70万元，具体包括：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（1）社会保障和就业支出（类）行政事业单位养老支出（款）事业单位离退休（项）5.20万元,主要是事业单位离退休等支出，完成年初预算的12.47%，决算数与年初预算数存在差异的主要原因是退休人员死亡2人。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14.33万元,主要是机关事业单位基本养老保险缴费支出等支出，完成年初预算的34.36%，决算数与年初预算数存在差异的主要原因是保险基数上调。</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（3）社会保障和就业支出（类）抚恤（款）死亡抚恤（项）16.47万元,主要是死亡抚恤等支出，完成年初预算的39.50%，决算数与年初预算数存在差异的主要原因是年初未做预算。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（4）社会保障和就业支出（类）其他生活救助（款）其他城市生活救助（项）5.38万元,主要是其他生活救助等支出，完成年初预算的12.90%，决算数与年初预算数存在差异的主要原因是年初未做预算。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0.32万元,主要是其他社会保障和就业支出等支出，完成年初预算的0.77%，决算数与年初预算数存在差异的主要原因是年初未做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2.卫生健康支出5.92万元，具体包括：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（1）卫生健康支出（类）行政事业单位医疗（款）事业单位医疗（项）5.77万元,主要是事业单位医疗等支出，完成年初预算的97.47%，决算数与年初预算数存在差异的主要原因是保险基数上调。</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0.15万元,主要是其他行政事业单位医疗支出等支出，完成年初预算的2.53%，决算数与年初预算数存在差异的主要原因是退休人员死亡2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3.商业服务业等支出106.52万元，具体包括：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（1）商业服务业等支出（类）商业流通事务（款）其他商业流通事务支出（项）106.52万元,主要是其他商业流通事务支出等支出，完成年初预算的100%，决算数与年初预算数存在差异的主要原因是无差异。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4.住房保障支出11.77万元，具体包括：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（1）住房保障支出（类）住房改革支出（款）住房公积金（项）11.77万元,主要是住房公积金等支出，完成年初预算的100%，决算数与年初预算数存在差异的主要原因是无差异。</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本年无三公经费支出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本年无三公经费支出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本年无三公经费支出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本年无三公经费支出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本年无三公经费支出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本年无三公经费支出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160.53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146.24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14.29</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本年未发生</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突出工作重点，积极完成“强重严”任务</w:t>
        <w:br/>
        <w:t xml:space="preserve">    完成“强重严”指标任务。系统实现销售总额4500万元，消费品零售额3500万元，农业生产资料销售额500万元，农产品电子商务销售额250万元，冷链物流营业额350万元。完成消除“三无”基层社1个，新增为农服务中心1家，新增农村综合服务社1家。</w:t>
        <w:br/>
        <w:t xml:space="preserve">    推进综合改革，推动完善服务体系,进一步深化供销社综合改革。</w:t>
        <w:br/>
        <w:t xml:space="preserve">    一是完善服务“三农”体系。推动盘活社有资产，加大对社有资产监管力度。稳妥推进社有企业改革。</w:t>
        <w:br/>
        <w:t xml:space="preserve">    二是对历史遗留“僵尸企业”进行逐步清理整顿，梳理历史遗留问题，化解历史包袱；对物资回收公司、再生资源公司进一步规范管理，理顺社企关系，激发企业活力。</w:t>
        <w:br/>
        <w:t xml:space="preserve">    三是进一步加强基层社服务功能。完成消除“三无”基层社一个，改造薄弱基层社一个，不断增强为“三农”服务能力。</w:t>
        <w:br/>
        <w:t xml:space="preserve">    四是做好春耕备耕生产工作。春耕期间到农资店，检查农资储备和了解农资进货渠道。利用省供销系统农资优势，积极为企业解决化肥进货渠道难题。</w:t>
        <w:br/>
        <w:t xml:space="preserve">    五是压实安全生产责任。年初重新履顺了领导班子及各岗位安全生产责任清单，签订安全生产责任状，将安全生产责任落实到岗到人，完善完全生产责任制度。</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16.商业服务业等支出：反映商业服务业等方面的支出。</w:t>
        <w:br/>
        <w:t xml:space="preserve">    17.社会保障和就业支出：反映政府在社会保障与就业方面的支出。</w:t>
        <w:br/>
        <w:t xml:space="preserve">    18.卫生健康支出：反映政府卫生健康方面的支出。</w:t>
        <w:br/>
        <w:t xml:space="preserve">    19.住房保障支出：集中反映政府用于住房方面的支出。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部门：辽宁省盘锦市大洼区供销合作社联合社</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165.91</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0.12</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41.70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5.92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jc w:val="right"/>
            </w:pPr>
            <w:r>
              <w:rPr>
                <w:rFonts w:ascii="宋体" w:eastAsia="宋体" w:hAnsi="宋体" w:cs="宋体"/>
                <w:b w:val="0"/>
                <w:i w:val="0"/>
                <w:color w:val="000000"/>
                <w:sz w:val="18"/>
              </w:rPr>
              <w:t xml:space="preserve">106.52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11.77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166.03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165.91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0.17</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0.29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166.20</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166.20</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部门：辽宁省盘锦市大洼区供销合作社联合社</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166.03</w:t>
            </w:r>
          </w:p>
        </w:tc>
        <w:tc>
          <w:tcPr>
            <w:tcW w:w="1160" w:type="dxa"/>
            <w:tcBorders/>
            <w:vAlign w:val="center"/>
          </w:tcPr>
          <w:p>
            <w:pPr>
              <w:jc w:val="right"/>
            </w:pPr>
            <w:r>
              <w:rPr>
                <w:rFonts w:ascii="宋体" w:eastAsia="宋体" w:hAnsi="宋体" w:cs="宋体"/>
                <w:b/>
                <w:i w:val="0"/>
                <w:color w:val="000000"/>
                <w:sz w:val="14"/>
              </w:rPr>
              <w:t xml:space="preserve">165.91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0.12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41.70</w:t>
            </w:r>
          </w:p>
        </w:tc>
        <w:tc>
          <w:tcPr>
            <w:tcW w:w="1160" w:type="dxa"/>
            <w:tcBorders/>
            <w:vAlign w:val="center"/>
          </w:tcPr>
          <w:p>
            <w:pPr>
              <w:jc w:val="right"/>
            </w:pPr>
            <w:r>
              <w:rPr>
                <w:rFonts w:ascii="宋体" w:eastAsia="宋体" w:hAnsi="宋体" w:cs="宋体"/>
                <w:b w:val="0"/>
                <w:i w:val="0"/>
                <w:color w:val="000000"/>
                <w:sz w:val="14"/>
              </w:rPr>
              <w:t xml:space="preserve">41.70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19.53</w:t>
            </w:r>
          </w:p>
        </w:tc>
        <w:tc>
          <w:tcPr>
            <w:tcW w:w="1160" w:type="dxa"/>
            <w:tcBorders/>
            <w:vAlign w:val="center"/>
          </w:tcPr>
          <w:p>
            <w:pPr>
              <w:jc w:val="right"/>
            </w:pPr>
            <w:r>
              <w:rPr>
                <w:rFonts w:ascii="宋体" w:eastAsia="宋体" w:hAnsi="宋体" w:cs="宋体"/>
                <w:b w:val="0"/>
                <w:i w:val="0"/>
                <w:color w:val="000000"/>
                <w:sz w:val="14"/>
              </w:rPr>
              <w:t xml:space="preserve">19.53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5.20</w:t>
            </w:r>
          </w:p>
        </w:tc>
        <w:tc>
          <w:tcPr>
            <w:tcW w:w="1160" w:type="dxa"/>
            <w:tcBorders/>
            <w:vAlign w:val="center"/>
          </w:tcPr>
          <w:p>
            <w:pPr>
              <w:jc w:val="right"/>
            </w:pPr>
            <w:r>
              <w:rPr>
                <w:rFonts w:ascii="宋体" w:eastAsia="宋体" w:hAnsi="宋体" w:cs="宋体"/>
                <w:b w:val="0"/>
                <w:i w:val="0"/>
                <w:color w:val="000000"/>
                <w:sz w:val="14"/>
              </w:rPr>
              <w:t xml:space="preserve">5.20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14.33</w:t>
            </w:r>
          </w:p>
        </w:tc>
        <w:tc>
          <w:tcPr>
            <w:tcW w:w="1160" w:type="dxa"/>
            <w:tcBorders/>
            <w:vAlign w:val="center"/>
          </w:tcPr>
          <w:p>
            <w:pPr>
              <w:jc w:val="right"/>
            </w:pPr>
            <w:r>
              <w:rPr>
                <w:rFonts w:ascii="宋体" w:eastAsia="宋体" w:hAnsi="宋体" w:cs="宋体"/>
                <w:b w:val="0"/>
                <w:i w:val="0"/>
                <w:color w:val="000000"/>
                <w:sz w:val="14"/>
              </w:rPr>
              <w:t xml:space="preserve">14.33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16.47</w:t>
            </w:r>
          </w:p>
        </w:tc>
        <w:tc>
          <w:tcPr>
            <w:tcW w:w="1160" w:type="dxa"/>
            <w:tcBorders/>
            <w:vAlign w:val="center"/>
          </w:tcPr>
          <w:p>
            <w:pPr>
              <w:jc w:val="right"/>
            </w:pPr>
            <w:r>
              <w:rPr>
                <w:rFonts w:ascii="宋体" w:eastAsia="宋体" w:hAnsi="宋体" w:cs="宋体"/>
                <w:b w:val="0"/>
                <w:i w:val="0"/>
                <w:color w:val="000000"/>
                <w:sz w:val="14"/>
              </w:rPr>
              <w:t xml:space="preserve">16.47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16.47</w:t>
            </w:r>
          </w:p>
        </w:tc>
        <w:tc>
          <w:tcPr>
            <w:tcW w:w="1160" w:type="dxa"/>
            <w:tcBorders/>
            <w:vAlign w:val="center"/>
          </w:tcPr>
          <w:p>
            <w:pPr>
              <w:jc w:val="right"/>
            </w:pPr>
            <w:r>
              <w:rPr>
                <w:rFonts w:ascii="宋体" w:eastAsia="宋体" w:hAnsi="宋体" w:cs="宋体"/>
                <w:b w:val="0"/>
                <w:i w:val="0"/>
                <w:color w:val="000000"/>
                <w:sz w:val="14"/>
              </w:rPr>
              <w:t xml:space="preserve">16.47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其他生活救助</w:t>
            </w:r>
          </w:p>
        </w:tc>
        <w:tc>
          <w:tcPr>
            <w:tcW w:w="1160" w:type="dxa"/>
            <w:tcBorders/>
            <w:vAlign w:val="center"/>
          </w:tcPr>
          <w:p>
            <w:pPr>
              <w:jc w:val="right"/>
            </w:pPr>
            <w:r>
              <w:rPr>
                <w:rFonts w:ascii="宋体" w:eastAsia="宋体" w:hAnsi="宋体" w:cs="宋体"/>
                <w:b w:val="0"/>
                <w:i w:val="0"/>
                <w:color w:val="000000"/>
                <w:sz w:val="14"/>
              </w:rPr>
              <w:t xml:space="preserve">5.38</w:t>
            </w:r>
          </w:p>
        </w:tc>
        <w:tc>
          <w:tcPr>
            <w:tcW w:w="1160" w:type="dxa"/>
            <w:tcBorders/>
            <w:vAlign w:val="center"/>
          </w:tcPr>
          <w:p>
            <w:pPr>
              <w:jc w:val="right"/>
            </w:pPr>
            <w:r>
              <w:rPr>
                <w:rFonts w:ascii="宋体" w:eastAsia="宋体" w:hAnsi="宋体" w:cs="宋体"/>
                <w:b w:val="0"/>
                <w:i w:val="0"/>
                <w:color w:val="000000"/>
                <w:sz w:val="14"/>
              </w:rPr>
              <w:t xml:space="preserve">5.38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其他城市生活救助</w:t>
            </w:r>
          </w:p>
        </w:tc>
        <w:tc>
          <w:tcPr>
            <w:tcW w:w="1160" w:type="dxa"/>
            <w:tcBorders/>
            <w:vAlign w:val="center"/>
          </w:tcPr>
          <w:p>
            <w:pPr>
              <w:jc w:val="right"/>
            </w:pPr>
            <w:r>
              <w:rPr>
                <w:rFonts w:ascii="宋体" w:eastAsia="宋体" w:hAnsi="宋体" w:cs="宋体"/>
                <w:b w:val="0"/>
                <w:i w:val="0"/>
                <w:color w:val="000000"/>
                <w:sz w:val="14"/>
              </w:rPr>
              <w:t xml:space="preserve">5.38</w:t>
            </w:r>
          </w:p>
        </w:tc>
        <w:tc>
          <w:tcPr>
            <w:tcW w:w="1160" w:type="dxa"/>
            <w:tcBorders/>
            <w:vAlign w:val="center"/>
          </w:tcPr>
          <w:p>
            <w:pPr>
              <w:jc w:val="right"/>
            </w:pPr>
            <w:r>
              <w:rPr>
                <w:rFonts w:ascii="宋体" w:eastAsia="宋体" w:hAnsi="宋体" w:cs="宋体"/>
                <w:b w:val="0"/>
                <w:i w:val="0"/>
                <w:color w:val="000000"/>
                <w:sz w:val="14"/>
              </w:rPr>
              <w:t xml:space="preserve">5.38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0.32</w:t>
            </w:r>
          </w:p>
        </w:tc>
        <w:tc>
          <w:tcPr>
            <w:tcW w:w="1160" w:type="dxa"/>
            <w:tcBorders/>
            <w:vAlign w:val="center"/>
          </w:tcPr>
          <w:p>
            <w:pPr>
              <w:jc w:val="right"/>
            </w:pPr>
            <w:r>
              <w:rPr>
                <w:rFonts w:ascii="宋体" w:eastAsia="宋体" w:hAnsi="宋体" w:cs="宋体"/>
                <w:b w:val="0"/>
                <w:i w:val="0"/>
                <w:color w:val="000000"/>
                <w:sz w:val="14"/>
              </w:rPr>
              <w:t xml:space="preserve">0.32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0.32</w:t>
            </w:r>
          </w:p>
        </w:tc>
        <w:tc>
          <w:tcPr>
            <w:tcW w:w="1160" w:type="dxa"/>
            <w:tcBorders/>
            <w:vAlign w:val="center"/>
          </w:tcPr>
          <w:p>
            <w:pPr>
              <w:jc w:val="right"/>
            </w:pPr>
            <w:r>
              <w:rPr>
                <w:rFonts w:ascii="宋体" w:eastAsia="宋体" w:hAnsi="宋体" w:cs="宋体"/>
                <w:b w:val="0"/>
                <w:i w:val="0"/>
                <w:color w:val="000000"/>
                <w:sz w:val="14"/>
              </w:rPr>
              <w:t xml:space="preserve">0.32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5.92</w:t>
            </w:r>
          </w:p>
        </w:tc>
        <w:tc>
          <w:tcPr>
            <w:tcW w:w="1160" w:type="dxa"/>
            <w:tcBorders/>
            <w:vAlign w:val="center"/>
          </w:tcPr>
          <w:p>
            <w:pPr>
              <w:jc w:val="right"/>
            </w:pPr>
            <w:r>
              <w:rPr>
                <w:rFonts w:ascii="宋体" w:eastAsia="宋体" w:hAnsi="宋体" w:cs="宋体"/>
                <w:b w:val="0"/>
                <w:i w:val="0"/>
                <w:color w:val="000000"/>
                <w:sz w:val="14"/>
              </w:rPr>
              <w:t xml:space="preserve">5.92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5.92</w:t>
            </w:r>
          </w:p>
        </w:tc>
        <w:tc>
          <w:tcPr>
            <w:tcW w:w="1160" w:type="dxa"/>
            <w:tcBorders/>
            <w:vAlign w:val="center"/>
          </w:tcPr>
          <w:p>
            <w:pPr>
              <w:jc w:val="right"/>
            </w:pPr>
            <w:r>
              <w:rPr>
                <w:rFonts w:ascii="宋体" w:eastAsia="宋体" w:hAnsi="宋体" w:cs="宋体"/>
                <w:b w:val="0"/>
                <w:i w:val="0"/>
                <w:color w:val="000000"/>
                <w:sz w:val="14"/>
              </w:rPr>
              <w:t xml:space="preserve">5.92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5.77</w:t>
            </w:r>
          </w:p>
        </w:tc>
        <w:tc>
          <w:tcPr>
            <w:tcW w:w="1160" w:type="dxa"/>
            <w:tcBorders/>
            <w:vAlign w:val="center"/>
          </w:tcPr>
          <w:p>
            <w:pPr>
              <w:jc w:val="right"/>
            </w:pPr>
            <w:r>
              <w:rPr>
                <w:rFonts w:ascii="宋体" w:eastAsia="宋体" w:hAnsi="宋体" w:cs="宋体"/>
                <w:b w:val="0"/>
                <w:i w:val="0"/>
                <w:color w:val="000000"/>
                <w:sz w:val="14"/>
              </w:rPr>
              <w:t xml:space="preserve">5.77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商业服务业等支出</w:t>
            </w:r>
          </w:p>
        </w:tc>
        <w:tc>
          <w:tcPr>
            <w:tcW w:w="1160" w:type="dxa"/>
            <w:tcBorders/>
            <w:vAlign w:val="center"/>
          </w:tcPr>
          <w:p>
            <w:pPr>
              <w:jc w:val="right"/>
            </w:pPr>
            <w:r>
              <w:rPr>
                <w:rFonts w:ascii="宋体" w:eastAsia="宋体" w:hAnsi="宋体" w:cs="宋体"/>
                <w:b w:val="0"/>
                <w:i w:val="0"/>
                <w:color w:val="000000"/>
                <w:sz w:val="14"/>
              </w:rPr>
              <w:t xml:space="preserve">106.64</w:t>
            </w:r>
          </w:p>
        </w:tc>
        <w:tc>
          <w:tcPr>
            <w:tcW w:w="1160" w:type="dxa"/>
            <w:tcBorders/>
            <w:vAlign w:val="center"/>
          </w:tcPr>
          <w:p>
            <w:pPr>
              <w:jc w:val="right"/>
            </w:pPr>
            <w:r>
              <w:rPr>
                <w:rFonts w:ascii="宋体" w:eastAsia="宋体" w:hAnsi="宋体" w:cs="宋体"/>
                <w:b w:val="0"/>
                <w:i w:val="0"/>
                <w:color w:val="000000"/>
                <w:sz w:val="14"/>
              </w:rPr>
              <w:t xml:space="preserve">106.52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0.12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21602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商业流通事务</w:t>
            </w:r>
          </w:p>
        </w:tc>
        <w:tc>
          <w:tcPr>
            <w:tcW w:w="1160" w:type="dxa"/>
            <w:tcBorders/>
            <w:vAlign w:val="center"/>
          </w:tcPr>
          <w:p>
            <w:pPr>
              <w:jc w:val="right"/>
            </w:pPr>
            <w:r>
              <w:rPr>
                <w:rFonts w:ascii="宋体" w:eastAsia="宋体" w:hAnsi="宋体" w:cs="宋体"/>
                <w:b w:val="0"/>
                <w:i w:val="0"/>
                <w:color w:val="000000"/>
                <w:sz w:val="14"/>
              </w:rPr>
              <w:t xml:space="preserve">106.64</w:t>
            </w:r>
          </w:p>
        </w:tc>
        <w:tc>
          <w:tcPr>
            <w:tcW w:w="1160" w:type="dxa"/>
            <w:tcBorders/>
            <w:vAlign w:val="center"/>
          </w:tcPr>
          <w:p>
            <w:pPr>
              <w:jc w:val="right"/>
            </w:pPr>
            <w:r>
              <w:rPr>
                <w:rFonts w:ascii="宋体" w:eastAsia="宋体" w:hAnsi="宋体" w:cs="宋体"/>
                <w:b w:val="0"/>
                <w:i w:val="0"/>
                <w:color w:val="000000"/>
                <w:sz w:val="14"/>
              </w:rPr>
              <w:t xml:space="preserve">106.52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0.12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2160299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其他商业流通事务支出</w:t>
            </w:r>
          </w:p>
        </w:tc>
        <w:tc>
          <w:tcPr>
            <w:tcW w:w="1160" w:type="dxa"/>
            <w:tcBorders/>
            <w:vAlign w:val="center"/>
          </w:tcPr>
          <w:p>
            <w:pPr>
              <w:jc w:val="right"/>
            </w:pPr>
            <w:r>
              <w:rPr>
                <w:rFonts w:ascii="宋体" w:eastAsia="宋体" w:hAnsi="宋体" w:cs="宋体"/>
                <w:b w:val="0"/>
                <w:i w:val="0"/>
                <w:color w:val="000000"/>
                <w:sz w:val="14"/>
              </w:rPr>
              <w:t xml:space="preserve">106.64</w:t>
            </w:r>
          </w:p>
        </w:tc>
        <w:tc>
          <w:tcPr>
            <w:tcW w:w="1160" w:type="dxa"/>
            <w:tcBorders/>
            <w:vAlign w:val="center"/>
          </w:tcPr>
          <w:p>
            <w:pPr>
              <w:jc w:val="right"/>
            </w:pPr>
            <w:r>
              <w:rPr>
                <w:rFonts w:ascii="宋体" w:eastAsia="宋体" w:hAnsi="宋体" w:cs="宋体"/>
                <w:b w:val="0"/>
                <w:i w:val="0"/>
                <w:color w:val="000000"/>
                <w:sz w:val="14"/>
              </w:rPr>
              <w:t xml:space="preserve">106.52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0.12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11.77</w:t>
            </w:r>
          </w:p>
        </w:tc>
        <w:tc>
          <w:tcPr>
            <w:tcW w:w="1160" w:type="dxa"/>
            <w:tcBorders/>
            <w:vAlign w:val="center"/>
          </w:tcPr>
          <w:p>
            <w:pPr>
              <w:jc w:val="right"/>
            </w:pPr>
            <w:r>
              <w:rPr>
                <w:rFonts w:ascii="宋体" w:eastAsia="宋体" w:hAnsi="宋体" w:cs="宋体"/>
                <w:b w:val="0"/>
                <w:i w:val="0"/>
                <w:color w:val="000000"/>
                <w:sz w:val="14"/>
              </w:rPr>
              <w:t xml:space="preserve">11.77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11.77</w:t>
            </w:r>
          </w:p>
        </w:tc>
        <w:tc>
          <w:tcPr>
            <w:tcW w:w="1160" w:type="dxa"/>
            <w:tcBorders/>
            <w:vAlign w:val="center"/>
          </w:tcPr>
          <w:p>
            <w:pPr>
              <w:jc w:val="right"/>
            </w:pPr>
            <w:r>
              <w:rPr>
                <w:rFonts w:ascii="宋体" w:eastAsia="宋体" w:hAnsi="宋体" w:cs="宋体"/>
                <w:b w:val="0"/>
                <w:i w:val="0"/>
                <w:color w:val="000000"/>
                <w:sz w:val="14"/>
              </w:rPr>
              <w:t xml:space="preserve">11.77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11.77</w:t>
            </w:r>
          </w:p>
        </w:tc>
        <w:tc>
          <w:tcPr>
            <w:tcW w:w="1160" w:type="dxa"/>
            <w:tcBorders/>
            <w:vAlign w:val="center"/>
          </w:tcPr>
          <w:p>
            <w:pPr>
              <w:jc w:val="right"/>
            </w:pPr>
            <w:r>
              <w:rPr>
                <w:rFonts w:ascii="宋体" w:eastAsia="宋体" w:hAnsi="宋体" w:cs="宋体"/>
                <w:b w:val="0"/>
                <w:i w:val="0"/>
                <w:color w:val="000000"/>
                <w:sz w:val="14"/>
              </w:rPr>
              <w:t xml:space="preserve">11.77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部门：辽宁省盘锦市大洼区供销合作社联合社</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165.91</w:t>
            </w:r>
          </w:p>
        </w:tc>
        <w:tc>
          <w:tcPr>
            <w:tcW w:w="1120" w:type="dxa"/>
            <w:tcBorders/>
            <w:vAlign w:val="center"/>
          </w:tcPr>
          <w:p>
            <w:pPr>
              <w:jc w:val="right"/>
            </w:pPr>
            <w:r>
              <w:rPr>
                <w:rFonts w:ascii="宋体" w:eastAsia="宋体" w:hAnsi="宋体" w:cs="宋体"/>
                <w:b/>
                <w:i w:val="0"/>
                <w:color w:val="000000"/>
                <w:sz w:val="16"/>
              </w:rPr>
              <w:t xml:space="preserve">160.53</w:t>
            </w:r>
          </w:p>
        </w:tc>
        <w:tc>
          <w:tcPr>
            <w:tcW w:w="1120" w:type="dxa"/>
            <w:tcBorders/>
            <w:vAlign w:val="center"/>
          </w:tcPr>
          <w:p>
            <w:pPr>
              <w:jc w:val="right"/>
            </w:pPr>
            <w:r>
              <w:rPr>
                <w:rFonts w:ascii="宋体" w:eastAsia="宋体" w:hAnsi="宋体" w:cs="宋体"/>
                <w:b/>
                <w:i w:val="0"/>
                <w:color w:val="000000"/>
                <w:sz w:val="16"/>
              </w:rPr>
              <w:t xml:space="preserve">5.38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41.70</w:t>
            </w:r>
          </w:p>
        </w:tc>
        <w:tc>
          <w:tcPr>
            <w:tcW w:w="1120" w:type="dxa"/>
            <w:tcBorders/>
            <w:vAlign w:val="center"/>
          </w:tcPr>
          <w:p>
            <w:pPr>
              <w:jc w:val="right"/>
            </w:pPr>
            <w:r>
              <w:rPr>
                <w:rFonts w:ascii="宋体" w:eastAsia="宋体" w:hAnsi="宋体" w:cs="宋体"/>
                <w:b w:val="0"/>
                <w:i w:val="0"/>
                <w:color w:val="000000"/>
                <w:sz w:val="16"/>
              </w:rPr>
              <w:t xml:space="preserve">36.32</w:t>
            </w:r>
          </w:p>
        </w:tc>
        <w:tc>
          <w:tcPr>
            <w:tcW w:w="1120" w:type="dxa"/>
            <w:tcBorders/>
            <w:vAlign w:val="center"/>
          </w:tcPr>
          <w:p>
            <w:pPr>
              <w:jc w:val="right"/>
            </w:pPr>
            <w:r>
              <w:rPr>
                <w:rFonts w:ascii="宋体" w:eastAsia="宋体" w:hAnsi="宋体" w:cs="宋体"/>
                <w:b w:val="0"/>
                <w:i w:val="0"/>
                <w:color w:val="000000"/>
                <w:sz w:val="16"/>
              </w:rPr>
              <w:t xml:space="preserve">5.38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19.53</w:t>
            </w:r>
          </w:p>
        </w:tc>
        <w:tc>
          <w:tcPr>
            <w:tcW w:w="1120" w:type="dxa"/>
            <w:tcBorders/>
            <w:vAlign w:val="center"/>
          </w:tcPr>
          <w:p>
            <w:pPr>
              <w:jc w:val="right"/>
            </w:pPr>
            <w:r>
              <w:rPr>
                <w:rFonts w:ascii="宋体" w:eastAsia="宋体" w:hAnsi="宋体" w:cs="宋体"/>
                <w:b w:val="0"/>
                <w:i w:val="0"/>
                <w:color w:val="000000"/>
                <w:sz w:val="16"/>
              </w:rPr>
              <w:t xml:space="preserve">19.53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5.20</w:t>
            </w:r>
          </w:p>
        </w:tc>
        <w:tc>
          <w:tcPr>
            <w:tcW w:w="1120" w:type="dxa"/>
            <w:tcBorders/>
            <w:vAlign w:val="center"/>
          </w:tcPr>
          <w:p>
            <w:pPr>
              <w:jc w:val="right"/>
            </w:pPr>
            <w:r>
              <w:rPr>
                <w:rFonts w:ascii="宋体" w:eastAsia="宋体" w:hAnsi="宋体" w:cs="宋体"/>
                <w:b w:val="0"/>
                <w:i w:val="0"/>
                <w:color w:val="000000"/>
                <w:sz w:val="16"/>
              </w:rPr>
              <w:t xml:space="preserve">5.20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14.33</w:t>
            </w:r>
          </w:p>
        </w:tc>
        <w:tc>
          <w:tcPr>
            <w:tcW w:w="1120" w:type="dxa"/>
            <w:tcBorders/>
            <w:vAlign w:val="center"/>
          </w:tcPr>
          <w:p>
            <w:pPr>
              <w:jc w:val="right"/>
            </w:pPr>
            <w:r>
              <w:rPr>
                <w:rFonts w:ascii="宋体" w:eastAsia="宋体" w:hAnsi="宋体" w:cs="宋体"/>
                <w:b w:val="0"/>
                <w:i w:val="0"/>
                <w:color w:val="000000"/>
                <w:sz w:val="16"/>
              </w:rPr>
              <w:t xml:space="preserve">14.33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16.47</w:t>
            </w:r>
          </w:p>
        </w:tc>
        <w:tc>
          <w:tcPr>
            <w:tcW w:w="1120" w:type="dxa"/>
            <w:tcBorders/>
            <w:vAlign w:val="center"/>
          </w:tcPr>
          <w:p>
            <w:pPr>
              <w:jc w:val="right"/>
            </w:pPr>
            <w:r>
              <w:rPr>
                <w:rFonts w:ascii="宋体" w:eastAsia="宋体" w:hAnsi="宋体" w:cs="宋体"/>
                <w:b w:val="0"/>
                <w:i w:val="0"/>
                <w:color w:val="000000"/>
                <w:sz w:val="16"/>
              </w:rPr>
              <w:t xml:space="preserve">16.47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16.47</w:t>
            </w:r>
          </w:p>
        </w:tc>
        <w:tc>
          <w:tcPr>
            <w:tcW w:w="1120" w:type="dxa"/>
            <w:tcBorders/>
            <w:vAlign w:val="center"/>
          </w:tcPr>
          <w:p>
            <w:pPr>
              <w:jc w:val="right"/>
            </w:pPr>
            <w:r>
              <w:rPr>
                <w:rFonts w:ascii="宋体" w:eastAsia="宋体" w:hAnsi="宋体" w:cs="宋体"/>
                <w:b w:val="0"/>
                <w:i w:val="0"/>
                <w:color w:val="000000"/>
                <w:sz w:val="16"/>
              </w:rPr>
              <w:t xml:space="preserve">16.47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其他生活救助</w:t>
            </w:r>
          </w:p>
        </w:tc>
        <w:tc>
          <w:tcPr>
            <w:tcW w:w="1120" w:type="dxa"/>
            <w:tcBorders/>
            <w:vAlign w:val="center"/>
          </w:tcPr>
          <w:p>
            <w:pPr>
              <w:jc w:val="right"/>
            </w:pPr>
            <w:r>
              <w:rPr>
                <w:rFonts w:ascii="宋体" w:eastAsia="宋体" w:hAnsi="宋体" w:cs="宋体"/>
                <w:b w:val="0"/>
                <w:i w:val="0"/>
                <w:color w:val="000000"/>
                <w:sz w:val="16"/>
              </w:rPr>
              <w:t xml:space="preserve">5.38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5.38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其他城市生活救助</w:t>
            </w:r>
          </w:p>
        </w:tc>
        <w:tc>
          <w:tcPr>
            <w:tcW w:w="1120" w:type="dxa"/>
            <w:tcBorders/>
            <w:vAlign w:val="center"/>
          </w:tcPr>
          <w:p>
            <w:pPr>
              <w:jc w:val="right"/>
            </w:pPr>
            <w:r>
              <w:rPr>
                <w:rFonts w:ascii="宋体" w:eastAsia="宋体" w:hAnsi="宋体" w:cs="宋体"/>
                <w:b w:val="0"/>
                <w:i w:val="0"/>
                <w:color w:val="000000"/>
                <w:sz w:val="16"/>
              </w:rPr>
              <w:t xml:space="preserve">5.38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5.38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0.32</w:t>
            </w:r>
          </w:p>
        </w:tc>
        <w:tc>
          <w:tcPr>
            <w:tcW w:w="1120" w:type="dxa"/>
            <w:tcBorders/>
            <w:vAlign w:val="center"/>
          </w:tcPr>
          <w:p>
            <w:pPr>
              <w:jc w:val="right"/>
            </w:pPr>
            <w:r>
              <w:rPr>
                <w:rFonts w:ascii="宋体" w:eastAsia="宋体" w:hAnsi="宋体" w:cs="宋体"/>
                <w:b w:val="0"/>
                <w:i w:val="0"/>
                <w:color w:val="000000"/>
                <w:sz w:val="16"/>
              </w:rPr>
              <w:t xml:space="preserve">0.32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0.32</w:t>
            </w:r>
          </w:p>
        </w:tc>
        <w:tc>
          <w:tcPr>
            <w:tcW w:w="1120" w:type="dxa"/>
            <w:tcBorders/>
            <w:vAlign w:val="center"/>
          </w:tcPr>
          <w:p>
            <w:pPr>
              <w:jc w:val="right"/>
            </w:pPr>
            <w:r>
              <w:rPr>
                <w:rFonts w:ascii="宋体" w:eastAsia="宋体" w:hAnsi="宋体" w:cs="宋体"/>
                <w:b w:val="0"/>
                <w:i w:val="0"/>
                <w:color w:val="000000"/>
                <w:sz w:val="16"/>
              </w:rPr>
              <w:t xml:space="preserve">0.32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5.92</w:t>
            </w:r>
          </w:p>
        </w:tc>
        <w:tc>
          <w:tcPr>
            <w:tcW w:w="1120" w:type="dxa"/>
            <w:tcBorders/>
            <w:vAlign w:val="center"/>
          </w:tcPr>
          <w:p>
            <w:pPr>
              <w:jc w:val="right"/>
            </w:pPr>
            <w:r>
              <w:rPr>
                <w:rFonts w:ascii="宋体" w:eastAsia="宋体" w:hAnsi="宋体" w:cs="宋体"/>
                <w:b w:val="0"/>
                <w:i w:val="0"/>
                <w:color w:val="000000"/>
                <w:sz w:val="16"/>
              </w:rPr>
              <w:t xml:space="preserve">5.92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5.92</w:t>
            </w:r>
          </w:p>
        </w:tc>
        <w:tc>
          <w:tcPr>
            <w:tcW w:w="1120" w:type="dxa"/>
            <w:tcBorders/>
            <w:vAlign w:val="center"/>
          </w:tcPr>
          <w:p>
            <w:pPr>
              <w:jc w:val="right"/>
            </w:pPr>
            <w:r>
              <w:rPr>
                <w:rFonts w:ascii="宋体" w:eastAsia="宋体" w:hAnsi="宋体" w:cs="宋体"/>
                <w:b w:val="0"/>
                <w:i w:val="0"/>
                <w:color w:val="000000"/>
                <w:sz w:val="16"/>
              </w:rPr>
              <w:t xml:space="preserve">5.92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5.77</w:t>
            </w:r>
          </w:p>
        </w:tc>
        <w:tc>
          <w:tcPr>
            <w:tcW w:w="1120" w:type="dxa"/>
            <w:tcBorders/>
            <w:vAlign w:val="center"/>
          </w:tcPr>
          <w:p>
            <w:pPr>
              <w:jc w:val="right"/>
            </w:pPr>
            <w:r>
              <w:rPr>
                <w:rFonts w:ascii="宋体" w:eastAsia="宋体" w:hAnsi="宋体" w:cs="宋体"/>
                <w:b w:val="0"/>
                <w:i w:val="0"/>
                <w:color w:val="000000"/>
                <w:sz w:val="16"/>
              </w:rPr>
              <w:t xml:space="preserve">5.77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商业服务业等支出</w:t>
            </w:r>
          </w:p>
        </w:tc>
        <w:tc>
          <w:tcPr>
            <w:tcW w:w="1120" w:type="dxa"/>
            <w:tcBorders/>
            <w:vAlign w:val="center"/>
          </w:tcPr>
          <w:p>
            <w:pPr>
              <w:jc w:val="right"/>
            </w:pPr>
            <w:r>
              <w:rPr>
                <w:rFonts w:ascii="宋体" w:eastAsia="宋体" w:hAnsi="宋体" w:cs="宋体"/>
                <w:b w:val="0"/>
                <w:i w:val="0"/>
                <w:color w:val="000000"/>
                <w:sz w:val="16"/>
              </w:rPr>
              <w:t xml:space="preserve">106.52</w:t>
            </w:r>
          </w:p>
        </w:tc>
        <w:tc>
          <w:tcPr>
            <w:tcW w:w="1120" w:type="dxa"/>
            <w:tcBorders/>
            <w:vAlign w:val="center"/>
          </w:tcPr>
          <w:p>
            <w:pPr>
              <w:jc w:val="right"/>
            </w:pPr>
            <w:r>
              <w:rPr>
                <w:rFonts w:ascii="宋体" w:eastAsia="宋体" w:hAnsi="宋体" w:cs="宋体"/>
                <w:b w:val="0"/>
                <w:i w:val="0"/>
                <w:color w:val="000000"/>
                <w:sz w:val="16"/>
              </w:rPr>
              <w:t xml:space="preserve">106.52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21602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商业流通事务</w:t>
            </w:r>
          </w:p>
        </w:tc>
        <w:tc>
          <w:tcPr>
            <w:tcW w:w="1120" w:type="dxa"/>
            <w:tcBorders/>
            <w:vAlign w:val="center"/>
          </w:tcPr>
          <w:p>
            <w:pPr>
              <w:jc w:val="right"/>
            </w:pPr>
            <w:r>
              <w:rPr>
                <w:rFonts w:ascii="宋体" w:eastAsia="宋体" w:hAnsi="宋体" w:cs="宋体"/>
                <w:b w:val="0"/>
                <w:i w:val="0"/>
                <w:color w:val="000000"/>
                <w:sz w:val="16"/>
              </w:rPr>
              <w:t xml:space="preserve">106.52</w:t>
            </w:r>
          </w:p>
        </w:tc>
        <w:tc>
          <w:tcPr>
            <w:tcW w:w="1120" w:type="dxa"/>
            <w:tcBorders/>
            <w:vAlign w:val="center"/>
          </w:tcPr>
          <w:p>
            <w:pPr>
              <w:jc w:val="right"/>
            </w:pPr>
            <w:r>
              <w:rPr>
                <w:rFonts w:ascii="宋体" w:eastAsia="宋体" w:hAnsi="宋体" w:cs="宋体"/>
                <w:b w:val="0"/>
                <w:i w:val="0"/>
                <w:color w:val="000000"/>
                <w:sz w:val="16"/>
              </w:rPr>
              <w:t xml:space="preserve">106.52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2160299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其他商业流通事务支出</w:t>
            </w:r>
          </w:p>
        </w:tc>
        <w:tc>
          <w:tcPr>
            <w:tcW w:w="1120" w:type="dxa"/>
            <w:tcBorders/>
            <w:vAlign w:val="center"/>
          </w:tcPr>
          <w:p>
            <w:pPr>
              <w:jc w:val="right"/>
            </w:pPr>
            <w:r>
              <w:rPr>
                <w:rFonts w:ascii="宋体" w:eastAsia="宋体" w:hAnsi="宋体" w:cs="宋体"/>
                <w:b w:val="0"/>
                <w:i w:val="0"/>
                <w:color w:val="000000"/>
                <w:sz w:val="16"/>
              </w:rPr>
              <w:t xml:space="preserve">106.52</w:t>
            </w:r>
          </w:p>
        </w:tc>
        <w:tc>
          <w:tcPr>
            <w:tcW w:w="1120" w:type="dxa"/>
            <w:tcBorders/>
            <w:vAlign w:val="center"/>
          </w:tcPr>
          <w:p>
            <w:pPr>
              <w:jc w:val="right"/>
            </w:pPr>
            <w:r>
              <w:rPr>
                <w:rFonts w:ascii="宋体" w:eastAsia="宋体" w:hAnsi="宋体" w:cs="宋体"/>
                <w:b w:val="0"/>
                <w:i w:val="0"/>
                <w:color w:val="000000"/>
                <w:sz w:val="16"/>
              </w:rPr>
              <w:t xml:space="preserve">106.52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11.77</w:t>
            </w:r>
          </w:p>
        </w:tc>
        <w:tc>
          <w:tcPr>
            <w:tcW w:w="1120" w:type="dxa"/>
            <w:tcBorders/>
            <w:vAlign w:val="center"/>
          </w:tcPr>
          <w:p>
            <w:pPr>
              <w:jc w:val="right"/>
            </w:pPr>
            <w:r>
              <w:rPr>
                <w:rFonts w:ascii="宋体" w:eastAsia="宋体" w:hAnsi="宋体" w:cs="宋体"/>
                <w:b w:val="0"/>
                <w:i w:val="0"/>
                <w:color w:val="000000"/>
                <w:sz w:val="16"/>
              </w:rPr>
              <w:t xml:space="preserve">11.77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11.77</w:t>
            </w:r>
          </w:p>
        </w:tc>
        <w:tc>
          <w:tcPr>
            <w:tcW w:w="1120" w:type="dxa"/>
            <w:tcBorders/>
            <w:vAlign w:val="center"/>
          </w:tcPr>
          <w:p>
            <w:pPr>
              <w:jc w:val="right"/>
            </w:pPr>
            <w:r>
              <w:rPr>
                <w:rFonts w:ascii="宋体" w:eastAsia="宋体" w:hAnsi="宋体" w:cs="宋体"/>
                <w:b w:val="0"/>
                <w:i w:val="0"/>
                <w:color w:val="000000"/>
                <w:sz w:val="16"/>
              </w:rPr>
              <w:t xml:space="preserve">11.77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11.77</w:t>
            </w:r>
          </w:p>
        </w:tc>
        <w:tc>
          <w:tcPr>
            <w:tcW w:w="1120" w:type="dxa"/>
            <w:tcBorders/>
            <w:vAlign w:val="center"/>
          </w:tcPr>
          <w:p>
            <w:pPr>
              <w:jc w:val="right"/>
            </w:pPr>
            <w:r>
              <w:rPr>
                <w:rFonts w:ascii="宋体" w:eastAsia="宋体" w:hAnsi="宋体" w:cs="宋体"/>
                <w:b w:val="0"/>
                <w:i w:val="0"/>
                <w:color w:val="000000"/>
                <w:sz w:val="16"/>
              </w:rPr>
              <w:t xml:space="preserve">11.77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部门：辽宁省盘锦市大洼区供销合作社联合社</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165.91</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41.70</w:t>
            </w:r>
          </w:p>
        </w:tc>
        <w:tc>
          <w:tcPr>
            <w:tcW w:w="1100" w:type="dxa"/>
            <w:tcBorders/>
            <w:vAlign w:val="center"/>
          </w:tcPr>
          <w:p>
            <w:pPr>
              <w:jc w:val="right"/>
            </w:pPr>
            <w:r>
              <w:rPr>
                <w:rFonts w:ascii="宋体" w:eastAsia="宋体" w:hAnsi="宋体" w:cs="宋体"/>
                <w:b w:val="0"/>
                <w:i w:val="0"/>
                <w:color w:val="000000"/>
                <w:sz w:val="14"/>
              </w:rPr>
              <w:t xml:space="preserve">41.70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5.92</w:t>
            </w:r>
          </w:p>
        </w:tc>
        <w:tc>
          <w:tcPr>
            <w:tcW w:w="1100" w:type="dxa"/>
            <w:tcBorders/>
            <w:vAlign w:val="center"/>
          </w:tcPr>
          <w:p>
            <w:pPr>
              <w:jc w:val="right"/>
            </w:pPr>
            <w:r>
              <w:rPr>
                <w:rFonts w:ascii="宋体" w:eastAsia="宋体" w:hAnsi="宋体" w:cs="宋体"/>
                <w:b w:val="0"/>
                <w:i w:val="0"/>
                <w:color w:val="000000"/>
                <w:sz w:val="14"/>
              </w:rPr>
              <w:t xml:space="preserve">5.92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jc w:val="right"/>
            </w:pPr>
            <w:r>
              <w:rPr>
                <w:rFonts w:ascii="宋体" w:eastAsia="宋体" w:hAnsi="宋体" w:cs="宋体"/>
                <w:b w:val="0"/>
                <w:i w:val="0"/>
                <w:color w:val="000000"/>
                <w:sz w:val="14"/>
              </w:rPr>
              <w:t xml:space="preserve">106.52</w:t>
            </w:r>
          </w:p>
        </w:tc>
        <w:tc>
          <w:tcPr>
            <w:tcW w:w="1100" w:type="dxa"/>
            <w:tcBorders/>
            <w:vAlign w:val="center"/>
          </w:tcPr>
          <w:p>
            <w:pPr>
              <w:jc w:val="right"/>
            </w:pPr>
            <w:r>
              <w:rPr>
                <w:rFonts w:ascii="宋体" w:eastAsia="宋体" w:hAnsi="宋体" w:cs="宋体"/>
                <w:b w:val="0"/>
                <w:i w:val="0"/>
                <w:color w:val="000000"/>
                <w:sz w:val="14"/>
              </w:rPr>
              <w:t xml:space="preserve">106.52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11.77</w:t>
            </w:r>
          </w:p>
        </w:tc>
        <w:tc>
          <w:tcPr>
            <w:tcW w:w="1100" w:type="dxa"/>
            <w:tcBorders/>
            <w:vAlign w:val="center"/>
          </w:tcPr>
          <w:p>
            <w:pPr>
              <w:jc w:val="right"/>
            </w:pPr>
            <w:r>
              <w:rPr>
                <w:rFonts w:ascii="宋体" w:eastAsia="宋体" w:hAnsi="宋体" w:cs="宋体"/>
                <w:b w:val="0"/>
                <w:i w:val="0"/>
                <w:color w:val="000000"/>
                <w:sz w:val="14"/>
              </w:rPr>
              <w:t xml:space="preserve">11.77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165.91</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165.91</w:t>
            </w:r>
          </w:p>
        </w:tc>
        <w:tc>
          <w:tcPr>
            <w:tcW w:w="1100" w:type="dxa"/>
            <w:tcBorders/>
            <w:vAlign w:val="center"/>
          </w:tcPr>
          <w:p>
            <w:pPr>
              <w:jc w:val="right"/>
            </w:pPr>
            <w:r>
              <w:rPr>
                <w:rFonts w:ascii="宋体" w:eastAsia="宋体" w:hAnsi="宋体" w:cs="宋体"/>
                <w:b w:val="0"/>
                <w:i w:val="0"/>
                <w:color w:val="000000"/>
                <w:sz w:val="14"/>
              </w:rPr>
              <w:t xml:space="preserve">165.91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165.91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165.91</w:t>
            </w:r>
          </w:p>
        </w:tc>
        <w:tc>
          <w:tcPr>
            <w:tcW w:w="1100" w:type="dxa"/>
            <w:tcBorders/>
            <w:vAlign w:val="center"/>
          </w:tcPr>
          <w:p>
            <w:pPr>
              <w:jc w:val="right"/>
            </w:pPr>
            <w:r>
              <w:rPr>
                <w:rFonts w:ascii="宋体" w:eastAsia="宋体" w:hAnsi="宋体" w:cs="宋体"/>
                <w:b w:val="0"/>
                <w:i w:val="0"/>
                <w:color w:val="000000"/>
                <w:sz w:val="14"/>
              </w:rPr>
              <w:t xml:space="preserve">165.91</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部门：辽宁省盘锦市大洼区供销合作社联合社</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165.91</w:t>
            </w:r>
          </w:p>
        </w:tc>
        <w:tc>
          <w:tcPr>
            <w:tcW w:w="1980" w:type="dxa"/>
            <w:tcBorders/>
            <w:vAlign w:val="center"/>
          </w:tcPr>
          <w:p>
            <w:pPr>
              <w:jc w:val="right"/>
            </w:pPr>
            <w:r>
              <w:rPr>
                <w:rFonts w:ascii="宋体" w:eastAsia="宋体" w:hAnsi="宋体" w:cs="宋体"/>
                <w:b/>
                <w:i w:val="0"/>
                <w:color w:val="000000"/>
                <w:sz w:val="20"/>
              </w:rPr>
              <w:t xml:space="preserve">160.53</w:t>
            </w:r>
          </w:p>
        </w:tc>
        <w:tc>
          <w:tcPr>
            <w:tcW w:w="1952" w:type="dxa"/>
            <w:tcBorders/>
            <w:vAlign w:val="center"/>
          </w:tcPr>
          <w:p>
            <w:pPr>
              <w:jc w:val="right"/>
            </w:pPr>
            <w:r>
              <w:rPr>
                <w:rFonts w:ascii="宋体" w:eastAsia="宋体" w:hAnsi="宋体" w:cs="宋体"/>
                <w:b/>
                <w:i w:val="0"/>
                <w:color w:val="000000"/>
                <w:sz w:val="20"/>
              </w:rPr>
              <w:t xml:space="preserve">5.38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41.70</w:t>
            </w:r>
          </w:p>
        </w:tc>
        <w:tc>
          <w:tcPr>
            <w:tcW w:w="1980" w:type="dxa"/>
            <w:tcBorders/>
            <w:vAlign w:val="center"/>
          </w:tcPr>
          <w:p>
            <w:pPr>
              <w:jc w:val="right"/>
            </w:pPr>
            <w:r>
              <w:rPr>
                <w:rFonts w:ascii="宋体" w:eastAsia="宋体" w:hAnsi="宋体" w:cs="宋体"/>
                <w:b w:val="0"/>
                <w:i w:val="0"/>
                <w:color w:val="000000"/>
                <w:sz w:val="20"/>
              </w:rPr>
              <w:t xml:space="preserve">36.32</w:t>
            </w:r>
          </w:p>
        </w:tc>
        <w:tc>
          <w:tcPr>
            <w:tcW w:w="1952" w:type="dxa"/>
            <w:tcBorders/>
            <w:vAlign w:val="center"/>
          </w:tcPr>
          <w:p>
            <w:pPr>
              <w:jc w:val="right"/>
            </w:pPr>
            <w:r>
              <w:rPr>
                <w:rFonts w:ascii="宋体" w:eastAsia="宋体" w:hAnsi="宋体" w:cs="宋体"/>
                <w:b w:val="0"/>
                <w:i w:val="0"/>
                <w:color w:val="000000"/>
                <w:sz w:val="20"/>
              </w:rPr>
              <w:t xml:space="preserve">5.38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19.53</w:t>
            </w:r>
          </w:p>
        </w:tc>
        <w:tc>
          <w:tcPr>
            <w:tcW w:w="1980" w:type="dxa"/>
            <w:tcBorders/>
            <w:vAlign w:val="center"/>
          </w:tcPr>
          <w:p>
            <w:pPr>
              <w:jc w:val="right"/>
            </w:pPr>
            <w:r>
              <w:rPr>
                <w:rFonts w:ascii="宋体" w:eastAsia="宋体" w:hAnsi="宋体" w:cs="宋体"/>
                <w:b w:val="0"/>
                <w:i w:val="0"/>
                <w:color w:val="000000"/>
                <w:sz w:val="20"/>
              </w:rPr>
              <w:t xml:space="preserve">19.53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5.20</w:t>
            </w:r>
          </w:p>
        </w:tc>
        <w:tc>
          <w:tcPr>
            <w:tcW w:w="1980" w:type="dxa"/>
            <w:tcBorders/>
            <w:vAlign w:val="center"/>
          </w:tcPr>
          <w:p>
            <w:pPr>
              <w:jc w:val="right"/>
            </w:pPr>
            <w:r>
              <w:rPr>
                <w:rFonts w:ascii="宋体" w:eastAsia="宋体" w:hAnsi="宋体" w:cs="宋体"/>
                <w:b w:val="0"/>
                <w:i w:val="0"/>
                <w:color w:val="000000"/>
                <w:sz w:val="20"/>
              </w:rPr>
              <w:t xml:space="preserve">5.20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14.33</w:t>
            </w:r>
          </w:p>
        </w:tc>
        <w:tc>
          <w:tcPr>
            <w:tcW w:w="1980" w:type="dxa"/>
            <w:tcBorders/>
            <w:vAlign w:val="center"/>
          </w:tcPr>
          <w:p>
            <w:pPr>
              <w:jc w:val="right"/>
            </w:pPr>
            <w:r>
              <w:rPr>
                <w:rFonts w:ascii="宋体" w:eastAsia="宋体" w:hAnsi="宋体" w:cs="宋体"/>
                <w:b w:val="0"/>
                <w:i w:val="0"/>
                <w:color w:val="000000"/>
                <w:sz w:val="20"/>
              </w:rPr>
              <w:t xml:space="preserve">14.33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16.47</w:t>
            </w:r>
          </w:p>
        </w:tc>
        <w:tc>
          <w:tcPr>
            <w:tcW w:w="1980" w:type="dxa"/>
            <w:tcBorders/>
            <w:vAlign w:val="center"/>
          </w:tcPr>
          <w:p>
            <w:pPr>
              <w:jc w:val="right"/>
            </w:pPr>
            <w:r>
              <w:rPr>
                <w:rFonts w:ascii="宋体" w:eastAsia="宋体" w:hAnsi="宋体" w:cs="宋体"/>
                <w:b w:val="0"/>
                <w:i w:val="0"/>
                <w:color w:val="000000"/>
                <w:sz w:val="20"/>
              </w:rPr>
              <w:t xml:space="preserve">16.47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16.47</w:t>
            </w:r>
          </w:p>
        </w:tc>
        <w:tc>
          <w:tcPr>
            <w:tcW w:w="1980" w:type="dxa"/>
            <w:tcBorders/>
            <w:vAlign w:val="center"/>
          </w:tcPr>
          <w:p>
            <w:pPr>
              <w:jc w:val="right"/>
            </w:pPr>
            <w:r>
              <w:rPr>
                <w:rFonts w:ascii="宋体" w:eastAsia="宋体" w:hAnsi="宋体" w:cs="宋体"/>
                <w:b w:val="0"/>
                <w:i w:val="0"/>
                <w:color w:val="000000"/>
                <w:sz w:val="20"/>
              </w:rPr>
              <w:t xml:space="preserve">16.47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其他生活救助</w:t>
            </w:r>
          </w:p>
        </w:tc>
        <w:tc>
          <w:tcPr>
            <w:tcW w:w="1980" w:type="dxa"/>
            <w:tcBorders/>
            <w:vAlign w:val="center"/>
          </w:tcPr>
          <w:p>
            <w:pPr>
              <w:jc w:val="right"/>
            </w:pPr>
            <w:r>
              <w:rPr>
                <w:rFonts w:ascii="宋体" w:eastAsia="宋体" w:hAnsi="宋体" w:cs="宋体"/>
                <w:b w:val="0"/>
                <w:i w:val="0"/>
                <w:color w:val="000000"/>
                <w:sz w:val="20"/>
              </w:rPr>
              <w:t xml:space="preserve">5.38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5.38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其他城市生活救助</w:t>
            </w:r>
          </w:p>
        </w:tc>
        <w:tc>
          <w:tcPr>
            <w:tcW w:w="1980" w:type="dxa"/>
            <w:tcBorders/>
            <w:vAlign w:val="center"/>
          </w:tcPr>
          <w:p>
            <w:pPr>
              <w:jc w:val="right"/>
            </w:pPr>
            <w:r>
              <w:rPr>
                <w:rFonts w:ascii="宋体" w:eastAsia="宋体" w:hAnsi="宋体" w:cs="宋体"/>
                <w:b w:val="0"/>
                <w:i w:val="0"/>
                <w:color w:val="000000"/>
                <w:sz w:val="20"/>
              </w:rPr>
              <w:t xml:space="preserve">5.38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5.38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0.32</w:t>
            </w:r>
          </w:p>
        </w:tc>
        <w:tc>
          <w:tcPr>
            <w:tcW w:w="1980" w:type="dxa"/>
            <w:tcBorders/>
            <w:vAlign w:val="center"/>
          </w:tcPr>
          <w:p>
            <w:pPr>
              <w:jc w:val="right"/>
            </w:pPr>
            <w:r>
              <w:rPr>
                <w:rFonts w:ascii="宋体" w:eastAsia="宋体" w:hAnsi="宋体" w:cs="宋体"/>
                <w:b w:val="0"/>
                <w:i w:val="0"/>
                <w:color w:val="000000"/>
                <w:sz w:val="20"/>
              </w:rPr>
              <w:t xml:space="preserve">0.32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0.32</w:t>
            </w:r>
          </w:p>
        </w:tc>
        <w:tc>
          <w:tcPr>
            <w:tcW w:w="1980" w:type="dxa"/>
            <w:tcBorders/>
            <w:vAlign w:val="center"/>
          </w:tcPr>
          <w:p>
            <w:pPr>
              <w:jc w:val="right"/>
            </w:pPr>
            <w:r>
              <w:rPr>
                <w:rFonts w:ascii="宋体" w:eastAsia="宋体" w:hAnsi="宋体" w:cs="宋体"/>
                <w:b w:val="0"/>
                <w:i w:val="0"/>
                <w:color w:val="000000"/>
                <w:sz w:val="20"/>
              </w:rPr>
              <w:t xml:space="preserve">0.32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5.92</w:t>
            </w:r>
          </w:p>
        </w:tc>
        <w:tc>
          <w:tcPr>
            <w:tcW w:w="1980" w:type="dxa"/>
            <w:tcBorders/>
            <w:vAlign w:val="center"/>
          </w:tcPr>
          <w:p>
            <w:pPr>
              <w:jc w:val="right"/>
            </w:pPr>
            <w:r>
              <w:rPr>
                <w:rFonts w:ascii="宋体" w:eastAsia="宋体" w:hAnsi="宋体" w:cs="宋体"/>
                <w:b w:val="0"/>
                <w:i w:val="0"/>
                <w:color w:val="000000"/>
                <w:sz w:val="20"/>
              </w:rPr>
              <w:t xml:space="preserve">5.92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5.92</w:t>
            </w:r>
          </w:p>
        </w:tc>
        <w:tc>
          <w:tcPr>
            <w:tcW w:w="1980" w:type="dxa"/>
            <w:tcBorders/>
            <w:vAlign w:val="center"/>
          </w:tcPr>
          <w:p>
            <w:pPr>
              <w:jc w:val="right"/>
            </w:pPr>
            <w:r>
              <w:rPr>
                <w:rFonts w:ascii="宋体" w:eastAsia="宋体" w:hAnsi="宋体" w:cs="宋体"/>
                <w:b w:val="0"/>
                <w:i w:val="0"/>
                <w:color w:val="000000"/>
                <w:sz w:val="20"/>
              </w:rPr>
              <w:t xml:space="preserve">5.92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5.77</w:t>
            </w:r>
          </w:p>
        </w:tc>
        <w:tc>
          <w:tcPr>
            <w:tcW w:w="1980" w:type="dxa"/>
            <w:tcBorders/>
            <w:vAlign w:val="center"/>
          </w:tcPr>
          <w:p>
            <w:pPr>
              <w:jc w:val="right"/>
            </w:pPr>
            <w:r>
              <w:rPr>
                <w:rFonts w:ascii="宋体" w:eastAsia="宋体" w:hAnsi="宋体" w:cs="宋体"/>
                <w:b w:val="0"/>
                <w:i w:val="0"/>
                <w:color w:val="000000"/>
                <w:sz w:val="20"/>
              </w:rPr>
              <w:t xml:space="preserve">5.77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商业服务业等支出</w:t>
            </w:r>
          </w:p>
        </w:tc>
        <w:tc>
          <w:tcPr>
            <w:tcW w:w="1980" w:type="dxa"/>
            <w:tcBorders/>
            <w:vAlign w:val="center"/>
          </w:tcPr>
          <w:p>
            <w:pPr>
              <w:jc w:val="right"/>
            </w:pPr>
            <w:r>
              <w:rPr>
                <w:rFonts w:ascii="宋体" w:eastAsia="宋体" w:hAnsi="宋体" w:cs="宋体"/>
                <w:b w:val="0"/>
                <w:i w:val="0"/>
                <w:color w:val="000000"/>
                <w:sz w:val="20"/>
              </w:rPr>
              <w:t xml:space="preserve">106.52</w:t>
            </w:r>
          </w:p>
        </w:tc>
        <w:tc>
          <w:tcPr>
            <w:tcW w:w="1980" w:type="dxa"/>
            <w:tcBorders/>
            <w:vAlign w:val="center"/>
          </w:tcPr>
          <w:p>
            <w:pPr>
              <w:jc w:val="right"/>
            </w:pPr>
            <w:r>
              <w:rPr>
                <w:rFonts w:ascii="宋体" w:eastAsia="宋体" w:hAnsi="宋体" w:cs="宋体"/>
                <w:b w:val="0"/>
                <w:i w:val="0"/>
                <w:color w:val="000000"/>
                <w:sz w:val="20"/>
              </w:rPr>
              <w:t xml:space="preserve">106.52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21602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商业流通事务</w:t>
            </w:r>
          </w:p>
        </w:tc>
        <w:tc>
          <w:tcPr>
            <w:tcW w:w="1980" w:type="dxa"/>
            <w:tcBorders/>
            <w:vAlign w:val="center"/>
          </w:tcPr>
          <w:p>
            <w:pPr>
              <w:jc w:val="right"/>
            </w:pPr>
            <w:r>
              <w:rPr>
                <w:rFonts w:ascii="宋体" w:eastAsia="宋体" w:hAnsi="宋体" w:cs="宋体"/>
                <w:b w:val="0"/>
                <w:i w:val="0"/>
                <w:color w:val="000000"/>
                <w:sz w:val="20"/>
              </w:rPr>
              <w:t xml:space="preserve">106.52</w:t>
            </w:r>
          </w:p>
        </w:tc>
        <w:tc>
          <w:tcPr>
            <w:tcW w:w="1980" w:type="dxa"/>
            <w:tcBorders/>
            <w:vAlign w:val="center"/>
          </w:tcPr>
          <w:p>
            <w:pPr>
              <w:jc w:val="right"/>
            </w:pPr>
            <w:r>
              <w:rPr>
                <w:rFonts w:ascii="宋体" w:eastAsia="宋体" w:hAnsi="宋体" w:cs="宋体"/>
                <w:b w:val="0"/>
                <w:i w:val="0"/>
                <w:color w:val="000000"/>
                <w:sz w:val="20"/>
              </w:rPr>
              <w:t xml:space="preserve">106.52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2160299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其他商业流通事务支出</w:t>
            </w:r>
          </w:p>
        </w:tc>
        <w:tc>
          <w:tcPr>
            <w:tcW w:w="1980" w:type="dxa"/>
            <w:tcBorders/>
            <w:vAlign w:val="center"/>
          </w:tcPr>
          <w:p>
            <w:pPr>
              <w:jc w:val="right"/>
            </w:pPr>
            <w:r>
              <w:rPr>
                <w:rFonts w:ascii="宋体" w:eastAsia="宋体" w:hAnsi="宋体" w:cs="宋体"/>
                <w:b w:val="0"/>
                <w:i w:val="0"/>
                <w:color w:val="000000"/>
                <w:sz w:val="20"/>
              </w:rPr>
              <w:t xml:space="preserve">106.52</w:t>
            </w:r>
          </w:p>
        </w:tc>
        <w:tc>
          <w:tcPr>
            <w:tcW w:w="1980" w:type="dxa"/>
            <w:tcBorders/>
            <w:vAlign w:val="center"/>
          </w:tcPr>
          <w:p>
            <w:pPr>
              <w:jc w:val="right"/>
            </w:pPr>
            <w:r>
              <w:rPr>
                <w:rFonts w:ascii="宋体" w:eastAsia="宋体" w:hAnsi="宋体" w:cs="宋体"/>
                <w:b w:val="0"/>
                <w:i w:val="0"/>
                <w:color w:val="000000"/>
                <w:sz w:val="20"/>
              </w:rPr>
              <w:t xml:space="preserve">106.52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11.77</w:t>
            </w:r>
          </w:p>
        </w:tc>
        <w:tc>
          <w:tcPr>
            <w:tcW w:w="1980" w:type="dxa"/>
            <w:tcBorders/>
            <w:vAlign w:val="center"/>
          </w:tcPr>
          <w:p>
            <w:pPr>
              <w:jc w:val="right"/>
            </w:pPr>
            <w:r>
              <w:rPr>
                <w:rFonts w:ascii="宋体" w:eastAsia="宋体" w:hAnsi="宋体" w:cs="宋体"/>
                <w:b w:val="0"/>
                <w:i w:val="0"/>
                <w:color w:val="000000"/>
                <w:sz w:val="20"/>
              </w:rPr>
              <w:t xml:space="preserve">11.77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11.77</w:t>
            </w:r>
          </w:p>
        </w:tc>
        <w:tc>
          <w:tcPr>
            <w:tcW w:w="1980" w:type="dxa"/>
            <w:tcBorders/>
            <w:vAlign w:val="center"/>
          </w:tcPr>
          <w:p>
            <w:pPr>
              <w:jc w:val="right"/>
            </w:pPr>
            <w:r>
              <w:rPr>
                <w:rFonts w:ascii="宋体" w:eastAsia="宋体" w:hAnsi="宋体" w:cs="宋体"/>
                <w:b w:val="0"/>
                <w:i w:val="0"/>
                <w:color w:val="000000"/>
                <w:sz w:val="20"/>
              </w:rPr>
              <w:t xml:space="preserve">11.77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11.77</w:t>
            </w:r>
          </w:p>
        </w:tc>
        <w:tc>
          <w:tcPr>
            <w:tcW w:w="1980" w:type="dxa"/>
            <w:tcBorders/>
            <w:vAlign w:val="center"/>
          </w:tcPr>
          <w:p>
            <w:pPr>
              <w:jc w:val="right"/>
            </w:pPr>
            <w:r>
              <w:rPr>
                <w:rFonts w:ascii="宋体" w:eastAsia="宋体" w:hAnsi="宋体" w:cs="宋体"/>
                <w:b w:val="0"/>
                <w:i w:val="0"/>
                <w:color w:val="000000"/>
                <w:sz w:val="20"/>
              </w:rPr>
              <w:t xml:space="preserve">11.77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部门：辽宁省盘锦市大洼区供销合作社联合社</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124.88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14.29</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48.24</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4.76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26.76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17.55</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14.33</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5.34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0.47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0.22</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11.77</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0.43</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21.36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jc w:val="right"/>
            </w:pPr>
            <w:r>
              <w:rPr>
                <w:rFonts w:ascii="宋体" w:eastAsia="宋体" w:hAnsi="宋体" w:cs="宋体"/>
                <w:b w:val="0"/>
                <w:i w:val="0"/>
                <w:color w:val="000000"/>
                <w:sz w:val="14"/>
              </w:rPr>
              <w:t xml:space="preserve">0.48</w:t>
            </w: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4.28</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16.47</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0.11</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8.54</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0.38</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146.24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14.29</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部门：辽宁省盘锦市大洼区供销合作社联合社</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部门：辽宁省盘锦市大洼区供销合作社联合社</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部门：辽宁省盘锦市大洼区供销合作社联合社</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055001盘锦市大洼区供销合作社联合社本级-211104000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144.51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144.51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20.6164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20.61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5.6324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5.63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116.764568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116.76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0.126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0.12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贯彻落实党中央、国务院”三农“工作方针政策和区委区政府工作要求，根据区政府授权对农业生产资料、农副产品、储备进行组织、协调和管理，积极为三农服务，为乡村振兴作贡献!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突出工作重点，积极完成“强重严”任务</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完成“强重严”指标任务。系统实现销售总额4500万元，消费品零售额3500万元，农业生产资料销售额500万元，农产品电子商务销售额250万元，冷链物流营业额350万元。完成消除“三无”基层社1个，新增为农服务中心1家，新增农村综合服务社1家。</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推进综合改革，推动完善服务体系,进一步深化供销社综合改革。</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一是完善服务“三农”体系。推动盘活社有资产，加大对社有资产监管力度。稳妥推进社有企业改革。</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二是对历史遗留“僵尸企业”进行逐步清理整顿，梳理历史遗留问题，化解历史包袱；对物资回收公司、再生资源公司进一步规范管理，理顺社企关系，激发企业活力。</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三是进一步加强基层社服务功能。完成消除“三无”基层社一个，改造薄弱基层社一个，不断增强为“三农”服务能力。</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四是做好春耕备耕生产工作。春耕期间到农资店，检查农资储备和了解农资进货渠道。利用省供销系统农资优势，积极为企业解决化肥进货渠道难题。</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五是压实安全生产责任。年初重新履顺了领导班子及各岗位安全生产责任清单，签订安全生产责任状，将安全生产责任落实到岗到人，完善完全生产责任制度。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带动服务外包企业就业人数增长率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经济效益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物流业增加值增长率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建立重点项目督导与监督机制</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一是对本单位全年工作任务和完成情况进行认真收集管理。二是对预算的执行情况进行梳理总结。三是按照预算和执行情况进行总结。</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提升部门预算执行率和效益</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提升部门预算执行率和效益</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