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辽宁省盘锦市大洼区城乡规划发展服务中心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辽宁省盘锦市大洼区城乡规划发展服务中心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辽宁省盘锦市大洼区城乡规划发展服务中心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辽宁省盘锦市大洼区城乡规划发展服务中心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辽宁省盘锦市大洼区城乡规划发展服务中心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辽宁省盘锦市大洼区城乡规划发展服务中心概况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有关城乡规划、城市勘察测绘的法律、法规、方针、政策、技术标准，研究全区城乡规划发展战略，制定全区城乡规划、管理、勘察测绘的具体政策、技术标准、规程并组织实施和监督检查等技术性工作。</w:t>
        <w:br/>
        <w:t xml:space="preserve">    (二）根据城乡发展战略、国民经济和社会发展计划，负责组织编制和修订辖区内国土空间规划、各项专项规划、控制性详细规划、城市设计等事务性工作。</w:t>
        <w:br/>
        <w:t xml:space="preserve">    (三）负责全区规划管理工作。组织编制乡镇总体规划、村庄规划、城市设计规划、控制性详细规划、修建性详细规划方案及建设工程设计方案的编制和报批工作；负责组织辖区内重要项目和基础设施的选址工作；负责服务审批机关核发辖区内建设项目的《建设项目选址意见书》、《建设用地规划许可证》、《建设工程规划许可证》、《建设工程竣工规划验收合格证》；负责审定规划审批项目的放线、验线工作；负责服务临时建筑的审批；负责服务全区“多规合一”平台运行管理；负责出具用于土地出让的规划条件等服务性工作。</w:t>
        <w:br/>
        <w:t xml:space="preserve">    （四）负责辖区内建设工程和管理工程审批后的事务管理工作；负责有关行政复议的事务性工作，调查处理有关信访投诉和举报案件、负责监督检查全区规划的执行情况；负责管理全区规划档案。</w:t>
        <w:br/>
        <w:t xml:space="preserve">    (五）负责全区勘察测绘管理工作；规划设计和测绘市场管理；负责城乡规划设计单位、测绘单位资质初审、呈报、年度注册工作；负责城乡规划和测绘成果的质量监督；负责全区测绘项目登记、测绘成果资料及保密等相关工作；负责查处辖区内发生的违法测绘行为；负责全区测绘成果档案的管理。</w:t>
        <w:br/>
        <w:t xml:space="preserve">    (六）负责承办区委、区政府交办的其他事项；负责办理区人大代表、政协委员的建议、提案、议案回复工作。</w:t>
        <w:br/>
        <w:t xml:space="preserve">    (七）负责区城乡规划审批工作委员会日常工作。</w:t>
        <w:br/>
        <w:t xml:space="preserve">    变化原因：事业单位改革，工作职能变为规划相关的事务性工作和等服务性工作。</w:t>
        <w:br/>
        <w:t xml:space="preserve">    2．机构情况，包括当年变动情况及原因。</w:t>
        <w:br/>
        <w:t xml:space="preserve">    (一)党政群工作办公室</w:t>
        <w:br/>
        <w:t xml:space="preserve">    负责党群和纪检工作；负责文电、信息、档案、保密、信访、会务、文字综合等工作；负责财务管理、资产管理、政府采购、财务审计等工作；负责机构编制、人事管理、离退休干部管理等工作；负责保障服务工作；负责保卫、消防等安全工作；负责本部门党的建设和党风廉政建设工作；</w:t>
        <w:br/>
        <w:t xml:space="preserve">    人员编制5名，正职1名。</w:t>
        <w:br/>
        <w:t xml:space="preserve">    (二）规划编制室</w:t>
        <w:br/>
        <w:t xml:space="preserve">    根据城乡发展战略、国民经济和社会发展计划，组织编制辖区内国土空间规划、城市总体规划、控制性详细规划、重点地区修建性详细规划及协调编制各项专项规划；负责组织编制镇总体规划和村庄规划；负责城乡规划行业信息收集、整理和利用；负责辖区内修建性详细规划方案、城市设计方案、建筑方案的审定；负责城乡规划、各类专项规划、行政许可事项的公告、公布及组织听证、评审工作；负责出具规划设计条件；协调各股室起草规范性文件；负责辖区内提交规委会审议项目技术审查工作。</w:t>
        <w:br/>
        <w:t xml:space="preserve">    人员编制6名，正职1名。</w:t>
        <w:br/>
        <w:t xml:space="preserve">    (三）城乡建筑规划管理室</w:t>
        <w:br/>
        <w:t xml:space="preserve">    负责服务审批机关核发辖区内建设项目的《建设项目选址意见书》、《建设用地规划许可证》、《建设工程规划许可证》、《建设工程竣工规划验收合格证》；负责服务辖区内临时建筑的审批；负责辖区内建设项目规划实施的监督检查、建设工程的规划核实；负责研究规划管理相关规定及相关法律法规的宣传、咨询和解答工作；承担规划行政复议、行政应诉；负责涉及规划的相关信访工作；负责辖区内各种道路桥梁、电讯、给水、供暖、油气、有线电视及辽河油田井场、油气管线等线性工程的规划选址及其工程规划方案的管理工作。</w:t>
        <w:br/>
        <w:t xml:space="preserve">    人员编制5名，正职1名。</w:t>
        <w:br/>
        <w:t xml:space="preserve">    (四）地理信息测绘管理室</w:t>
        <w:br/>
        <w:t xml:space="preserve">    负责服务多规合一平台运行；负责制定区域内测绘事业发展规划、计划并组织实施，组织全区的地理测绘，建立全区基础地理信息系统，各类地形、地貌的收集、管理及整合保管工作；组织年度测绘成果汇交工作；负责对测绘成果质量监督工作；负责对全区各测绘、涉及测绘中介机构行业的监管工作；负责全区测绘项目登记、测绘成果资料及保密等相关工作；负责服务项目前期工作；负责严查辖区内发生的违法测绘行为；负责城乡规划动态监测和信息收集、整理工作；负责基础数据库的建库和更新工作；负责审定规划审批项目的放线、验线工作。</w:t>
        <w:br/>
        <w:t xml:space="preserve">    人员编制6名，正职1名。</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辽宁省盘锦市大洼区城乡规划发展服务中心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盘锦市大洼区城乡规划发展服务中心直属事业单位无下级单位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309.38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减少184.91万元，降低37.41%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309.38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122.36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39.55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工资福利支出118.58万元；商品和服务支出3.76万元；对个人和家庭的补助0.02万元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187.03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60.45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主要包括工程、规划编制项目等业务支出。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减少184.91万元，降低37.41%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309.38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122.36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187.03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减少184.91万元，降低37.41%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264.29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104.52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2023年度一般公共预算财政拨款支出309.38万元。按支出功能分类科目分，包括：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1.社会保障和就业支出12.57万元，具体包括：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12.42万元,主要是养老保险等支出，完成年初预算的98.25%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（2）社会保障和就业支出（类）其他社会保障和就业支出（款）其他社会保障和就业支出（项）0.15万元,主要是工伤保险等支出，完成年初预算的93.75%，决算数与年初预算数存在差异的主要原因是人员变动。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2.卫生健康支出5.49万元，具体包括：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（1）卫生健康支出（类）行政事业单位医疗（款）事业单位医疗（项）5.43万元,主要是医疗保险等支出，完成年初预算的98.2%，决算数与年初预算数存在差异的主要原因是基数调整。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3.城乡社区支出280.97万元，具体包括：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规划与管理（款）城乡社区规划与管理（项）120.43万元,主要是人员工资、办公经费等支出，完成年初预算的135.02%，决算数与年初预算数存在差异的主要原因是工资调整、福利待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（2）城乡社区支出（类）城乡社区公共设施（款）其他城乡社区公共设施支出（项）160.54万元,主要是项目等支出，完成年初预算的0%，决算数与年初预算数存在差异的主要原因是项目支出并未做年初预算。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（1）住房保障支出（类）住房改革支出（款）住房公积金（项）10.35万元,主要是住房公积金等支出，完成年初预算的109.17%，决算数与年初预算数存在差异的主要原因是缴费基数调整。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车辆使用减少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车辆使用减少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比上年减少1.23万元，降低63.08%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车辆使用减少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主要用于无公务用车购置费等，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122.36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118.60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事业单位无机关运行费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26.49</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26.49</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，其他用车主要是轿车和皮卡货车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盘锦市大洼区城乡规划发展服务中心2023年部门预算整体绩效117.06万，其中基本预算支出117.06万元，项目预算支出0万元。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16.住房保障支出（类）住房改革支出（款）住房公积金（项）：反映行政事业范围按人力资源和社会保障部、财政部规定的基本工资和津贴补贴以及规定比例为职工缴纳的住房公积金。</w:t>
        <w:br/>
        <w:t xml:space="preserve">    17、城乡社区规划与管理：反映城乡社区、防灾减灾、历史名城规划制定与管理等方面的支出。</w:t>
        <w:br/>
        <w:t xml:space="preserve">    18、小城镇基础设施建设：反映城乡社区道路、气、水、电灯基础建设方面的支出。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280.97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309.38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309.38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309.38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309.38</w:t>
            </w:r>
          </w:p>
        </w:tc>
        <w:tc>
          <w:tcPr>
            <w:tcW w:w="1160" w:type="dxa"/>
            <w:tcBorders/>
            <w:vAlign w:val="center"/>
          </w:tcPr>
          <w:p>
            <w:pPr>
              <w:jc w:val="right"/>
            </w:pPr>
            <w:r>
              <w:rPr>
                <w:rFonts w:ascii="宋体" w:eastAsia="宋体" w:hAnsi="宋体" w:cs="宋体"/>
                <w:b/>
                <w:i w:val="0"/>
                <w:color w:val="000000"/>
                <w:sz w:val="14"/>
              </w:rPr>
              <w:t xml:space="preserve">309.38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12.42</w:t>
            </w:r>
          </w:p>
        </w:tc>
        <w:tc>
          <w:tcPr>
            <w:tcW w:w="1160" w:type="dxa"/>
            <w:tcBorders/>
            <w:vAlign w:val="center"/>
          </w:tcPr>
          <w:p>
            <w:pPr>
              <w:jc w:val="right"/>
            </w:pPr>
            <w:r>
              <w:rPr>
                <w:rFonts w:ascii="宋体" w:eastAsia="宋体" w:hAnsi="宋体" w:cs="宋体"/>
                <w:b w:val="0"/>
                <w:i w:val="0"/>
                <w:color w:val="000000"/>
                <w:sz w:val="14"/>
              </w:rPr>
              <w:t xml:space="preserve">12.42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12.42</w:t>
            </w:r>
          </w:p>
        </w:tc>
        <w:tc>
          <w:tcPr>
            <w:tcW w:w="1160" w:type="dxa"/>
            <w:tcBorders/>
            <w:vAlign w:val="center"/>
          </w:tcPr>
          <w:p>
            <w:pPr>
              <w:jc w:val="right"/>
            </w:pPr>
            <w:r>
              <w:rPr>
                <w:rFonts w:ascii="宋体" w:eastAsia="宋体" w:hAnsi="宋体" w:cs="宋体"/>
                <w:b w:val="0"/>
                <w:i w:val="0"/>
                <w:color w:val="000000"/>
                <w:sz w:val="14"/>
              </w:rPr>
              <w:t xml:space="preserve">12.42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5.43</w:t>
            </w:r>
          </w:p>
        </w:tc>
        <w:tc>
          <w:tcPr>
            <w:tcW w:w="1160" w:type="dxa"/>
            <w:tcBorders/>
            <w:vAlign w:val="center"/>
          </w:tcPr>
          <w:p>
            <w:pPr>
              <w:jc w:val="right"/>
            </w:pPr>
            <w:r>
              <w:rPr>
                <w:rFonts w:ascii="宋体" w:eastAsia="宋体" w:hAnsi="宋体" w:cs="宋体"/>
                <w:b w:val="0"/>
                <w:i w:val="0"/>
                <w:color w:val="000000"/>
                <w:sz w:val="14"/>
              </w:rPr>
              <w:t xml:space="preserve">5.43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280.97</w:t>
            </w:r>
          </w:p>
        </w:tc>
        <w:tc>
          <w:tcPr>
            <w:tcW w:w="1160" w:type="dxa"/>
            <w:tcBorders/>
            <w:vAlign w:val="center"/>
          </w:tcPr>
          <w:p>
            <w:pPr>
              <w:jc w:val="right"/>
            </w:pPr>
            <w:r>
              <w:rPr>
                <w:rFonts w:ascii="宋体" w:eastAsia="宋体" w:hAnsi="宋体" w:cs="宋体"/>
                <w:b w:val="0"/>
                <w:i w:val="0"/>
                <w:color w:val="000000"/>
                <w:sz w:val="14"/>
              </w:rPr>
              <w:t xml:space="preserve">280.97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120.43</w:t>
            </w:r>
          </w:p>
        </w:tc>
        <w:tc>
          <w:tcPr>
            <w:tcW w:w="1160" w:type="dxa"/>
            <w:tcBorders/>
            <w:vAlign w:val="center"/>
          </w:tcPr>
          <w:p>
            <w:pPr>
              <w:jc w:val="right"/>
            </w:pPr>
            <w:r>
              <w:rPr>
                <w:rFonts w:ascii="宋体" w:eastAsia="宋体" w:hAnsi="宋体" w:cs="宋体"/>
                <w:b w:val="0"/>
                <w:i w:val="0"/>
                <w:color w:val="000000"/>
                <w:sz w:val="14"/>
              </w:rPr>
              <w:t xml:space="preserve">120.43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城乡社区规划与管理</w:t>
            </w:r>
          </w:p>
        </w:tc>
        <w:tc>
          <w:tcPr>
            <w:tcW w:w="1160" w:type="dxa"/>
            <w:tcBorders/>
            <w:vAlign w:val="center"/>
          </w:tcPr>
          <w:p>
            <w:pPr>
              <w:jc w:val="right"/>
            </w:pPr>
            <w:r>
              <w:rPr>
                <w:rFonts w:ascii="宋体" w:eastAsia="宋体" w:hAnsi="宋体" w:cs="宋体"/>
                <w:b w:val="0"/>
                <w:i w:val="0"/>
                <w:color w:val="000000"/>
                <w:sz w:val="14"/>
              </w:rPr>
              <w:t xml:space="preserve">120.43</w:t>
            </w:r>
          </w:p>
        </w:tc>
        <w:tc>
          <w:tcPr>
            <w:tcW w:w="1160" w:type="dxa"/>
            <w:tcBorders/>
            <w:vAlign w:val="center"/>
          </w:tcPr>
          <w:p>
            <w:pPr>
              <w:jc w:val="right"/>
            </w:pPr>
            <w:r>
              <w:rPr>
                <w:rFonts w:ascii="宋体" w:eastAsia="宋体" w:hAnsi="宋体" w:cs="宋体"/>
                <w:b w:val="0"/>
                <w:i w:val="0"/>
                <w:color w:val="000000"/>
                <w:sz w:val="14"/>
              </w:rPr>
              <w:t xml:space="preserve">120.43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160.54</w:t>
            </w:r>
          </w:p>
        </w:tc>
        <w:tc>
          <w:tcPr>
            <w:tcW w:w="1160" w:type="dxa"/>
            <w:tcBorders/>
            <w:vAlign w:val="center"/>
          </w:tcPr>
          <w:p>
            <w:pPr>
              <w:jc w:val="right"/>
            </w:pPr>
            <w:r>
              <w:rPr>
                <w:rFonts w:ascii="宋体" w:eastAsia="宋体" w:hAnsi="宋体" w:cs="宋体"/>
                <w:b w:val="0"/>
                <w:i w:val="0"/>
                <w:color w:val="000000"/>
                <w:sz w:val="14"/>
              </w:rPr>
              <w:t xml:space="preserve">160.54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160.54</w:t>
            </w:r>
          </w:p>
        </w:tc>
        <w:tc>
          <w:tcPr>
            <w:tcW w:w="1160" w:type="dxa"/>
            <w:tcBorders/>
            <w:vAlign w:val="center"/>
          </w:tcPr>
          <w:p>
            <w:pPr>
              <w:jc w:val="right"/>
            </w:pPr>
            <w:r>
              <w:rPr>
                <w:rFonts w:ascii="宋体" w:eastAsia="宋体" w:hAnsi="宋体" w:cs="宋体"/>
                <w:b w:val="0"/>
                <w:i w:val="0"/>
                <w:color w:val="000000"/>
                <w:sz w:val="14"/>
              </w:rPr>
              <w:t xml:space="preserve">160.54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jc w:val="right"/>
            </w:pPr>
            <w:r>
              <w:rPr>
                <w:rFonts w:ascii="宋体" w:eastAsia="宋体" w:hAnsi="宋体" w:cs="宋体"/>
                <w:b w:val="0"/>
                <w:i w:val="0"/>
                <w:color w:val="000000"/>
                <w:sz w:val="14"/>
              </w:rPr>
              <w:t xml:space="preserve">10.35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309.38</w:t>
            </w:r>
          </w:p>
        </w:tc>
        <w:tc>
          <w:tcPr>
            <w:tcW w:w="1120" w:type="dxa"/>
            <w:tcBorders/>
            <w:vAlign w:val="center"/>
          </w:tcPr>
          <w:p>
            <w:pPr>
              <w:jc w:val="right"/>
            </w:pPr>
            <w:r>
              <w:rPr>
                <w:rFonts w:ascii="宋体" w:eastAsia="宋体" w:hAnsi="宋体" w:cs="宋体"/>
                <w:b/>
                <w:i w:val="0"/>
                <w:color w:val="000000"/>
                <w:sz w:val="16"/>
              </w:rPr>
              <w:t xml:space="preserve">122.36</w:t>
            </w:r>
          </w:p>
        </w:tc>
        <w:tc>
          <w:tcPr>
            <w:tcW w:w="1120" w:type="dxa"/>
            <w:tcBorders/>
            <w:vAlign w:val="center"/>
          </w:tcPr>
          <w:p>
            <w:pPr>
              <w:jc w:val="right"/>
            </w:pPr>
            <w:r>
              <w:rPr>
                <w:rFonts w:ascii="宋体" w:eastAsia="宋体" w:hAnsi="宋体" w:cs="宋体"/>
                <w:b/>
                <w:i w:val="0"/>
                <w:color w:val="000000"/>
                <w:sz w:val="16"/>
              </w:rPr>
              <w:t xml:space="preserve">187.03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12.42</w:t>
            </w:r>
          </w:p>
        </w:tc>
        <w:tc>
          <w:tcPr>
            <w:tcW w:w="1120" w:type="dxa"/>
            <w:tcBorders/>
            <w:vAlign w:val="center"/>
          </w:tcPr>
          <w:p>
            <w:pPr>
              <w:jc w:val="right"/>
            </w:pPr>
            <w:r>
              <w:rPr>
                <w:rFonts w:ascii="宋体" w:eastAsia="宋体" w:hAnsi="宋体" w:cs="宋体"/>
                <w:b w:val="0"/>
                <w:i w:val="0"/>
                <w:color w:val="000000"/>
                <w:sz w:val="16"/>
              </w:rPr>
              <w:t xml:space="preserve">12.42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12.42</w:t>
            </w:r>
          </w:p>
        </w:tc>
        <w:tc>
          <w:tcPr>
            <w:tcW w:w="1120" w:type="dxa"/>
            <w:tcBorders/>
            <w:vAlign w:val="center"/>
          </w:tcPr>
          <w:p>
            <w:pPr>
              <w:jc w:val="right"/>
            </w:pPr>
            <w:r>
              <w:rPr>
                <w:rFonts w:ascii="宋体" w:eastAsia="宋体" w:hAnsi="宋体" w:cs="宋体"/>
                <w:b w:val="0"/>
                <w:i w:val="0"/>
                <w:color w:val="000000"/>
                <w:sz w:val="16"/>
              </w:rPr>
              <w:t xml:space="preserve">12.42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5.43</w:t>
            </w:r>
          </w:p>
        </w:tc>
        <w:tc>
          <w:tcPr>
            <w:tcW w:w="1120" w:type="dxa"/>
            <w:tcBorders/>
            <w:vAlign w:val="center"/>
          </w:tcPr>
          <w:p>
            <w:pPr>
              <w:jc w:val="right"/>
            </w:pPr>
            <w:r>
              <w:rPr>
                <w:rFonts w:ascii="宋体" w:eastAsia="宋体" w:hAnsi="宋体" w:cs="宋体"/>
                <w:b w:val="0"/>
                <w:i w:val="0"/>
                <w:color w:val="000000"/>
                <w:sz w:val="16"/>
              </w:rPr>
              <w:t xml:space="preserve">5.43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280.97</w:t>
            </w:r>
          </w:p>
        </w:tc>
        <w:tc>
          <w:tcPr>
            <w:tcW w:w="1120" w:type="dxa"/>
            <w:tcBorders/>
            <w:vAlign w:val="center"/>
          </w:tcPr>
          <w:p>
            <w:pPr>
              <w:jc w:val="right"/>
            </w:pPr>
            <w:r>
              <w:rPr>
                <w:rFonts w:ascii="宋体" w:eastAsia="宋体" w:hAnsi="宋体" w:cs="宋体"/>
                <w:b w:val="0"/>
                <w:i w:val="0"/>
                <w:color w:val="000000"/>
                <w:sz w:val="16"/>
              </w:rPr>
              <w:t xml:space="preserve">93.94</w:t>
            </w:r>
          </w:p>
        </w:tc>
        <w:tc>
          <w:tcPr>
            <w:tcW w:w="1120" w:type="dxa"/>
            <w:tcBorders/>
            <w:vAlign w:val="center"/>
          </w:tcPr>
          <w:p>
            <w:pPr>
              <w:jc w:val="right"/>
            </w:pPr>
            <w:r>
              <w:rPr>
                <w:rFonts w:ascii="宋体" w:eastAsia="宋体" w:hAnsi="宋体" w:cs="宋体"/>
                <w:b w:val="0"/>
                <w:i w:val="0"/>
                <w:color w:val="000000"/>
                <w:sz w:val="16"/>
              </w:rPr>
              <w:t xml:space="preserve">187.03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120.43</w:t>
            </w:r>
          </w:p>
        </w:tc>
        <w:tc>
          <w:tcPr>
            <w:tcW w:w="1120" w:type="dxa"/>
            <w:tcBorders/>
            <w:vAlign w:val="center"/>
          </w:tcPr>
          <w:p>
            <w:pPr>
              <w:jc w:val="right"/>
            </w:pPr>
            <w:r>
              <w:rPr>
                <w:rFonts w:ascii="宋体" w:eastAsia="宋体" w:hAnsi="宋体" w:cs="宋体"/>
                <w:b w:val="0"/>
                <w:i w:val="0"/>
                <w:color w:val="000000"/>
                <w:sz w:val="16"/>
              </w:rPr>
              <w:t xml:space="preserve">93.94</w:t>
            </w:r>
          </w:p>
        </w:tc>
        <w:tc>
          <w:tcPr>
            <w:tcW w:w="1120" w:type="dxa"/>
            <w:tcBorders/>
            <w:vAlign w:val="center"/>
          </w:tcPr>
          <w:p>
            <w:pPr>
              <w:jc w:val="right"/>
            </w:pPr>
            <w:r>
              <w:rPr>
                <w:rFonts w:ascii="宋体" w:eastAsia="宋体" w:hAnsi="宋体" w:cs="宋体"/>
                <w:b w:val="0"/>
                <w:i w:val="0"/>
                <w:color w:val="000000"/>
                <w:sz w:val="16"/>
              </w:rPr>
              <w:t xml:space="preserve">26.49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城乡社区规划与管理</w:t>
            </w:r>
          </w:p>
        </w:tc>
        <w:tc>
          <w:tcPr>
            <w:tcW w:w="1120" w:type="dxa"/>
            <w:tcBorders/>
            <w:vAlign w:val="center"/>
          </w:tcPr>
          <w:p>
            <w:pPr>
              <w:jc w:val="right"/>
            </w:pPr>
            <w:r>
              <w:rPr>
                <w:rFonts w:ascii="宋体" w:eastAsia="宋体" w:hAnsi="宋体" w:cs="宋体"/>
                <w:b w:val="0"/>
                <w:i w:val="0"/>
                <w:color w:val="000000"/>
                <w:sz w:val="16"/>
              </w:rPr>
              <w:t xml:space="preserve">120.43</w:t>
            </w:r>
          </w:p>
        </w:tc>
        <w:tc>
          <w:tcPr>
            <w:tcW w:w="1120" w:type="dxa"/>
            <w:tcBorders/>
            <w:vAlign w:val="center"/>
          </w:tcPr>
          <w:p>
            <w:pPr>
              <w:jc w:val="right"/>
            </w:pPr>
            <w:r>
              <w:rPr>
                <w:rFonts w:ascii="宋体" w:eastAsia="宋体" w:hAnsi="宋体" w:cs="宋体"/>
                <w:b w:val="0"/>
                <w:i w:val="0"/>
                <w:color w:val="000000"/>
                <w:sz w:val="16"/>
              </w:rPr>
              <w:t xml:space="preserve">93.94</w:t>
            </w:r>
          </w:p>
        </w:tc>
        <w:tc>
          <w:tcPr>
            <w:tcW w:w="1120" w:type="dxa"/>
            <w:tcBorders/>
            <w:vAlign w:val="center"/>
          </w:tcPr>
          <w:p>
            <w:pPr>
              <w:jc w:val="right"/>
            </w:pPr>
            <w:r>
              <w:rPr>
                <w:rFonts w:ascii="宋体" w:eastAsia="宋体" w:hAnsi="宋体" w:cs="宋体"/>
                <w:b w:val="0"/>
                <w:i w:val="0"/>
                <w:color w:val="000000"/>
                <w:sz w:val="16"/>
              </w:rPr>
              <w:t xml:space="preserve">26.49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160.54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160.54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jc w:val="right"/>
            </w:pPr>
            <w:r>
              <w:rPr>
                <w:rFonts w:ascii="宋体" w:eastAsia="宋体" w:hAnsi="宋体" w:cs="宋体"/>
                <w:b w:val="0"/>
                <w:i w:val="0"/>
                <w:color w:val="000000"/>
                <w:sz w:val="16"/>
              </w:rPr>
              <w:t xml:space="preserve">10.35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12.57</w:t>
            </w:r>
          </w:p>
        </w:tc>
        <w:tc>
          <w:tcPr>
            <w:tcW w:w="1100" w:type="dxa"/>
            <w:tcBorders/>
            <w:vAlign w:val="center"/>
          </w:tcPr>
          <w:p>
            <w:pPr>
              <w:jc w:val="right"/>
            </w:pPr>
            <w:r>
              <w:rPr>
                <w:rFonts w:ascii="宋体" w:eastAsia="宋体" w:hAnsi="宋体" w:cs="宋体"/>
                <w:b w:val="0"/>
                <w:i w:val="0"/>
                <w:color w:val="000000"/>
                <w:sz w:val="14"/>
              </w:rPr>
              <w:t xml:space="preserve">12.57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5.49</w:t>
            </w:r>
          </w:p>
        </w:tc>
        <w:tc>
          <w:tcPr>
            <w:tcW w:w="1100" w:type="dxa"/>
            <w:tcBorders/>
            <w:vAlign w:val="center"/>
          </w:tcPr>
          <w:p>
            <w:pPr>
              <w:jc w:val="right"/>
            </w:pPr>
            <w:r>
              <w:rPr>
                <w:rFonts w:ascii="宋体" w:eastAsia="宋体" w:hAnsi="宋体" w:cs="宋体"/>
                <w:b w:val="0"/>
                <w:i w:val="0"/>
                <w:color w:val="000000"/>
                <w:sz w:val="14"/>
              </w:rPr>
              <w:t xml:space="preserve">5.49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280.97</w:t>
            </w:r>
          </w:p>
        </w:tc>
        <w:tc>
          <w:tcPr>
            <w:tcW w:w="1100" w:type="dxa"/>
            <w:tcBorders/>
            <w:vAlign w:val="center"/>
          </w:tcPr>
          <w:p>
            <w:pPr>
              <w:jc w:val="right"/>
            </w:pPr>
            <w:r>
              <w:rPr>
                <w:rFonts w:ascii="宋体" w:eastAsia="宋体" w:hAnsi="宋体" w:cs="宋体"/>
                <w:b w:val="0"/>
                <w:i w:val="0"/>
                <w:color w:val="000000"/>
                <w:sz w:val="14"/>
              </w:rPr>
              <w:t xml:space="preserve">280.97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10.35</w:t>
            </w:r>
          </w:p>
        </w:tc>
        <w:tc>
          <w:tcPr>
            <w:tcW w:w="1100" w:type="dxa"/>
            <w:tcBorders/>
            <w:vAlign w:val="center"/>
          </w:tcPr>
          <w:p>
            <w:pPr>
              <w:jc w:val="right"/>
            </w:pPr>
            <w:r>
              <w:rPr>
                <w:rFonts w:ascii="宋体" w:eastAsia="宋体" w:hAnsi="宋体" w:cs="宋体"/>
                <w:b w:val="0"/>
                <w:i w:val="0"/>
                <w:color w:val="000000"/>
                <w:sz w:val="14"/>
              </w:rPr>
              <w:t xml:space="preserve">10.35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jc w:val="right"/>
            </w:pPr>
            <w:r>
              <w:rPr>
                <w:rFonts w:ascii="宋体" w:eastAsia="宋体" w:hAnsi="宋体" w:cs="宋体"/>
                <w:b w:val="0"/>
                <w:i w:val="0"/>
                <w:color w:val="000000"/>
                <w:sz w:val="14"/>
              </w:rPr>
              <w:t xml:space="preserve">309.38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309.38</w:t>
            </w:r>
          </w:p>
        </w:tc>
        <w:tc>
          <w:tcPr>
            <w:tcW w:w="1980" w:type="dxa"/>
            <w:tcBorders/>
            <w:vAlign w:val="center"/>
          </w:tcPr>
          <w:p>
            <w:pPr>
              <w:jc w:val="right"/>
            </w:pPr>
            <w:r>
              <w:rPr>
                <w:rFonts w:ascii="宋体" w:eastAsia="宋体" w:hAnsi="宋体" w:cs="宋体"/>
                <w:b/>
                <w:i w:val="0"/>
                <w:color w:val="000000"/>
                <w:sz w:val="20"/>
              </w:rPr>
              <w:t xml:space="preserve">122.36</w:t>
            </w:r>
          </w:p>
        </w:tc>
        <w:tc>
          <w:tcPr>
            <w:tcW w:w="1952" w:type="dxa"/>
            <w:tcBorders/>
            <w:vAlign w:val="center"/>
          </w:tcPr>
          <w:p>
            <w:pPr>
              <w:jc w:val="right"/>
            </w:pPr>
            <w:r>
              <w:rPr>
                <w:rFonts w:ascii="宋体" w:eastAsia="宋体" w:hAnsi="宋体" w:cs="宋体"/>
                <w:b/>
                <w:i w:val="0"/>
                <w:color w:val="000000"/>
                <w:sz w:val="20"/>
              </w:rPr>
              <w:t xml:space="preserve">187.03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12.42</w:t>
            </w:r>
          </w:p>
        </w:tc>
        <w:tc>
          <w:tcPr>
            <w:tcW w:w="1980" w:type="dxa"/>
            <w:tcBorders/>
            <w:vAlign w:val="center"/>
          </w:tcPr>
          <w:p>
            <w:pPr>
              <w:jc w:val="right"/>
            </w:pPr>
            <w:r>
              <w:rPr>
                <w:rFonts w:ascii="宋体" w:eastAsia="宋体" w:hAnsi="宋体" w:cs="宋体"/>
                <w:b w:val="0"/>
                <w:i w:val="0"/>
                <w:color w:val="000000"/>
                <w:sz w:val="20"/>
              </w:rPr>
              <w:t xml:space="preserve">12.42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12.42</w:t>
            </w:r>
          </w:p>
        </w:tc>
        <w:tc>
          <w:tcPr>
            <w:tcW w:w="1980" w:type="dxa"/>
            <w:tcBorders/>
            <w:vAlign w:val="center"/>
          </w:tcPr>
          <w:p>
            <w:pPr>
              <w:jc w:val="right"/>
            </w:pPr>
            <w:r>
              <w:rPr>
                <w:rFonts w:ascii="宋体" w:eastAsia="宋体" w:hAnsi="宋体" w:cs="宋体"/>
                <w:b w:val="0"/>
                <w:i w:val="0"/>
                <w:color w:val="000000"/>
                <w:sz w:val="20"/>
              </w:rPr>
              <w:t xml:space="preserve">12.42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5.43</w:t>
            </w:r>
          </w:p>
        </w:tc>
        <w:tc>
          <w:tcPr>
            <w:tcW w:w="1980" w:type="dxa"/>
            <w:tcBorders/>
            <w:vAlign w:val="center"/>
          </w:tcPr>
          <w:p>
            <w:pPr>
              <w:jc w:val="right"/>
            </w:pPr>
            <w:r>
              <w:rPr>
                <w:rFonts w:ascii="宋体" w:eastAsia="宋体" w:hAnsi="宋体" w:cs="宋体"/>
                <w:b w:val="0"/>
                <w:i w:val="0"/>
                <w:color w:val="000000"/>
                <w:sz w:val="20"/>
              </w:rPr>
              <w:t xml:space="preserve">5.43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280.97</w:t>
            </w:r>
          </w:p>
        </w:tc>
        <w:tc>
          <w:tcPr>
            <w:tcW w:w="1980" w:type="dxa"/>
            <w:tcBorders/>
            <w:vAlign w:val="center"/>
          </w:tcPr>
          <w:p>
            <w:pPr>
              <w:jc w:val="right"/>
            </w:pPr>
            <w:r>
              <w:rPr>
                <w:rFonts w:ascii="宋体" w:eastAsia="宋体" w:hAnsi="宋体" w:cs="宋体"/>
                <w:b w:val="0"/>
                <w:i w:val="0"/>
                <w:color w:val="000000"/>
                <w:sz w:val="20"/>
              </w:rPr>
              <w:t xml:space="preserve">93.94</w:t>
            </w:r>
          </w:p>
        </w:tc>
        <w:tc>
          <w:tcPr>
            <w:tcW w:w="1952" w:type="dxa"/>
            <w:tcBorders/>
            <w:vAlign w:val="center"/>
          </w:tcPr>
          <w:p>
            <w:pPr>
              <w:jc w:val="right"/>
            </w:pPr>
            <w:r>
              <w:rPr>
                <w:rFonts w:ascii="宋体" w:eastAsia="宋体" w:hAnsi="宋体" w:cs="宋体"/>
                <w:b w:val="0"/>
                <w:i w:val="0"/>
                <w:color w:val="000000"/>
                <w:sz w:val="20"/>
              </w:rPr>
              <w:t xml:space="preserve">187.03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120.43</w:t>
            </w:r>
          </w:p>
        </w:tc>
        <w:tc>
          <w:tcPr>
            <w:tcW w:w="1980" w:type="dxa"/>
            <w:tcBorders/>
            <w:vAlign w:val="center"/>
          </w:tcPr>
          <w:p>
            <w:pPr>
              <w:jc w:val="right"/>
            </w:pPr>
            <w:r>
              <w:rPr>
                <w:rFonts w:ascii="宋体" w:eastAsia="宋体" w:hAnsi="宋体" w:cs="宋体"/>
                <w:b w:val="0"/>
                <w:i w:val="0"/>
                <w:color w:val="000000"/>
                <w:sz w:val="20"/>
              </w:rPr>
              <w:t xml:space="preserve">93.94</w:t>
            </w:r>
          </w:p>
        </w:tc>
        <w:tc>
          <w:tcPr>
            <w:tcW w:w="1952" w:type="dxa"/>
            <w:tcBorders/>
            <w:vAlign w:val="center"/>
          </w:tcPr>
          <w:p>
            <w:pPr>
              <w:jc w:val="right"/>
            </w:pPr>
            <w:r>
              <w:rPr>
                <w:rFonts w:ascii="宋体" w:eastAsia="宋体" w:hAnsi="宋体" w:cs="宋体"/>
                <w:b w:val="0"/>
                <w:i w:val="0"/>
                <w:color w:val="000000"/>
                <w:sz w:val="20"/>
              </w:rPr>
              <w:t xml:space="preserve">26.49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城乡社区规划与管理</w:t>
            </w:r>
          </w:p>
        </w:tc>
        <w:tc>
          <w:tcPr>
            <w:tcW w:w="1980" w:type="dxa"/>
            <w:tcBorders/>
            <w:vAlign w:val="center"/>
          </w:tcPr>
          <w:p>
            <w:pPr>
              <w:jc w:val="right"/>
            </w:pPr>
            <w:r>
              <w:rPr>
                <w:rFonts w:ascii="宋体" w:eastAsia="宋体" w:hAnsi="宋体" w:cs="宋体"/>
                <w:b w:val="0"/>
                <w:i w:val="0"/>
                <w:color w:val="000000"/>
                <w:sz w:val="20"/>
              </w:rPr>
              <w:t xml:space="preserve">120.43</w:t>
            </w:r>
          </w:p>
        </w:tc>
        <w:tc>
          <w:tcPr>
            <w:tcW w:w="1980" w:type="dxa"/>
            <w:tcBorders/>
            <w:vAlign w:val="center"/>
          </w:tcPr>
          <w:p>
            <w:pPr>
              <w:jc w:val="right"/>
            </w:pPr>
            <w:r>
              <w:rPr>
                <w:rFonts w:ascii="宋体" w:eastAsia="宋体" w:hAnsi="宋体" w:cs="宋体"/>
                <w:b w:val="0"/>
                <w:i w:val="0"/>
                <w:color w:val="000000"/>
                <w:sz w:val="20"/>
              </w:rPr>
              <w:t xml:space="preserve">93.94</w:t>
            </w:r>
          </w:p>
        </w:tc>
        <w:tc>
          <w:tcPr>
            <w:tcW w:w="1952" w:type="dxa"/>
            <w:tcBorders/>
            <w:vAlign w:val="center"/>
          </w:tcPr>
          <w:p>
            <w:pPr>
              <w:jc w:val="right"/>
            </w:pPr>
            <w:r>
              <w:rPr>
                <w:rFonts w:ascii="宋体" w:eastAsia="宋体" w:hAnsi="宋体" w:cs="宋体"/>
                <w:b w:val="0"/>
                <w:i w:val="0"/>
                <w:color w:val="000000"/>
                <w:sz w:val="20"/>
              </w:rPr>
              <w:t xml:space="preserve">26.49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160.54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160.54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80" w:type="dxa"/>
            <w:tcBorders/>
            <w:vAlign w:val="center"/>
          </w:tcPr>
          <w:p>
            <w:pPr>
              <w:jc w:val="right"/>
            </w:pPr>
            <w:r>
              <w:rPr>
                <w:rFonts w:ascii="宋体" w:eastAsia="宋体" w:hAnsi="宋体" w:cs="宋体"/>
                <w:b w:val="0"/>
                <w:i w:val="0"/>
                <w:color w:val="000000"/>
                <w:sz w:val="20"/>
              </w:rPr>
              <w:t xml:space="preserve">10.35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118.58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53.31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29.68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7.18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12.42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0.72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118.60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0.72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部门：辽宁省盘锦市大洼区城乡规划发展服务中心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062001盘锦市大洼区城乡规划发展服务中心本级-211104000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117.06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117.06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3.758558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106.536076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106.53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服务全区城乡规划事业发展，为审批机关核发规划两证一书和规划验收提供事务性服务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按时高质量完成服务全区城乡规划事业发展，为审批机关核发规划两证一书和规划验收提供事务性服务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信访群众投诉满意率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财政审核一体化预算执行是否能把权力下放，本单位有权限对本单位预算资金执行核算资金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