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辽宁省盘锦市大洼区财政局（本级）</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辽宁省盘锦市大洼区财政局（本级）概况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辽宁省盘锦市大洼区财政局（本级）决算单位构成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2023年度辽宁省盘锦市大洼区财政局（本级）部门决算情况说明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2023年度辽宁省盘锦市大洼区财政局（本级）部门决算表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辽宁省盘锦市大洼区财政局（本级）概况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执行中央、省、市财政的方针、政策；拟订和执行区财政政策、财政改革方案和其他有关政策；参与制定各项宏观经济政策；提出运用财税政策实施宏观调节和综合平衡社会财力的建议；拟订和执行区与镇的分配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拟订区财政发展计划；受区政府委托，编制并向区人民代表大会报告区本级和全区年度财政预算及其执行情况，执行区人大批准的年度预算，向区人大常委会报告决算；管理区各项财政收入、预算外资金和财政专户；管理有关政府性基金和行政事业性收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（3）根据全区预算安排，会同区税务部门共同拟订税收收入计划。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（4）负责政府非税税收管理，按规定管理行政事业性收费、政府性基金及其他非税收入；管理财政票据；管理彩票市场及彩票资金。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（5）严格执行国库集中收付制度，指导和监督全区财政国库业务，按规定管理国库现金。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（6）组织贯彻《企业财务通则》和企业财务制度，拟订并组织执行企业财务管理法规和制度；拟订并执行政府与企业的分配制度。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（7）管理区财政公共支出，执行《行政单位财务规则</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事业单位财务规则》；管理财政预算内行政机构、事业单位和社会团体的非贸易外汇收支；拟订并组织执行行政事业单位财务管理制度及制定需要全区或区本级统一规定的开支标准和支出政策；制定、监督、执行基本建设财务制度；组织审查财政性工程预（结）算、竣工决算。</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拟订和执行国有资产管理的政策、改革方案、规章制度、管理办法；确定并考核国有资产收益收缴；审核国有资产收益分配方案；审核国有企业的重大投资事项；负责区直国有资产的清产核资、统计评估、资产评估、产权登记、国有股权管理、调处产权纠纷；查处国有资产流失；制定并执行区直行政、事业单位国有资产管理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（9）办理和监督区财政的经济发展支出、区投资项目的财政拨款、区财政投入的挖潜改造资金和新产品试制费；负责农业综合开发。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（10）管理区财政社会保障支出；拟订社会保障资金财务管理制度；组织实施对社会保障资金使用的财政监督。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（11）拟订和执行区政府内、外债管理的有关规章制度和管理办法；承担国家、省、市有关部门、银行对我区转贷的外国政府贷款、世界银行贷款等项有关业务。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（12）贯彻执行《</w:t>
      </w:r>
      <w:r>
        <w:rPr>
          <w:rFonts w:hint="eastAsia" w:ascii="仿宋_GB2312" w:hAnsi="宋体" w:eastAsia="仿宋_GB2312" w:cs="仿宋_GB2312"/>
          <w:kern w:val="0"/>
          <w:sz w:val="32"/>
          <w:szCs w:val="32"/>
          <w:lang w:eastAsia="zh-CN"/>
        </w:rPr>
        <w:t>中华人民共和国会计法</w:t>
      </w:r>
      <w:r>
        <w:rPr>
          <w:rFonts w:hint="eastAsia" w:ascii="仿宋_GB2312" w:hAnsi="宋体" w:eastAsia="仿宋_GB2312" w:cs="仿宋_GB2312"/>
          <w:kern w:val="0"/>
          <w:sz w:val="32"/>
          <w:szCs w:val="32"/>
        </w:rPr>
        <w:t>》和企业、事业单位会计准则，监督执行政府总预算、行政和</w:t>
      </w:r>
      <w:r>
        <w:rPr>
          <w:rFonts w:hint="eastAsia" w:ascii="仿宋_GB2312" w:hAnsi="宋体" w:eastAsia="仿宋_GB2312" w:cs="仿宋_GB2312"/>
          <w:kern w:val="0"/>
          <w:sz w:val="32"/>
          <w:szCs w:val="32"/>
          <w:lang w:eastAsia="zh-CN"/>
        </w:rPr>
        <w:t>事业单位与</w:t>
      </w:r>
      <w:r>
        <w:rPr>
          <w:rFonts w:hint="eastAsia" w:ascii="仿宋_GB2312" w:hAnsi="宋体" w:eastAsia="仿宋_GB2312" w:cs="仿宋_GB2312"/>
          <w:kern w:val="0"/>
          <w:sz w:val="32"/>
          <w:szCs w:val="32"/>
        </w:rPr>
        <w:t>企业分行业的会计制度；</w:t>
      </w:r>
      <w:r>
        <w:rPr>
          <w:rFonts w:hint="eastAsia" w:ascii="仿宋_GB2312" w:hAnsi="宋体" w:eastAsia="仿宋_GB2312" w:cs="仿宋_GB2312"/>
          <w:kern w:val="0"/>
          <w:sz w:val="32"/>
          <w:szCs w:val="32"/>
          <w:lang w:eastAsia="zh-CN"/>
        </w:rPr>
        <w:t>制定</w:t>
      </w:r>
      <w:r>
        <w:rPr>
          <w:rFonts w:hint="eastAsia" w:ascii="仿宋_GB2312" w:hAnsi="宋体" w:eastAsia="仿宋_GB2312" w:cs="仿宋_GB2312"/>
          <w:kern w:val="0"/>
          <w:sz w:val="32"/>
          <w:szCs w:val="32"/>
        </w:rPr>
        <w:t>有关会计规章制度；负责会计系列专业技术职务的任职资格的申报工作。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（13）拟订和执行政府采购政策；监管以财政性资金进行的货物、工程和服务等政府采购工作。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（14）监督财政方针政策、</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和财务制度的执行情况；检查反映财政收支管理中的重大问题；对违反财经纪律的有关事项进行查处，协调有关部门处理重大违反财经纪律的案件；提出加强财政管理的政策建议；审核和管理国家赔偿费用。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（15）组织财政人才培训；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（16）负责财政信息和宣传工作。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（17）承办区政府交办的其他事项。</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纳入辽宁省盘锦市大洼区财政局（本级）2023年部门决算编制范围的预算单位包括：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盘锦市大洼区财政局本级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（一）收入总计778.89万元，包括：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778.73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778.73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0.01</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0.15</w:t>
      </w:r>
      <w:r>
        <w:rPr>
          <w:rFonts w:hint="eastAsia" w:ascii="仿宋_GB2312" w:hAnsi="宋体" w:eastAsia="仿宋_GB2312"/>
          <w:sz w:val="32"/>
          <w:szCs w:val="32"/>
        </w:rPr>
        <w:t>万元，占收入总计的</w:t>
      </w:r>
      <w:r>
        <w:rPr>
          <w:rFonts w:hint="eastAsia" w:ascii="仿宋_GB2312" w:eastAsia="仿宋_GB2312" w:cs="仿宋_GB2312"/>
          <w:sz w:val="32"/>
          <w:szCs w:val="32"/>
        </w:rPr>
        <w:t>0.02</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增加113.23万元，增长17.01%</w:t>
      </w:r>
      <w:r>
        <w:rPr>
          <w:rFonts w:hint="eastAsia" w:ascii="仿宋_GB2312" w:hAnsi="宋体" w:eastAsia="仿宋_GB2312"/>
          <w:sz w:val="32"/>
          <w:szCs w:val="32"/>
          <w:lang w:eastAsia="zh-CN"/>
        </w:rPr>
        <w:t>，</w:t>
      </w:r>
      <w:r>
        <w:rPr>
          <w:rFonts w:hint="eastAsia" w:ascii="仿宋_GB2312" w:hAnsi="宋体" w:eastAsia="仿宋_GB2312"/>
          <w:sz w:val="32"/>
          <w:szCs w:val="32"/>
        </w:rPr>
        <w:t>主要原因：一体化软件（上线费及服务费）、国有资产管理系统研究开发相关工作资金、专项审计服务费及农业保险咨询、业务印刷、堤防保护地及引排总干水利用地测绘费等项目支出增加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（二）支出总计778.74万元，包括：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576.12</w:t>
      </w:r>
      <w:r>
        <w:rPr>
          <w:rFonts w:hint="eastAsia" w:ascii="仿宋_GB2312" w:hAnsi="宋体" w:eastAsia="仿宋_GB2312"/>
          <w:sz w:val="32"/>
          <w:szCs w:val="32"/>
        </w:rPr>
        <w:t>万元，占支出总计的</w:t>
      </w:r>
      <w:r>
        <w:rPr>
          <w:rFonts w:hint="eastAsia" w:ascii="仿宋_GB2312" w:eastAsia="仿宋_GB2312" w:cs="仿宋_GB2312"/>
          <w:sz w:val="32"/>
          <w:szCs w:val="32"/>
        </w:rPr>
        <w:t>73.98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工资福利支出431.33万元；商品和服务支出114.49万元；对个人和家庭的补助30.30万元。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202.62</w:t>
      </w:r>
      <w:r>
        <w:rPr>
          <w:rFonts w:hint="eastAsia" w:ascii="仿宋_GB2312" w:hAnsi="宋体" w:eastAsia="仿宋_GB2312"/>
          <w:sz w:val="32"/>
          <w:szCs w:val="32"/>
        </w:rPr>
        <w:t>万元，占支出总计的</w:t>
      </w:r>
      <w:r>
        <w:rPr>
          <w:rFonts w:hint="eastAsia" w:ascii="仿宋_GB2312" w:eastAsia="仿宋_GB2312" w:cs="仿宋_GB2312"/>
          <w:sz w:val="32"/>
          <w:szCs w:val="32"/>
        </w:rPr>
        <w:t>26.02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主要包括一体化软件（上线费及服务费）、国有资产管理系统研究开发相关工作资金、专项审计服务费及农业保险咨询、业务印刷、堤防保护地及引排总干水利用地测绘费等业务支出。等业务支出。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与上年相比，今年支出增加113.22万元，增长17.01%</w:t>
      </w:r>
      <w:r>
        <w:rPr>
          <w:rFonts w:hint="eastAsia" w:ascii="仿宋_GB2312" w:hAnsi="宋体" w:eastAsia="仿宋_GB2312"/>
          <w:sz w:val="32"/>
          <w:szCs w:val="32"/>
          <w:lang w:eastAsia="zh-CN"/>
        </w:rPr>
        <w:t>，</w:t>
      </w:r>
      <w:r>
        <w:rPr>
          <w:rFonts w:hint="eastAsia" w:ascii="仿宋_GB2312" w:hAnsi="宋体" w:eastAsia="仿宋_GB2312"/>
          <w:sz w:val="32"/>
          <w:szCs w:val="32"/>
        </w:rPr>
        <w:t>主要原因：一体化软件（上线费及服务费）、国有资产管理系统研究开发相关工作资金、专项审计服务费及农业保险咨询、业务印刷、堤防保护地及引排总干水利用地测绘费等项目支出增加</w:t>
      </w:r>
      <w:r>
        <w:rPr>
          <w:rFonts w:hint="eastAsia" w:ascii="仿宋_GB2312" w:hAnsi="宋体" w:eastAsia="仿宋_GB2312"/>
          <w:sz w:val="32"/>
          <w:szCs w:val="32"/>
          <w:lang w:eastAsia="zh-CN"/>
        </w:rPr>
        <w:t>。</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（三）年末结转和结余0.16万元。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主要是组织部拨优秀党支部经费等原因形成的结余。</w:t>
      </w:r>
      <w:r>
        <w:rPr>
          <w:rFonts w:hint="eastAsia" w:ascii="仿宋_GB2312" w:hAnsi="宋体" w:eastAsia="仿宋_GB2312"/>
          <w:sz w:val="32"/>
          <w:szCs w:val="32"/>
        </w:rPr>
        <w:t>与上年相比，今年结转结余增加0.00万元，增长2.37%，主要原因：盘活存量资金。</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778.73</w:t>
      </w:r>
      <w:r>
        <w:rPr>
          <w:rFonts w:hint="eastAsia" w:ascii="仿宋_GB2312" w:hAnsi="宋体" w:eastAsia="仿宋_GB2312"/>
          <w:sz w:val="32"/>
          <w:szCs w:val="32"/>
        </w:rPr>
        <w:t>万元，其中：基本支出</w:t>
      </w:r>
      <w:r>
        <w:rPr>
          <w:rFonts w:hint="eastAsia" w:ascii="仿宋_GB2312" w:eastAsia="仿宋_GB2312" w:cs="仿宋_GB2312"/>
          <w:sz w:val="32"/>
          <w:szCs w:val="32"/>
        </w:rPr>
        <w:t>576.11</w:t>
      </w:r>
      <w:r>
        <w:rPr>
          <w:rFonts w:hint="eastAsia" w:ascii="仿宋_GB2312" w:hAnsi="宋体" w:eastAsia="仿宋_GB2312"/>
          <w:sz w:val="32"/>
          <w:szCs w:val="32"/>
        </w:rPr>
        <w:t>万元，项目支出</w:t>
      </w:r>
      <w:r>
        <w:rPr>
          <w:rFonts w:hint="eastAsia" w:ascii="仿宋_GB2312" w:eastAsia="仿宋_GB2312" w:cs="仿宋_GB2312"/>
          <w:sz w:val="32"/>
          <w:szCs w:val="32"/>
        </w:rPr>
        <w:t>202.62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财政拨款支出增加113.22万元，增长17.01%，主要原因</w:t>
      </w:r>
      <w:r>
        <w:rPr>
          <w:rFonts w:hint="eastAsia" w:ascii="仿宋_GB2312" w:eastAsia="仿宋_GB2312" w:cs="仿宋_GB2312"/>
          <w:sz w:val="32"/>
          <w:szCs w:val="32"/>
        </w:rPr>
        <w:t>：一体化软件（上线费及服务费）、国有资产管理系统研究开发相关工作资金、专项审计服务费及农业保险咨询、业务印刷、堤防保护地及引排总干水利用地测绘费等项目支出增加</w:t>
      </w:r>
      <w:r>
        <w:rPr>
          <w:rFonts w:hint="eastAsia" w:ascii="仿宋_GB2312" w:eastAsia="仿宋_GB2312" w:cs="仿宋_GB2312"/>
          <w:sz w:val="32"/>
          <w:szCs w:val="32"/>
          <w:lang w:eastAsia="zh-CN"/>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112.00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115.15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103.91</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2023年度一般公共预算财政拨款支出778.73万元。按支出功能分类科目分，包括：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1.一般公共服务支出634.85万元，具体包括：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（1）一般公共服务支出（类）财政事务（款）行政运行（项）432.23万元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主要是人员经费和公用经费等支出，完成年初预算的114.57%，决算数与年初预算数存在差异的主要原因是人员经费和公用经费增加。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（2）一般公共服务支出（类）财政事务（款）一般行政管理事务（项）202.62万元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一体化软件（上线费及服务费）、国有资产管理系统研究开发相关工作资金、专项审计服务费及农业保险咨询、业务印刷、堤防保护地及引排总干水利用地测绘费等支出，完成年初预算的103.91%，决算数与年初预算数存在差异的主要原因是项目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2.社会保障和就业支出83.74万元，具体包括：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（1）社会保障和就业支出（类）行政事业单位养老支出（款）行政单位离退休（项）11.16万元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主要是退休人员独生子女费等支出，完成年初预算的99.29%，决算数与年初预算数存在差异的主要原因是退休人员死亡取暖费减少。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（2）社会保障和就业支出（类）行政事业单位养老支出（款）机关事业单位基本养老保险缴费支出（项）48.61万元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主要是职工养老保险等支出，完成年初预算的99.12%，决算数与年初预算数存在差异的主要原因是保险缴费基数调整。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（3）社会保障和就业支出（类）行政事业单位养老支出（款）机关事业单位职业年金缴费支出（项）5.06万元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主要是职工职业年金等支出，完成年初预算的0%，决算数与年初预算数存在差异的主要原因是无年初预算。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（4）社会保障和就业支出（类）抚恤（款）死亡抚恤（项）17.81万元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主要是死亡人员丧葬费等支出，完成年初预算的0%，决算数与年初预算数存在差异的主要原因是无年初预算。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（5）社会保障和就业支出（类）其他社会保障和就业支出（款）其他社会保障和就业支出（项）1.10万元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主要是工伤保险支出等支出，完成年初预算的177.42%，决算数与年初预算数存在差异的主要原因是保险缴费基数调整。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3.卫生健康支出19.80万元，具体包括：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（1）卫生健康支出（类）公共卫生（款）重大公共卫生服务（项）1.29万元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主要是疫情期间高速口执勤补助等支出，完成年初预算的0%，决算数与年初预算数存在差异的主要原因是无年初预算。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（2）卫生健康支出（类）行政事业单位医疗（款）行政单位医疗（项）18.11万元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主要是职工医疗保险等支出，完成年初预算的84.39%，决算数与年初预算数存在差异的主要原因是保险缴费基数调整。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（3）卫生健康支出（类）行政事业单位医疗（款）其他行政事业单位医疗支出（项）0.40万元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主要是职工大额医疗保险等支出，完成年初预算的97.56%，决算数与年初预算数存在差异的主要原因</w:t>
      </w:r>
      <w:r>
        <w:rPr>
          <w:rFonts w:hint="eastAsia" w:ascii="仿宋_GB2312" w:eastAsia="仿宋_GB2312" w:cs="仿宋_GB2312"/>
          <w:sz w:val="32"/>
          <w:szCs w:val="32"/>
          <w:lang w:eastAsia="zh-CN"/>
        </w:rPr>
        <w:t>是</w:t>
      </w:r>
      <w:r>
        <w:rPr>
          <w:rFonts w:hint="eastAsia" w:ascii="仿宋_GB2312" w:eastAsia="仿宋_GB2312" w:cs="仿宋_GB2312"/>
          <w:sz w:val="32"/>
          <w:szCs w:val="32"/>
        </w:rPr>
        <w:t>保险缴费基数调整。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4.住房保障支出40.35万元，具体包括：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（1）住房保障支出（类）住房改革支出（款）住房公积金（项）40.35万元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主要是职工住房公积金等支出，完成年初预算的100.15%，决算数与年初预算数存在差异的主要原因是住房公积金缴费基数调整。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1.69</w:t>
      </w:r>
      <w:r>
        <w:rPr>
          <w:rFonts w:hint="eastAsia" w:ascii="仿宋_GB2312" w:hAnsi="宋体" w:eastAsia="仿宋_GB2312"/>
          <w:sz w:val="32"/>
          <w:szCs w:val="32"/>
        </w:rPr>
        <w:t>万元，完成预算的</w:t>
      </w:r>
      <w:r>
        <w:rPr>
          <w:rFonts w:hint="eastAsia" w:ascii="仿宋_GB2312" w:eastAsia="仿宋_GB2312" w:cs="仿宋_GB2312"/>
          <w:sz w:val="32"/>
          <w:szCs w:val="32"/>
        </w:rPr>
        <w:t>33.80</w:t>
      </w:r>
      <w:r>
        <w:rPr>
          <w:rFonts w:hint="eastAsia" w:ascii="仿宋_GB2312" w:hAnsi="宋体" w:eastAsia="仿宋_GB2312"/>
          <w:sz w:val="32"/>
          <w:szCs w:val="32"/>
        </w:rPr>
        <w:t>%，决算数小于预算数的主要原因是业务活动减少。其中：因公出国（境）费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1.69</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业务活动减少。2023年参加出国（境）团组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业务活动减少</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2023年公务接待费与上年持平，主要是无接待费等原因。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1.69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33.80</w:t>
      </w:r>
      <w:r>
        <w:rPr>
          <w:rFonts w:hint="eastAsia" w:ascii="仿宋_GB2312" w:hAnsi="宋体" w:eastAsia="仿宋_GB2312"/>
          <w:sz w:val="32"/>
          <w:szCs w:val="32"/>
        </w:rPr>
        <w:t>%，决算数小于预算数的主要原因是业务活动减少。比上年减少1.43万元，降低45.83%，主要是业务活动减少等原因。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1.69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主要用于业务活动减少等，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576.12</w:t>
      </w:r>
      <w:r>
        <w:rPr>
          <w:rFonts w:hint="eastAsia" w:ascii="仿宋_GB2312" w:hAnsi="宋体" w:eastAsia="仿宋_GB2312"/>
          <w:sz w:val="32"/>
          <w:szCs w:val="32"/>
        </w:rPr>
        <w:t>万元，其中：人员经费</w:t>
      </w:r>
      <w:r>
        <w:rPr>
          <w:rFonts w:hint="eastAsia" w:ascii="仿宋_GB2312" w:eastAsia="仿宋_GB2312" w:cs="仿宋_GB2312"/>
          <w:sz w:val="32"/>
          <w:szCs w:val="32"/>
        </w:rPr>
        <w:t>461.63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114.49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114.49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比上年增加27.08万元，增长30.98%</w:t>
      </w:r>
      <w:r>
        <w:rPr>
          <w:rFonts w:hint="eastAsia" w:ascii="仿宋_GB2312" w:hAnsi="黑体" w:eastAsia="仿宋_GB2312"/>
          <w:sz w:val="32"/>
          <w:szCs w:val="32"/>
        </w:rPr>
        <w:t>，主要原因是</w:t>
      </w:r>
      <w:r>
        <w:rPr>
          <w:rFonts w:hint="eastAsia" w:ascii="仿宋_GB2312" w:hAnsi="宋体" w:eastAsia="仿宋_GB2312"/>
          <w:sz w:val="32"/>
          <w:szCs w:val="32"/>
        </w:rPr>
        <w:t>支付以前年度物业管理费</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36.53</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36.53</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36.53</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36.53</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1.预算绩效管理工作开展情况。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绩效自评情况。根据预算绩效管理要求，我部门组织对2023年度预算项目支出全面开展绩效自评，共涉及预算支出项目3个，涉及资金180万元，自评覆盖率（开展绩效自评的项目数/年初批复绩效目标的项目数）达到100%，自评平均分（开展绩效自评的项目分数总和/开展绩效自评的项目数）99.5分。组织对1个单位开展整体绩效自评，涉及资金778.73万元，自评平均分99.5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（2）部门评价情况。我部门组织对“全区生态环境工作业务经费、一体化软件（上线费及服务费）、 系统维护服务费”等3个项目开展了部门评价，涉及资金180万元。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2.部门决算中项目绩效自评结果。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（1）“全区生态环境工作业务经费、一体化软件（上线费及服务费）、 系统维护服务费”项目自评综述：根据年初设定的绩效目标，项目自评得分99.5分。项目年初预算数为180万元，执行数为68.28万元，完成预算的37.93%。项目绩效目标完成情况：一是提高软件日常应用稳定性</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二是确保各预算单位日常进行财务运作</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三是确保各预算单位进行预决算分析与运行。</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16.一般公共服务支出（类）财政事务（款）行政运行（项）：反映行政单位（包括实行公务员管理的事业单位）的基本支出。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17.一般公共服务支出（类）财政事务（款）一般行政管理事务（项）：反映行政单位（包括实行公务员管理的事业单位）未单独设置项级科目的其他项目支出。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18.社会保障和就业支出（类）行政事业单位离退休（款）行政单位离退休（项）：反映实行归口管理的行政单位开支的离退休经费。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19.社会保障和就业支出（类）行政事业单位养老支出（款）机关事业单位基本养老保险缴费支出（项）：反映机关事业单位实施养老保险制度由于单位缴纳的基本养老保险费用的支出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20.卫生健康支出（类）公共卫生（款）重大公共卫生服务（项）：反映重大疾病、重大传染病预防控制等重大公共卫生服务项目支出。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卫生健康支出（类）行政事业单位医疗（款）行政单位医疗（项）：反映财政部门集中安排的行政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单位：辽宁省盘锦市大洼区财政局（本级）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778.73</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634.85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0.01</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83.74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40.35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778.74</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778.74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bookmarkStart w:id="0" w:name="_GoBack"/>
            <w:bookmarkEnd w:id="0"/>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0.15</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778.89</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778.89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单位：辽宁省盘锦市大洼区财政局（本级）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778.74</w:t>
            </w:r>
          </w:p>
        </w:tc>
        <w:tc>
          <w:tcPr>
            <w:tcW w:w="1160" w:type="dxa"/>
            <w:vAlign w:val="center"/>
          </w:tcPr>
          <w:p>
            <w:pPr>
              <w:jc w:val="right"/>
            </w:pPr>
            <w:r>
              <w:rPr>
                <w:rFonts w:ascii="宋体" w:hAnsi="宋体" w:eastAsia="宋体" w:cs="宋体"/>
                <w:b/>
                <w:i w:val="0"/>
                <w:color w:val="000000"/>
                <w:sz w:val="14"/>
              </w:rPr>
              <w:t>778.73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634.85</w:t>
            </w:r>
          </w:p>
        </w:tc>
        <w:tc>
          <w:tcPr>
            <w:tcW w:w="1160" w:type="dxa"/>
            <w:vAlign w:val="center"/>
          </w:tcPr>
          <w:p>
            <w:pPr>
              <w:jc w:val="right"/>
            </w:pPr>
            <w:r>
              <w:rPr>
                <w:rFonts w:ascii="宋体" w:hAnsi="宋体" w:eastAsia="宋体" w:cs="宋体"/>
                <w:b w:val="0"/>
                <w:i w:val="0"/>
                <w:color w:val="000000"/>
                <w:sz w:val="14"/>
              </w:rPr>
              <w:t>634.85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w:t>
            </w:r>
          </w:p>
        </w:tc>
        <w:tc>
          <w:tcPr>
            <w:tcW w:w="2060" w:type="dxa"/>
            <w:vAlign w:val="center"/>
          </w:tcPr>
          <w:p>
            <w:pPr>
              <w:jc w:val="left"/>
            </w:pPr>
            <w:r>
              <w:rPr>
                <w:rFonts w:ascii="宋体" w:hAnsi="宋体" w:eastAsia="宋体" w:cs="宋体"/>
                <w:b w:val="0"/>
                <w:i w:val="0"/>
                <w:color w:val="000000"/>
                <w:sz w:val="14"/>
              </w:rPr>
              <w:t>财政事务</w:t>
            </w:r>
          </w:p>
        </w:tc>
        <w:tc>
          <w:tcPr>
            <w:tcW w:w="1160" w:type="dxa"/>
            <w:vAlign w:val="center"/>
          </w:tcPr>
          <w:p>
            <w:pPr>
              <w:jc w:val="right"/>
            </w:pPr>
            <w:r>
              <w:rPr>
                <w:rFonts w:ascii="宋体" w:hAnsi="宋体" w:eastAsia="宋体" w:cs="宋体"/>
                <w:b w:val="0"/>
                <w:i w:val="0"/>
                <w:color w:val="000000"/>
                <w:sz w:val="14"/>
              </w:rPr>
              <w:t>634.85</w:t>
            </w:r>
          </w:p>
        </w:tc>
        <w:tc>
          <w:tcPr>
            <w:tcW w:w="1160" w:type="dxa"/>
            <w:vAlign w:val="center"/>
          </w:tcPr>
          <w:p>
            <w:pPr>
              <w:jc w:val="right"/>
            </w:pPr>
            <w:r>
              <w:rPr>
                <w:rFonts w:ascii="宋体" w:hAnsi="宋体" w:eastAsia="宋体" w:cs="宋体"/>
                <w:b w:val="0"/>
                <w:i w:val="0"/>
                <w:color w:val="000000"/>
                <w:sz w:val="14"/>
              </w:rPr>
              <w:t>634.85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432.23</w:t>
            </w:r>
          </w:p>
        </w:tc>
        <w:tc>
          <w:tcPr>
            <w:tcW w:w="1160" w:type="dxa"/>
            <w:vAlign w:val="center"/>
          </w:tcPr>
          <w:p>
            <w:pPr>
              <w:jc w:val="right"/>
            </w:pPr>
            <w:r>
              <w:rPr>
                <w:rFonts w:ascii="宋体" w:hAnsi="宋体" w:eastAsia="宋体" w:cs="宋体"/>
                <w:b w:val="0"/>
                <w:i w:val="0"/>
                <w:color w:val="000000"/>
                <w:sz w:val="14"/>
              </w:rPr>
              <w:t>432.23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2010602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202.62</w:t>
            </w:r>
          </w:p>
        </w:tc>
        <w:tc>
          <w:tcPr>
            <w:tcW w:w="1160" w:type="dxa"/>
            <w:vAlign w:val="center"/>
          </w:tcPr>
          <w:p>
            <w:pPr>
              <w:jc w:val="right"/>
            </w:pPr>
            <w:r>
              <w:rPr>
                <w:rFonts w:ascii="宋体" w:hAnsi="宋体" w:eastAsia="宋体" w:cs="宋体"/>
                <w:b w:val="0"/>
                <w:i w:val="0"/>
                <w:color w:val="000000"/>
                <w:sz w:val="14"/>
              </w:rPr>
              <w:t>202.62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83.74</w:t>
            </w:r>
          </w:p>
        </w:tc>
        <w:tc>
          <w:tcPr>
            <w:tcW w:w="1160" w:type="dxa"/>
            <w:vAlign w:val="center"/>
          </w:tcPr>
          <w:p>
            <w:pPr>
              <w:jc w:val="right"/>
            </w:pPr>
            <w:r>
              <w:rPr>
                <w:rFonts w:ascii="宋体" w:hAnsi="宋体" w:eastAsia="宋体" w:cs="宋体"/>
                <w:b w:val="0"/>
                <w:i w:val="0"/>
                <w:color w:val="000000"/>
                <w:sz w:val="14"/>
              </w:rPr>
              <w:t>83.74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64.83</w:t>
            </w:r>
          </w:p>
        </w:tc>
        <w:tc>
          <w:tcPr>
            <w:tcW w:w="1160" w:type="dxa"/>
            <w:vAlign w:val="center"/>
          </w:tcPr>
          <w:p>
            <w:pPr>
              <w:jc w:val="right"/>
            </w:pPr>
            <w:r>
              <w:rPr>
                <w:rFonts w:ascii="宋体" w:hAnsi="宋体" w:eastAsia="宋体" w:cs="宋体"/>
                <w:b w:val="0"/>
                <w:i w:val="0"/>
                <w:color w:val="000000"/>
                <w:sz w:val="14"/>
              </w:rPr>
              <w:t>64.83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11.16</w:t>
            </w:r>
          </w:p>
        </w:tc>
        <w:tc>
          <w:tcPr>
            <w:tcW w:w="1160" w:type="dxa"/>
            <w:vAlign w:val="center"/>
          </w:tcPr>
          <w:p>
            <w:pPr>
              <w:jc w:val="right"/>
            </w:pPr>
            <w:r>
              <w:rPr>
                <w:rFonts w:ascii="宋体" w:hAnsi="宋体" w:eastAsia="宋体" w:cs="宋体"/>
                <w:b w:val="0"/>
                <w:i w:val="0"/>
                <w:color w:val="000000"/>
                <w:sz w:val="14"/>
              </w:rPr>
              <w:t>11.16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48.61</w:t>
            </w:r>
          </w:p>
        </w:tc>
        <w:tc>
          <w:tcPr>
            <w:tcW w:w="1160" w:type="dxa"/>
            <w:vAlign w:val="center"/>
          </w:tcPr>
          <w:p>
            <w:pPr>
              <w:jc w:val="right"/>
            </w:pPr>
            <w:r>
              <w:rPr>
                <w:rFonts w:ascii="宋体" w:hAnsi="宋体" w:eastAsia="宋体" w:cs="宋体"/>
                <w:b w:val="0"/>
                <w:i w:val="0"/>
                <w:color w:val="000000"/>
                <w:sz w:val="14"/>
              </w:rPr>
              <w:t>48.61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5.06</w:t>
            </w:r>
          </w:p>
        </w:tc>
        <w:tc>
          <w:tcPr>
            <w:tcW w:w="1160" w:type="dxa"/>
            <w:vAlign w:val="center"/>
          </w:tcPr>
          <w:p>
            <w:pPr>
              <w:jc w:val="right"/>
            </w:pPr>
            <w:r>
              <w:rPr>
                <w:rFonts w:ascii="宋体" w:hAnsi="宋体" w:eastAsia="宋体" w:cs="宋体"/>
                <w:b w:val="0"/>
                <w:i w:val="0"/>
                <w:color w:val="000000"/>
                <w:sz w:val="14"/>
              </w:rPr>
              <w:t>5.06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17.81</w:t>
            </w:r>
          </w:p>
        </w:tc>
        <w:tc>
          <w:tcPr>
            <w:tcW w:w="1160" w:type="dxa"/>
            <w:vAlign w:val="center"/>
          </w:tcPr>
          <w:p>
            <w:pPr>
              <w:jc w:val="right"/>
            </w:pPr>
            <w:r>
              <w:rPr>
                <w:rFonts w:ascii="宋体" w:hAnsi="宋体" w:eastAsia="宋体" w:cs="宋体"/>
                <w:b w:val="0"/>
                <w:i w:val="0"/>
                <w:color w:val="000000"/>
                <w:sz w:val="14"/>
              </w:rPr>
              <w:t>17.81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17.81</w:t>
            </w:r>
          </w:p>
        </w:tc>
        <w:tc>
          <w:tcPr>
            <w:tcW w:w="1160" w:type="dxa"/>
            <w:vAlign w:val="center"/>
          </w:tcPr>
          <w:p>
            <w:pPr>
              <w:jc w:val="right"/>
            </w:pPr>
            <w:r>
              <w:rPr>
                <w:rFonts w:ascii="宋体" w:hAnsi="宋体" w:eastAsia="宋体" w:cs="宋体"/>
                <w:b w:val="0"/>
                <w:i w:val="0"/>
                <w:color w:val="000000"/>
                <w:sz w:val="14"/>
              </w:rPr>
              <w:t>17.81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1.10</w:t>
            </w:r>
          </w:p>
        </w:tc>
        <w:tc>
          <w:tcPr>
            <w:tcW w:w="1160" w:type="dxa"/>
            <w:vAlign w:val="center"/>
          </w:tcPr>
          <w:p>
            <w:pPr>
              <w:jc w:val="right"/>
            </w:pPr>
            <w:r>
              <w:rPr>
                <w:rFonts w:ascii="宋体" w:hAnsi="宋体" w:eastAsia="宋体" w:cs="宋体"/>
                <w:b w:val="0"/>
                <w:i w:val="0"/>
                <w:color w:val="000000"/>
                <w:sz w:val="14"/>
              </w:rPr>
              <w:t>1.10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1.10</w:t>
            </w:r>
          </w:p>
        </w:tc>
        <w:tc>
          <w:tcPr>
            <w:tcW w:w="1160" w:type="dxa"/>
            <w:vAlign w:val="center"/>
          </w:tcPr>
          <w:p>
            <w:pPr>
              <w:jc w:val="right"/>
            </w:pPr>
            <w:r>
              <w:rPr>
                <w:rFonts w:ascii="宋体" w:hAnsi="宋体" w:eastAsia="宋体" w:cs="宋体"/>
                <w:b w:val="0"/>
                <w:i w:val="0"/>
                <w:color w:val="000000"/>
                <w:sz w:val="14"/>
              </w:rPr>
              <w:t>1.10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19.80</w:t>
            </w:r>
          </w:p>
        </w:tc>
        <w:tc>
          <w:tcPr>
            <w:tcW w:w="1160" w:type="dxa"/>
            <w:vAlign w:val="center"/>
          </w:tcPr>
          <w:p>
            <w:pPr>
              <w:jc w:val="right"/>
            </w:pPr>
            <w:r>
              <w:rPr>
                <w:rFonts w:ascii="宋体" w:hAnsi="宋体" w:eastAsia="宋体" w:cs="宋体"/>
                <w:b w:val="0"/>
                <w:i w:val="0"/>
                <w:color w:val="000000"/>
                <w:sz w:val="14"/>
              </w:rPr>
              <w:t>19.80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1.29</w:t>
            </w:r>
          </w:p>
        </w:tc>
        <w:tc>
          <w:tcPr>
            <w:tcW w:w="1160" w:type="dxa"/>
            <w:vAlign w:val="center"/>
          </w:tcPr>
          <w:p>
            <w:pPr>
              <w:jc w:val="right"/>
            </w:pPr>
            <w:r>
              <w:rPr>
                <w:rFonts w:ascii="宋体" w:hAnsi="宋体" w:eastAsia="宋体" w:cs="宋体"/>
                <w:b w:val="0"/>
                <w:i w:val="0"/>
                <w:color w:val="000000"/>
                <w:sz w:val="14"/>
              </w:rPr>
              <w:t>1.29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1.29</w:t>
            </w:r>
          </w:p>
        </w:tc>
        <w:tc>
          <w:tcPr>
            <w:tcW w:w="1160" w:type="dxa"/>
            <w:vAlign w:val="center"/>
          </w:tcPr>
          <w:p>
            <w:pPr>
              <w:jc w:val="right"/>
            </w:pPr>
            <w:r>
              <w:rPr>
                <w:rFonts w:ascii="宋体" w:hAnsi="宋体" w:eastAsia="宋体" w:cs="宋体"/>
                <w:b w:val="0"/>
                <w:i w:val="0"/>
                <w:color w:val="000000"/>
                <w:sz w:val="14"/>
              </w:rPr>
              <w:t>1.29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18.51</w:t>
            </w:r>
          </w:p>
        </w:tc>
        <w:tc>
          <w:tcPr>
            <w:tcW w:w="1160" w:type="dxa"/>
            <w:vAlign w:val="center"/>
          </w:tcPr>
          <w:p>
            <w:pPr>
              <w:jc w:val="right"/>
            </w:pPr>
            <w:r>
              <w:rPr>
                <w:rFonts w:ascii="宋体" w:hAnsi="宋体" w:eastAsia="宋体" w:cs="宋体"/>
                <w:b w:val="0"/>
                <w:i w:val="0"/>
                <w:color w:val="000000"/>
                <w:sz w:val="14"/>
              </w:rPr>
              <w:t>18.51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18.11</w:t>
            </w:r>
          </w:p>
        </w:tc>
        <w:tc>
          <w:tcPr>
            <w:tcW w:w="1160" w:type="dxa"/>
            <w:vAlign w:val="center"/>
          </w:tcPr>
          <w:p>
            <w:pPr>
              <w:jc w:val="right"/>
            </w:pPr>
            <w:r>
              <w:rPr>
                <w:rFonts w:ascii="宋体" w:hAnsi="宋体" w:eastAsia="宋体" w:cs="宋体"/>
                <w:b w:val="0"/>
                <w:i w:val="0"/>
                <w:color w:val="000000"/>
                <w:sz w:val="14"/>
              </w:rPr>
              <w:t>18.11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0.40</w:t>
            </w:r>
          </w:p>
        </w:tc>
        <w:tc>
          <w:tcPr>
            <w:tcW w:w="1160" w:type="dxa"/>
            <w:vAlign w:val="center"/>
          </w:tcPr>
          <w:p>
            <w:pPr>
              <w:jc w:val="right"/>
            </w:pPr>
            <w:r>
              <w:rPr>
                <w:rFonts w:ascii="宋体" w:hAnsi="宋体" w:eastAsia="宋体" w:cs="宋体"/>
                <w:b w:val="0"/>
                <w:i w:val="0"/>
                <w:color w:val="000000"/>
                <w:sz w:val="14"/>
              </w:rPr>
              <w:t>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40.35</w:t>
            </w:r>
          </w:p>
        </w:tc>
        <w:tc>
          <w:tcPr>
            <w:tcW w:w="1160" w:type="dxa"/>
            <w:vAlign w:val="center"/>
          </w:tcPr>
          <w:p>
            <w:pPr>
              <w:jc w:val="right"/>
            </w:pPr>
            <w:r>
              <w:rPr>
                <w:rFonts w:ascii="宋体" w:hAnsi="宋体" w:eastAsia="宋体" w:cs="宋体"/>
                <w:b w:val="0"/>
                <w:i w:val="0"/>
                <w:color w:val="000000"/>
                <w:sz w:val="14"/>
              </w:rPr>
              <w:t>40.35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40.35</w:t>
            </w:r>
          </w:p>
        </w:tc>
        <w:tc>
          <w:tcPr>
            <w:tcW w:w="1160" w:type="dxa"/>
            <w:vAlign w:val="center"/>
          </w:tcPr>
          <w:p>
            <w:pPr>
              <w:jc w:val="right"/>
            </w:pPr>
            <w:r>
              <w:rPr>
                <w:rFonts w:ascii="宋体" w:hAnsi="宋体" w:eastAsia="宋体" w:cs="宋体"/>
                <w:b w:val="0"/>
                <w:i w:val="0"/>
                <w:color w:val="000000"/>
                <w:sz w:val="14"/>
              </w:rPr>
              <w:t>40.35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40.35</w:t>
            </w:r>
          </w:p>
        </w:tc>
        <w:tc>
          <w:tcPr>
            <w:tcW w:w="1160" w:type="dxa"/>
            <w:vAlign w:val="center"/>
          </w:tcPr>
          <w:p>
            <w:pPr>
              <w:jc w:val="right"/>
            </w:pPr>
            <w:r>
              <w:rPr>
                <w:rFonts w:ascii="宋体" w:hAnsi="宋体" w:eastAsia="宋体" w:cs="宋体"/>
                <w:b w:val="0"/>
                <w:i w:val="0"/>
                <w:color w:val="000000"/>
                <w:sz w:val="14"/>
              </w:rPr>
              <w:t>40.35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单位：辽宁省盘锦市大洼区财政局（本级）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778.74</w:t>
            </w:r>
          </w:p>
        </w:tc>
        <w:tc>
          <w:tcPr>
            <w:tcW w:w="1120" w:type="dxa"/>
            <w:vAlign w:val="center"/>
          </w:tcPr>
          <w:p>
            <w:pPr>
              <w:jc w:val="right"/>
            </w:pPr>
            <w:r>
              <w:rPr>
                <w:rFonts w:ascii="宋体" w:hAnsi="宋体" w:eastAsia="宋体" w:cs="宋体"/>
                <w:b/>
                <w:i w:val="0"/>
                <w:color w:val="000000"/>
                <w:sz w:val="16"/>
              </w:rPr>
              <w:t>576.12</w:t>
            </w:r>
          </w:p>
        </w:tc>
        <w:tc>
          <w:tcPr>
            <w:tcW w:w="1120" w:type="dxa"/>
            <w:vAlign w:val="center"/>
          </w:tcPr>
          <w:p>
            <w:pPr>
              <w:jc w:val="right"/>
            </w:pPr>
            <w:r>
              <w:rPr>
                <w:rFonts w:ascii="宋体" w:hAnsi="宋体" w:eastAsia="宋体" w:cs="宋体"/>
                <w:b/>
                <w:i w:val="0"/>
                <w:color w:val="000000"/>
                <w:sz w:val="16"/>
              </w:rPr>
              <w:t>202.62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634.85</w:t>
            </w:r>
          </w:p>
        </w:tc>
        <w:tc>
          <w:tcPr>
            <w:tcW w:w="1120" w:type="dxa"/>
            <w:vAlign w:val="center"/>
          </w:tcPr>
          <w:p>
            <w:pPr>
              <w:jc w:val="right"/>
            </w:pPr>
            <w:r>
              <w:rPr>
                <w:rFonts w:ascii="宋体" w:hAnsi="宋体" w:eastAsia="宋体" w:cs="宋体"/>
                <w:b w:val="0"/>
                <w:i w:val="0"/>
                <w:color w:val="000000"/>
                <w:sz w:val="16"/>
              </w:rPr>
              <w:t>432.23</w:t>
            </w:r>
          </w:p>
        </w:tc>
        <w:tc>
          <w:tcPr>
            <w:tcW w:w="1120" w:type="dxa"/>
            <w:vAlign w:val="center"/>
          </w:tcPr>
          <w:p>
            <w:pPr>
              <w:jc w:val="right"/>
            </w:pPr>
            <w:r>
              <w:rPr>
                <w:rFonts w:ascii="宋体" w:hAnsi="宋体" w:eastAsia="宋体" w:cs="宋体"/>
                <w:b w:val="0"/>
                <w:i w:val="0"/>
                <w:color w:val="000000"/>
                <w:sz w:val="16"/>
              </w:rPr>
              <w:t>202.62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w:t>
            </w:r>
          </w:p>
        </w:tc>
        <w:tc>
          <w:tcPr>
            <w:tcW w:w="3340" w:type="dxa"/>
            <w:vAlign w:val="center"/>
          </w:tcPr>
          <w:p>
            <w:pPr>
              <w:jc w:val="left"/>
            </w:pPr>
            <w:r>
              <w:rPr>
                <w:rFonts w:ascii="宋体" w:hAnsi="宋体" w:eastAsia="宋体" w:cs="宋体"/>
                <w:b w:val="0"/>
                <w:i w:val="0"/>
                <w:color w:val="000000"/>
                <w:sz w:val="16"/>
              </w:rPr>
              <w:t>财政事务</w:t>
            </w:r>
          </w:p>
        </w:tc>
        <w:tc>
          <w:tcPr>
            <w:tcW w:w="1120" w:type="dxa"/>
            <w:vAlign w:val="center"/>
          </w:tcPr>
          <w:p>
            <w:pPr>
              <w:jc w:val="right"/>
            </w:pPr>
            <w:r>
              <w:rPr>
                <w:rFonts w:ascii="宋体" w:hAnsi="宋体" w:eastAsia="宋体" w:cs="宋体"/>
                <w:b w:val="0"/>
                <w:i w:val="0"/>
                <w:color w:val="000000"/>
                <w:sz w:val="16"/>
              </w:rPr>
              <w:t>634.85</w:t>
            </w:r>
          </w:p>
        </w:tc>
        <w:tc>
          <w:tcPr>
            <w:tcW w:w="1120" w:type="dxa"/>
            <w:vAlign w:val="center"/>
          </w:tcPr>
          <w:p>
            <w:pPr>
              <w:jc w:val="right"/>
            </w:pPr>
            <w:r>
              <w:rPr>
                <w:rFonts w:ascii="宋体" w:hAnsi="宋体" w:eastAsia="宋体" w:cs="宋体"/>
                <w:b w:val="0"/>
                <w:i w:val="0"/>
                <w:color w:val="000000"/>
                <w:sz w:val="16"/>
              </w:rPr>
              <w:t>432.23</w:t>
            </w:r>
          </w:p>
        </w:tc>
        <w:tc>
          <w:tcPr>
            <w:tcW w:w="1120" w:type="dxa"/>
            <w:vAlign w:val="center"/>
          </w:tcPr>
          <w:p>
            <w:pPr>
              <w:jc w:val="right"/>
            </w:pPr>
            <w:r>
              <w:rPr>
                <w:rFonts w:ascii="宋体" w:hAnsi="宋体" w:eastAsia="宋体" w:cs="宋体"/>
                <w:b w:val="0"/>
                <w:i w:val="0"/>
                <w:color w:val="000000"/>
                <w:sz w:val="16"/>
              </w:rPr>
              <w:t>202.62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432.23</w:t>
            </w:r>
          </w:p>
        </w:tc>
        <w:tc>
          <w:tcPr>
            <w:tcW w:w="1120" w:type="dxa"/>
            <w:vAlign w:val="center"/>
          </w:tcPr>
          <w:p>
            <w:pPr>
              <w:jc w:val="right"/>
            </w:pPr>
            <w:r>
              <w:rPr>
                <w:rFonts w:ascii="宋体" w:hAnsi="宋体" w:eastAsia="宋体" w:cs="宋体"/>
                <w:b w:val="0"/>
                <w:i w:val="0"/>
                <w:color w:val="000000"/>
                <w:sz w:val="16"/>
              </w:rPr>
              <w:t>432.23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2010602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202.62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202.62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83.74</w:t>
            </w:r>
          </w:p>
        </w:tc>
        <w:tc>
          <w:tcPr>
            <w:tcW w:w="1120" w:type="dxa"/>
            <w:vAlign w:val="center"/>
          </w:tcPr>
          <w:p>
            <w:pPr>
              <w:jc w:val="right"/>
            </w:pPr>
            <w:r>
              <w:rPr>
                <w:rFonts w:ascii="宋体" w:hAnsi="宋体" w:eastAsia="宋体" w:cs="宋体"/>
                <w:b w:val="0"/>
                <w:i w:val="0"/>
                <w:color w:val="000000"/>
                <w:sz w:val="16"/>
              </w:rPr>
              <w:t>83.74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64.83</w:t>
            </w:r>
          </w:p>
        </w:tc>
        <w:tc>
          <w:tcPr>
            <w:tcW w:w="1120" w:type="dxa"/>
            <w:vAlign w:val="center"/>
          </w:tcPr>
          <w:p>
            <w:pPr>
              <w:jc w:val="right"/>
            </w:pPr>
            <w:r>
              <w:rPr>
                <w:rFonts w:ascii="宋体" w:hAnsi="宋体" w:eastAsia="宋体" w:cs="宋体"/>
                <w:b w:val="0"/>
                <w:i w:val="0"/>
                <w:color w:val="000000"/>
                <w:sz w:val="16"/>
              </w:rPr>
              <w:t>64.83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11.16</w:t>
            </w:r>
          </w:p>
        </w:tc>
        <w:tc>
          <w:tcPr>
            <w:tcW w:w="1120" w:type="dxa"/>
            <w:vAlign w:val="center"/>
          </w:tcPr>
          <w:p>
            <w:pPr>
              <w:jc w:val="right"/>
            </w:pPr>
            <w:r>
              <w:rPr>
                <w:rFonts w:ascii="宋体" w:hAnsi="宋体" w:eastAsia="宋体" w:cs="宋体"/>
                <w:b w:val="0"/>
                <w:i w:val="0"/>
                <w:color w:val="000000"/>
                <w:sz w:val="16"/>
              </w:rPr>
              <w:t>11.16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48.61</w:t>
            </w:r>
          </w:p>
        </w:tc>
        <w:tc>
          <w:tcPr>
            <w:tcW w:w="1120" w:type="dxa"/>
            <w:vAlign w:val="center"/>
          </w:tcPr>
          <w:p>
            <w:pPr>
              <w:jc w:val="right"/>
            </w:pPr>
            <w:r>
              <w:rPr>
                <w:rFonts w:ascii="宋体" w:hAnsi="宋体" w:eastAsia="宋体" w:cs="宋体"/>
                <w:b w:val="0"/>
                <w:i w:val="0"/>
                <w:color w:val="000000"/>
                <w:sz w:val="16"/>
              </w:rPr>
              <w:t>48.61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5.06</w:t>
            </w:r>
          </w:p>
        </w:tc>
        <w:tc>
          <w:tcPr>
            <w:tcW w:w="1120" w:type="dxa"/>
            <w:vAlign w:val="center"/>
          </w:tcPr>
          <w:p>
            <w:pPr>
              <w:jc w:val="right"/>
            </w:pPr>
            <w:r>
              <w:rPr>
                <w:rFonts w:ascii="宋体" w:hAnsi="宋体" w:eastAsia="宋体" w:cs="宋体"/>
                <w:b w:val="0"/>
                <w:i w:val="0"/>
                <w:color w:val="000000"/>
                <w:sz w:val="16"/>
              </w:rPr>
              <w:t>5.06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17.81</w:t>
            </w:r>
          </w:p>
        </w:tc>
        <w:tc>
          <w:tcPr>
            <w:tcW w:w="1120" w:type="dxa"/>
            <w:vAlign w:val="center"/>
          </w:tcPr>
          <w:p>
            <w:pPr>
              <w:jc w:val="right"/>
            </w:pPr>
            <w:r>
              <w:rPr>
                <w:rFonts w:ascii="宋体" w:hAnsi="宋体" w:eastAsia="宋体" w:cs="宋体"/>
                <w:b w:val="0"/>
                <w:i w:val="0"/>
                <w:color w:val="000000"/>
                <w:sz w:val="16"/>
              </w:rPr>
              <w:t>17.81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17.81</w:t>
            </w:r>
          </w:p>
        </w:tc>
        <w:tc>
          <w:tcPr>
            <w:tcW w:w="1120" w:type="dxa"/>
            <w:vAlign w:val="center"/>
          </w:tcPr>
          <w:p>
            <w:pPr>
              <w:jc w:val="right"/>
            </w:pPr>
            <w:r>
              <w:rPr>
                <w:rFonts w:ascii="宋体" w:hAnsi="宋体" w:eastAsia="宋体" w:cs="宋体"/>
                <w:b w:val="0"/>
                <w:i w:val="0"/>
                <w:color w:val="000000"/>
                <w:sz w:val="16"/>
              </w:rPr>
              <w:t>17.81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1.10</w:t>
            </w:r>
          </w:p>
        </w:tc>
        <w:tc>
          <w:tcPr>
            <w:tcW w:w="1120" w:type="dxa"/>
            <w:vAlign w:val="center"/>
          </w:tcPr>
          <w:p>
            <w:pPr>
              <w:jc w:val="right"/>
            </w:pPr>
            <w:r>
              <w:rPr>
                <w:rFonts w:ascii="宋体" w:hAnsi="宋体" w:eastAsia="宋体" w:cs="宋体"/>
                <w:b w:val="0"/>
                <w:i w:val="0"/>
                <w:color w:val="000000"/>
                <w:sz w:val="16"/>
              </w:rPr>
              <w:t>1.10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1.10</w:t>
            </w:r>
          </w:p>
        </w:tc>
        <w:tc>
          <w:tcPr>
            <w:tcW w:w="1120" w:type="dxa"/>
            <w:vAlign w:val="center"/>
          </w:tcPr>
          <w:p>
            <w:pPr>
              <w:jc w:val="right"/>
            </w:pPr>
            <w:r>
              <w:rPr>
                <w:rFonts w:ascii="宋体" w:hAnsi="宋体" w:eastAsia="宋体" w:cs="宋体"/>
                <w:b w:val="0"/>
                <w:i w:val="0"/>
                <w:color w:val="000000"/>
                <w:sz w:val="16"/>
              </w:rPr>
              <w:t>1.10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19.80</w:t>
            </w:r>
          </w:p>
        </w:tc>
        <w:tc>
          <w:tcPr>
            <w:tcW w:w="1120" w:type="dxa"/>
            <w:vAlign w:val="center"/>
          </w:tcPr>
          <w:p>
            <w:pPr>
              <w:jc w:val="right"/>
            </w:pPr>
            <w:r>
              <w:rPr>
                <w:rFonts w:ascii="宋体" w:hAnsi="宋体" w:eastAsia="宋体" w:cs="宋体"/>
                <w:b w:val="0"/>
                <w:i w:val="0"/>
                <w:color w:val="000000"/>
                <w:sz w:val="16"/>
              </w:rPr>
              <w:t>19.80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1.29</w:t>
            </w:r>
          </w:p>
        </w:tc>
        <w:tc>
          <w:tcPr>
            <w:tcW w:w="1120" w:type="dxa"/>
            <w:vAlign w:val="center"/>
          </w:tcPr>
          <w:p>
            <w:pPr>
              <w:jc w:val="right"/>
            </w:pPr>
            <w:r>
              <w:rPr>
                <w:rFonts w:ascii="宋体" w:hAnsi="宋体" w:eastAsia="宋体" w:cs="宋体"/>
                <w:b w:val="0"/>
                <w:i w:val="0"/>
                <w:color w:val="000000"/>
                <w:sz w:val="16"/>
              </w:rPr>
              <w:t>1.29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1.29</w:t>
            </w:r>
          </w:p>
        </w:tc>
        <w:tc>
          <w:tcPr>
            <w:tcW w:w="1120" w:type="dxa"/>
            <w:vAlign w:val="center"/>
          </w:tcPr>
          <w:p>
            <w:pPr>
              <w:jc w:val="right"/>
            </w:pPr>
            <w:r>
              <w:rPr>
                <w:rFonts w:ascii="宋体" w:hAnsi="宋体" w:eastAsia="宋体" w:cs="宋体"/>
                <w:b w:val="0"/>
                <w:i w:val="0"/>
                <w:color w:val="000000"/>
                <w:sz w:val="16"/>
              </w:rPr>
              <w:t>1.29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18.51</w:t>
            </w:r>
          </w:p>
        </w:tc>
        <w:tc>
          <w:tcPr>
            <w:tcW w:w="1120" w:type="dxa"/>
            <w:vAlign w:val="center"/>
          </w:tcPr>
          <w:p>
            <w:pPr>
              <w:jc w:val="right"/>
            </w:pPr>
            <w:r>
              <w:rPr>
                <w:rFonts w:ascii="宋体" w:hAnsi="宋体" w:eastAsia="宋体" w:cs="宋体"/>
                <w:b w:val="0"/>
                <w:i w:val="0"/>
                <w:color w:val="000000"/>
                <w:sz w:val="16"/>
              </w:rPr>
              <w:t>18.51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18.11</w:t>
            </w:r>
          </w:p>
        </w:tc>
        <w:tc>
          <w:tcPr>
            <w:tcW w:w="1120" w:type="dxa"/>
            <w:vAlign w:val="center"/>
          </w:tcPr>
          <w:p>
            <w:pPr>
              <w:jc w:val="right"/>
            </w:pPr>
            <w:r>
              <w:rPr>
                <w:rFonts w:ascii="宋体" w:hAnsi="宋体" w:eastAsia="宋体" w:cs="宋体"/>
                <w:b w:val="0"/>
                <w:i w:val="0"/>
                <w:color w:val="000000"/>
                <w:sz w:val="16"/>
              </w:rPr>
              <w:t>18.11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0.40</w:t>
            </w:r>
          </w:p>
        </w:tc>
        <w:tc>
          <w:tcPr>
            <w:tcW w:w="1120" w:type="dxa"/>
            <w:vAlign w:val="center"/>
          </w:tcPr>
          <w:p>
            <w:pPr>
              <w:jc w:val="right"/>
            </w:pPr>
            <w:r>
              <w:rPr>
                <w:rFonts w:ascii="宋体" w:hAnsi="宋体" w:eastAsia="宋体" w:cs="宋体"/>
                <w:b w:val="0"/>
                <w:i w:val="0"/>
                <w:color w:val="000000"/>
                <w:sz w:val="16"/>
              </w:rPr>
              <w:t>0.40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40.35</w:t>
            </w:r>
          </w:p>
        </w:tc>
        <w:tc>
          <w:tcPr>
            <w:tcW w:w="1120" w:type="dxa"/>
            <w:vAlign w:val="center"/>
          </w:tcPr>
          <w:p>
            <w:pPr>
              <w:jc w:val="right"/>
            </w:pPr>
            <w:r>
              <w:rPr>
                <w:rFonts w:ascii="宋体" w:hAnsi="宋体" w:eastAsia="宋体" w:cs="宋体"/>
                <w:b w:val="0"/>
                <w:i w:val="0"/>
                <w:color w:val="000000"/>
                <w:sz w:val="16"/>
              </w:rPr>
              <w:t>40.35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40.35</w:t>
            </w:r>
          </w:p>
        </w:tc>
        <w:tc>
          <w:tcPr>
            <w:tcW w:w="1120" w:type="dxa"/>
            <w:vAlign w:val="center"/>
          </w:tcPr>
          <w:p>
            <w:pPr>
              <w:jc w:val="right"/>
            </w:pPr>
            <w:r>
              <w:rPr>
                <w:rFonts w:ascii="宋体" w:hAnsi="宋体" w:eastAsia="宋体" w:cs="宋体"/>
                <w:b w:val="0"/>
                <w:i w:val="0"/>
                <w:color w:val="000000"/>
                <w:sz w:val="16"/>
              </w:rPr>
              <w:t>40.35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40.35</w:t>
            </w:r>
          </w:p>
        </w:tc>
        <w:tc>
          <w:tcPr>
            <w:tcW w:w="1120" w:type="dxa"/>
            <w:vAlign w:val="center"/>
          </w:tcPr>
          <w:p>
            <w:pPr>
              <w:jc w:val="right"/>
            </w:pPr>
            <w:r>
              <w:rPr>
                <w:rFonts w:ascii="宋体" w:hAnsi="宋体" w:eastAsia="宋体" w:cs="宋体"/>
                <w:b w:val="0"/>
                <w:i w:val="0"/>
                <w:color w:val="000000"/>
                <w:sz w:val="16"/>
              </w:rPr>
              <w:t>40.35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单位：辽宁省盘锦市大洼区财政局（本级）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778.73</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634.84</w:t>
            </w:r>
          </w:p>
        </w:tc>
        <w:tc>
          <w:tcPr>
            <w:tcW w:w="1100" w:type="dxa"/>
            <w:vAlign w:val="center"/>
          </w:tcPr>
          <w:p>
            <w:pPr>
              <w:jc w:val="right"/>
            </w:pPr>
            <w:r>
              <w:rPr>
                <w:rFonts w:ascii="宋体" w:hAnsi="宋体" w:eastAsia="宋体" w:cs="宋体"/>
                <w:b w:val="0"/>
                <w:i w:val="0"/>
                <w:color w:val="000000"/>
                <w:sz w:val="14"/>
              </w:rPr>
              <w:t>634.84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83.74</w:t>
            </w:r>
          </w:p>
        </w:tc>
        <w:tc>
          <w:tcPr>
            <w:tcW w:w="1100" w:type="dxa"/>
            <w:vAlign w:val="center"/>
          </w:tcPr>
          <w:p>
            <w:pPr>
              <w:jc w:val="right"/>
            </w:pPr>
            <w:r>
              <w:rPr>
                <w:rFonts w:ascii="宋体" w:hAnsi="宋体" w:eastAsia="宋体" w:cs="宋体"/>
                <w:b w:val="0"/>
                <w:i w:val="0"/>
                <w:color w:val="000000"/>
                <w:sz w:val="14"/>
              </w:rPr>
              <w:t>83.74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19.80</w:t>
            </w:r>
          </w:p>
        </w:tc>
        <w:tc>
          <w:tcPr>
            <w:tcW w:w="1100" w:type="dxa"/>
            <w:vAlign w:val="center"/>
          </w:tcPr>
          <w:p>
            <w:pPr>
              <w:jc w:val="right"/>
            </w:pPr>
            <w:r>
              <w:rPr>
                <w:rFonts w:ascii="宋体" w:hAnsi="宋体" w:eastAsia="宋体" w:cs="宋体"/>
                <w:b w:val="0"/>
                <w:i w:val="0"/>
                <w:color w:val="000000"/>
                <w:sz w:val="14"/>
              </w:rPr>
              <w:t>19.80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40.35</w:t>
            </w:r>
          </w:p>
        </w:tc>
        <w:tc>
          <w:tcPr>
            <w:tcW w:w="1100" w:type="dxa"/>
            <w:vAlign w:val="center"/>
          </w:tcPr>
          <w:p>
            <w:pPr>
              <w:jc w:val="right"/>
            </w:pPr>
            <w:r>
              <w:rPr>
                <w:rFonts w:ascii="宋体" w:hAnsi="宋体" w:eastAsia="宋体" w:cs="宋体"/>
                <w:b w:val="0"/>
                <w:i w:val="0"/>
                <w:color w:val="000000"/>
                <w:sz w:val="14"/>
              </w:rPr>
              <w:t>40.35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778.73</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778.73</w:t>
            </w:r>
          </w:p>
        </w:tc>
        <w:tc>
          <w:tcPr>
            <w:tcW w:w="1100" w:type="dxa"/>
            <w:vAlign w:val="center"/>
          </w:tcPr>
          <w:p>
            <w:pPr>
              <w:jc w:val="right"/>
            </w:pPr>
            <w:r>
              <w:rPr>
                <w:rFonts w:ascii="宋体" w:hAnsi="宋体" w:eastAsia="宋体" w:cs="宋体"/>
                <w:b w:val="0"/>
                <w:i w:val="0"/>
                <w:color w:val="000000"/>
                <w:sz w:val="14"/>
              </w:rPr>
              <w:t>778.73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778.73</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778.73</w:t>
            </w:r>
          </w:p>
        </w:tc>
        <w:tc>
          <w:tcPr>
            <w:tcW w:w="1100" w:type="dxa"/>
            <w:vAlign w:val="center"/>
          </w:tcPr>
          <w:p>
            <w:pPr>
              <w:jc w:val="right"/>
            </w:pPr>
            <w:r>
              <w:rPr>
                <w:rFonts w:ascii="宋体" w:hAnsi="宋体" w:eastAsia="宋体" w:cs="宋体"/>
                <w:b w:val="0"/>
                <w:i w:val="0"/>
                <w:color w:val="000000"/>
                <w:sz w:val="14"/>
              </w:rPr>
              <w:t>778.73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单位：辽宁省盘锦市大洼区财政局（本级）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778.73</w:t>
            </w:r>
          </w:p>
        </w:tc>
        <w:tc>
          <w:tcPr>
            <w:tcW w:w="1980" w:type="dxa"/>
            <w:vAlign w:val="center"/>
          </w:tcPr>
          <w:p>
            <w:pPr>
              <w:jc w:val="right"/>
            </w:pPr>
            <w:r>
              <w:rPr>
                <w:rFonts w:ascii="宋体" w:hAnsi="宋体" w:eastAsia="宋体" w:cs="宋体"/>
                <w:b/>
                <w:i w:val="0"/>
                <w:color w:val="000000"/>
                <w:sz w:val="20"/>
              </w:rPr>
              <w:t>576.11</w:t>
            </w:r>
          </w:p>
        </w:tc>
        <w:tc>
          <w:tcPr>
            <w:tcW w:w="1952" w:type="dxa"/>
            <w:vAlign w:val="center"/>
          </w:tcPr>
          <w:p>
            <w:pPr>
              <w:jc w:val="right"/>
            </w:pPr>
            <w:r>
              <w:rPr>
                <w:rFonts w:ascii="宋体" w:hAnsi="宋体" w:eastAsia="宋体" w:cs="宋体"/>
                <w:b/>
                <w:i w:val="0"/>
                <w:color w:val="000000"/>
                <w:sz w:val="20"/>
              </w:rPr>
              <w:t>202.62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634.85</w:t>
            </w:r>
          </w:p>
        </w:tc>
        <w:tc>
          <w:tcPr>
            <w:tcW w:w="1980" w:type="dxa"/>
            <w:vAlign w:val="center"/>
          </w:tcPr>
          <w:p>
            <w:pPr>
              <w:jc w:val="right"/>
            </w:pPr>
            <w:r>
              <w:rPr>
                <w:rFonts w:ascii="宋体" w:hAnsi="宋体" w:eastAsia="宋体" w:cs="宋体"/>
                <w:b w:val="0"/>
                <w:i w:val="0"/>
                <w:color w:val="000000"/>
                <w:sz w:val="20"/>
              </w:rPr>
              <w:t>432.23</w:t>
            </w:r>
          </w:p>
        </w:tc>
        <w:tc>
          <w:tcPr>
            <w:tcW w:w="1952" w:type="dxa"/>
            <w:vAlign w:val="center"/>
          </w:tcPr>
          <w:p>
            <w:pPr>
              <w:jc w:val="right"/>
            </w:pPr>
            <w:r>
              <w:rPr>
                <w:rFonts w:ascii="宋体" w:hAnsi="宋体" w:eastAsia="宋体" w:cs="宋体"/>
                <w:b w:val="0"/>
                <w:i w:val="0"/>
                <w:color w:val="000000"/>
                <w:sz w:val="20"/>
              </w:rPr>
              <w:t>202.62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w:t>
            </w:r>
          </w:p>
        </w:tc>
        <w:tc>
          <w:tcPr>
            <w:tcW w:w="3900" w:type="dxa"/>
            <w:vAlign w:val="center"/>
          </w:tcPr>
          <w:p>
            <w:pPr>
              <w:jc w:val="left"/>
            </w:pPr>
            <w:r>
              <w:rPr>
                <w:rFonts w:ascii="宋体" w:hAnsi="宋体" w:eastAsia="宋体" w:cs="宋体"/>
                <w:b w:val="0"/>
                <w:i w:val="0"/>
                <w:color w:val="000000"/>
                <w:sz w:val="20"/>
              </w:rPr>
              <w:t>财政事务</w:t>
            </w:r>
          </w:p>
        </w:tc>
        <w:tc>
          <w:tcPr>
            <w:tcW w:w="1980" w:type="dxa"/>
            <w:vAlign w:val="center"/>
          </w:tcPr>
          <w:p>
            <w:pPr>
              <w:jc w:val="right"/>
            </w:pPr>
            <w:r>
              <w:rPr>
                <w:rFonts w:ascii="宋体" w:hAnsi="宋体" w:eastAsia="宋体" w:cs="宋体"/>
                <w:b w:val="0"/>
                <w:i w:val="0"/>
                <w:color w:val="000000"/>
                <w:sz w:val="20"/>
              </w:rPr>
              <w:t>634.85</w:t>
            </w:r>
          </w:p>
        </w:tc>
        <w:tc>
          <w:tcPr>
            <w:tcW w:w="1980" w:type="dxa"/>
            <w:vAlign w:val="center"/>
          </w:tcPr>
          <w:p>
            <w:pPr>
              <w:jc w:val="right"/>
            </w:pPr>
            <w:r>
              <w:rPr>
                <w:rFonts w:ascii="宋体" w:hAnsi="宋体" w:eastAsia="宋体" w:cs="宋体"/>
                <w:b w:val="0"/>
                <w:i w:val="0"/>
                <w:color w:val="000000"/>
                <w:sz w:val="20"/>
              </w:rPr>
              <w:t>432.23</w:t>
            </w:r>
          </w:p>
        </w:tc>
        <w:tc>
          <w:tcPr>
            <w:tcW w:w="1952" w:type="dxa"/>
            <w:vAlign w:val="center"/>
          </w:tcPr>
          <w:p>
            <w:pPr>
              <w:jc w:val="right"/>
            </w:pPr>
            <w:r>
              <w:rPr>
                <w:rFonts w:ascii="宋体" w:hAnsi="宋体" w:eastAsia="宋体" w:cs="宋体"/>
                <w:b w:val="0"/>
                <w:i w:val="0"/>
                <w:color w:val="000000"/>
                <w:sz w:val="20"/>
              </w:rPr>
              <w:t>202.62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432.23</w:t>
            </w:r>
          </w:p>
        </w:tc>
        <w:tc>
          <w:tcPr>
            <w:tcW w:w="1980" w:type="dxa"/>
            <w:vAlign w:val="center"/>
          </w:tcPr>
          <w:p>
            <w:pPr>
              <w:jc w:val="right"/>
            </w:pPr>
            <w:r>
              <w:rPr>
                <w:rFonts w:ascii="宋体" w:hAnsi="宋体" w:eastAsia="宋体" w:cs="宋体"/>
                <w:b w:val="0"/>
                <w:i w:val="0"/>
                <w:color w:val="000000"/>
                <w:sz w:val="20"/>
              </w:rPr>
              <w:t>432.23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2010602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202.62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83.74</w:t>
            </w:r>
          </w:p>
        </w:tc>
        <w:tc>
          <w:tcPr>
            <w:tcW w:w="1980" w:type="dxa"/>
            <w:vAlign w:val="center"/>
          </w:tcPr>
          <w:p>
            <w:pPr>
              <w:jc w:val="right"/>
            </w:pPr>
            <w:r>
              <w:rPr>
                <w:rFonts w:ascii="宋体" w:hAnsi="宋体" w:eastAsia="宋体" w:cs="宋体"/>
                <w:b w:val="0"/>
                <w:i w:val="0"/>
                <w:color w:val="000000"/>
                <w:sz w:val="20"/>
              </w:rPr>
              <w:t>83.74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64.83</w:t>
            </w:r>
          </w:p>
        </w:tc>
        <w:tc>
          <w:tcPr>
            <w:tcW w:w="1980" w:type="dxa"/>
            <w:vAlign w:val="center"/>
          </w:tcPr>
          <w:p>
            <w:pPr>
              <w:jc w:val="right"/>
            </w:pPr>
            <w:r>
              <w:rPr>
                <w:rFonts w:ascii="宋体" w:hAnsi="宋体" w:eastAsia="宋体" w:cs="宋体"/>
                <w:b w:val="0"/>
                <w:i w:val="0"/>
                <w:color w:val="000000"/>
                <w:sz w:val="20"/>
              </w:rPr>
              <w:t>64.83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11.16</w:t>
            </w:r>
          </w:p>
        </w:tc>
        <w:tc>
          <w:tcPr>
            <w:tcW w:w="1980" w:type="dxa"/>
            <w:vAlign w:val="center"/>
          </w:tcPr>
          <w:p>
            <w:pPr>
              <w:jc w:val="right"/>
            </w:pPr>
            <w:r>
              <w:rPr>
                <w:rFonts w:ascii="宋体" w:hAnsi="宋体" w:eastAsia="宋体" w:cs="宋体"/>
                <w:b w:val="0"/>
                <w:i w:val="0"/>
                <w:color w:val="000000"/>
                <w:sz w:val="20"/>
              </w:rPr>
              <w:t>11.16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48.61</w:t>
            </w:r>
          </w:p>
        </w:tc>
        <w:tc>
          <w:tcPr>
            <w:tcW w:w="1980" w:type="dxa"/>
            <w:vAlign w:val="center"/>
          </w:tcPr>
          <w:p>
            <w:pPr>
              <w:jc w:val="right"/>
            </w:pPr>
            <w:r>
              <w:rPr>
                <w:rFonts w:ascii="宋体" w:hAnsi="宋体" w:eastAsia="宋体" w:cs="宋体"/>
                <w:b w:val="0"/>
                <w:i w:val="0"/>
                <w:color w:val="000000"/>
                <w:sz w:val="20"/>
              </w:rPr>
              <w:t>48.61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5.06</w:t>
            </w:r>
          </w:p>
        </w:tc>
        <w:tc>
          <w:tcPr>
            <w:tcW w:w="1980" w:type="dxa"/>
            <w:vAlign w:val="center"/>
          </w:tcPr>
          <w:p>
            <w:pPr>
              <w:jc w:val="right"/>
            </w:pPr>
            <w:r>
              <w:rPr>
                <w:rFonts w:ascii="宋体" w:hAnsi="宋体" w:eastAsia="宋体" w:cs="宋体"/>
                <w:b w:val="0"/>
                <w:i w:val="0"/>
                <w:color w:val="000000"/>
                <w:sz w:val="20"/>
              </w:rPr>
              <w:t>5.06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17.81</w:t>
            </w:r>
          </w:p>
        </w:tc>
        <w:tc>
          <w:tcPr>
            <w:tcW w:w="1980" w:type="dxa"/>
            <w:vAlign w:val="center"/>
          </w:tcPr>
          <w:p>
            <w:pPr>
              <w:jc w:val="right"/>
            </w:pPr>
            <w:r>
              <w:rPr>
                <w:rFonts w:ascii="宋体" w:hAnsi="宋体" w:eastAsia="宋体" w:cs="宋体"/>
                <w:b w:val="0"/>
                <w:i w:val="0"/>
                <w:color w:val="000000"/>
                <w:sz w:val="20"/>
              </w:rPr>
              <w:t>17.81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17.81</w:t>
            </w:r>
          </w:p>
        </w:tc>
        <w:tc>
          <w:tcPr>
            <w:tcW w:w="1980" w:type="dxa"/>
            <w:vAlign w:val="center"/>
          </w:tcPr>
          <w:p>
            <w:pPr>
              <w:jc w:val="right"/>
            </w:pPr>
            <w:r>
              <w:rPr>
                <w:rFonts w:ascii="宋体" w:hAnsi="宋体" w:eastAsia="宋体" w:cs="宋体"/>
                <w:b w:val="0"/>
                <w:i w:val="0"/>
                <w:color w:val="000000"/>
                <w:sz w:val="20"/>
              </w:rPr>
              <w:t>17.81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1.10</w:t>
            </w:r>
          </w:p>
        </w:tc>
        <w:tc>
          <w:tcPr>
            <w:tcW w:w="1980" w:type="dxa"/>
            <w:vAlign w:val="center"/>
          </w:tcPr>
          <w:p>
            <w:pPr>
              <w:jc w:val="right"/>
            </w:pPr>
            <w:r>
              <w:rPr>
                <w:rFonts w:ascii="宋体" w:hAnsi="宋体" w:eastAsia="宋体" w:cs="宋体"/>
                <w:b w:val="0"/>
                <w:i w:val="0"/>
                <w:color w:val="000000"/>
                <w:sz w:val="20"/>
              </w:rPr>
              <w:t>1.10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1.10</w:t>
            </w:r>
          </w:p>
        </w:tc>
        <w:tc>
          <w:tcPr>
            <w:tcW w:w="1980" w:type="dxa"/>
            <w:vAlign w:val="center"/>
          </w:tcPr>
          <w:p>
            <w:pPr>
              <w:jc w:val="right"/>
            </w:pPr>
            <w:r>
              <w:rPr>
                <w:rFonts w:ascii="宋体" w:hAnsi="宋体" w:eastAsia="宋体" w:cs="宋体"/>
                <w:b w:val="0"/>
                <w:i w:val="0"/>
                <w:color w:val="000000"/>
                <w:sz w:val="20"/>
              </w:rPr>
              <w:t>1.10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19.80</w:t>
            </w:r>
          </w:p>
        </w:tc>
        <w:tc>
          <w:tcPr>
            <w:tcW w:w="1980" w:type="dxa"/>
            <w:vAlign w:val="center"/>
          </w:tcPr>
          <w:p>
            <w:pPr>
              <w:jc w:val="right"/>
            </w:pPr>
            <w:r>
              <w:rPr>
                <w:rFonts w:ascii="宋体" w:hAnsi="宋体" w:eastAsia="宋体" w:cs="宋体"/>
                <w:b w:val="0"/>
                <w:i w:val="0"/>
                <w:color w:val="000000"/>
                <w:sz w:val="20"/>
              </w:rPr>
              <w:t>19.80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1.29</w:t>
            </w:r>
          </w:p>
        </w:tc>
        <w:tc>
          <w:tcPr>
            <w:tcW w:w="1980" w:type="dxa"/>
            <w:vAlign w:val="center"/>
          </w:tcPr>
          <w:p>
            <w:pPr>
              <w:jc w:val="right"/>
            </w:pPr>
            <w:r>
              <w:rPr>
                <w:rFonts w:ascii="宋体" w:hAnsi="宋体" w:eastAsia="宋体" w:cs="宋体"/>
                <w:b w:val="0"/>
                <w:i w:val="0"/>
                <w:color w:val="000000"/>
                <w:sz w:val="20"/>
              </w:rPr>
              <w:t>1.29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1.29</w:t>
            </w:r>
          </w:p>
        </w:tc>
        <w:tc>
          <w:tcPr>
            <w:tcW w:w="1980" w:type="dxa"/>
            <w:vAlign w:val="center"/>
          </w:tcPr>
          <w:p>
            <w:pPr>
              <w:jc w:val="right"/>
            </w:pPr>
            <w:r>
              <w:rPr>
                <w:rFonts w:ascii="宋体" w:hAnsi="宋体" w:eastAsia="宋体" w:cs="宋体"/>
                <w:b w:val="0"/>
                <w:i w:val="0"/>
                <w:color w:val="000000"/>
                <w:sz w:val="20"/>
              </w:rPr>
              <w:t>1.29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18.51</w:t>
            </w:r>
          </w:p>
        </w:tc>
        <w:tc>
          <w:tcPr>
            <w:tcW w:w="1980" w:type="dxa"/>
            <w:vAlign w:val="center"/>
          </w:tcPr>
          <w:p>
            <w:pPr>
              <w:jc w:val="right"/>
            </w:pPr>
            <w:r>
              <w:rPr>
                <w:rFonts w:ascii="宋体" w:hAnsi="宋体" w:eastAsia="宋体" w:cs="宋体"/>
                <w:b w:val="0"/>
                <w:i w:val="0"/>
                <w:color w:val="000000"/>
                <w:sz w:val="20"/>
              </w:rPr>
              <w:t>18.51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18.11</w:t>
            </w:r>
          </w:p>
        </w:tc>
        <w:tc>
          <w:tcPr>
            <w:tcW w:w="1980" w:type="dxa"/>
            <w:vAlign w:val="center"/>
          </w:tcPr>
          <w:p>
            <w:pPr>
              <w:jc w:val="right"/>
            </w:pPr>
            <w:r>
              <w:rPr>
                <w:rFonts w:ascii="宋体" w:hAnsi="宋体" w:eastAsia="宋体" w:cs="宋体"/>
                <w:b w:val="0"/>
                <w:i w:val="0"/>
                <w:color w:val="000000"/>
                <w:sz w:val="20"/>
              </w:rPr>
              <w:t>18.11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0.40</w:t>
            </w:r>
          </w:p>
        </w:tc>
        <w:tc>
          <w:tcPr>
            <w:tcW w:w="1980" w:type="dxa"/>
            <w:vAlign w:val="center"/>
          </w:tcPr>
          <w:p>
            <w:pPr>
              <w:jc w:val="right"/>
            </w:pPr>
            <w:r>
              <w:rPr>
                <w:rFonts w:ascii="宋体" w:hAnsi="宋体" w:eastAsia="宋体" w:cs="宋体"/>
                <w:b w:val="0"/>
                <w:i w:val="0"/>
                <w:color w:val="000000"/>
                <w:sz w:val="20"/>
              </w:rPr>
              <w:t>0.40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40.35</w:t>
            </w:r>
          </w:p>
        </w:tc>
        <w:tc>
          <w:tcPr>
            <w:tcW w:w="1980" w:type="dxa"/>
            <w:vAlign w:val="center"/>
          </w:tcPr>
          <w:p>
            <w:pPr>
              <w:jc w:val="right"/>
            </w:pPr>
            <w:r>
              <w:rPr>
                <w:rFonts w:ascii="宋体" w:hAnsi="宋体" w:eastAsia="宋体" w:cs="宋体"/>
                <w:b w:val="0"/>
                <w:i w:val="0"/>
                <w:color w:val="000000"/>
                <w:sz w:val="20"/>
              </w:rPr>
              <w:t>40.35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40.35</w:t>
            </w:r>
          </w:p>
        </w:tc>
        <w:tc>
          <w:tcPr>
            <w:tcW w:w="1980" w:type="dxa"/>
            <w:vAlign w:val="center"/>
          </w:tcPr>
          <w:p>
            <w:pPr>
              <w:jc w:val="right"/>
            </w:pPr>
            <w:r>
              <w:rPr>
                <w:rFonts w:ascii="宋体" w:hAnsi="宋体" w:eastAsia="宋体" w:cs="宋体"/>
                <w:b w:val="0"/>
                <w:i w:val="0"/>
                <w:color w:val="000000"/>
                <w:sz w:val="20"/>
              </w:rPr>
              <w:t>40.35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40.35</w:t>
            </w:r>
          </w:p>
        </w:tc>
        <w:tc>
          <w:tcPr>
            <w:tcW w:w="1980" w:type="dxa"/>
            <w:vAlign w:val="center"/>
          </w:tcPr>
          <w:p>
            <w:pPr>
              <w:jc w:val="right"/>
            </w:pPr>
            <w:r>
              <w:rPr>
                <w:rFonts w:ascii="宋体" w:hAnsi="宋体" w:eastAsia="宋体" w:cs="宋体"/>
                <w:b w:val="0"/>
                <w:i w:val="0"/>
                <w:color w:val="000000"/>
                <w:sz w:val="20"/>
              </w:rPr>
              <w:t>40.35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单位：辽宁省盘锦市大洼区财政局（本级）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431.33</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114.49</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163.86</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8.56</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92.30</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1.63</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61.54</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1.95</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48.61</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12.01</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5.06</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2.14</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18.11</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pPr>
              <w:jc w:val="right"/>
            </w:pPr>
            <w:r>
              <w:rPr>
                <w:rFonts w:ascii="宋体" w:hAnsi="宋体" w:eastAsia="宋体" w:cs="宋体"/>
                <w:b w:val="0"/>
                <w:i w:val="0"/>
                <w:color w:val="000000"/>
                <w:sz w:val="14"/>
              </w:rPr>
              <w:t>52.17</w:t>
            </w: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1.50</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0.69</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40.35</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1.90</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30.30</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10.86</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17.81</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1.29</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0.20</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0.29</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1.69</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29.23</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0.04</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2.32</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461.63</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114.49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单位：辽宁省盘锦市大洼区财政局（本级）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单位：辽宁省盘锦市大洼区财政局（本级）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单位：辽宁省盘锦市大洼区财政局（本级）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015001盘锦市大洼区财政局本级-211104000</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0.16</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65.72</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402.02</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32.4</w:t>
            </w: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保障单位全年正常运转</w:t>
            </w:r>
          </w:p>
        </w:tc>
      </w:tr>
      <w:tr>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服务对象满意度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政府直属部门职工总体满意度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绩效管理</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22B75A7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c51af466-704e-4f8e-b426-d5ad897d393a}">
  <ds:schemaRefs/>
</ds:datastoreItem>
</file>

<file path=customXml/itemProps2.xml><?xml version="1.0" encoding="utf-8"?>
<ds:datastoreItem xmlns:ds="http://schemas.openxmlformats.org/officeDocument/2006/customXml" ds:itemID="{2fb2d696-2f96-42ea-86a3-8f7b09f80c14}">
  <ds:schemaRefs/>
</ds:datastoreItem>
</file>

<file path=customXml/itemProps3.xml><?xml version="1.0" encoding="utf-8"?>
<ds:datastoreItem xmlns:ds="http://schemas.openxmlformats.org/officeDocument/2006/customXml" ds:itemID="{e661752b-0702-47a1-b80c-e24c3bc790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2024-12-15T07:10:47Z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