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辽宁省盘锦市城市管理综合行政执法支队大洼大队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辽宁省盘锦市城市管理综合行政执法支队大洼大队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辽宁省盘锦市城市管理综合行政执法支队大洼大队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辽宁省盘锦市城市管理综合行政执法支队大洼大队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辽宁省盘锦市城市管理综合行政执法支队大洼大队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辽宁省盘锦市城市管理综合行政执法支队大洼大队概况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（1）主要职能</w:t>
        <w:br/>
        <w:t xml:space="preserve">    （一）参与研究国家、省、市、区有关城市管理综合执法的方针政策和法律法规；为拟定全区城市管理执法相关的地方性法规、政府规章、规范性文件及制度规定提出建议。</w:t>
        <w:br/>
        <w:t xml:space="preserve">    （二）负责督促检查城镇规划区内“门前四包”责任制的签订与落实工作。</w:t>
        <w:br/>
        <w:t xml:space="preserve">    （三）负责城市建设规划部门审批的建设工程项目违法建设行为行使行政处罚权的具体实施工作。</w:t>
        <w:br/>
        <w:t xml:space="preserve">    （四）负责行使住建领域建设市场方面、施工场地扬尘污染、施工场地噪声污染、建筑工程施工许可和招标投标、建设工程安全生产和质量等行使行政处罚权的具体实施工作。</w:t>
        <w:br/>
        <w:t xml:space="preserve">    （五）负责行使建筑垃圾和施工渣土运输管理方面行政处罚权的具体实施工作。</w:t>
        <w:br/>
        <w:t xml:space="preserve">    （六）负责城市绿化、市政管理、无照商贩管理、公安交通管理、房产管理、供暖、供水、燃气管理、物业管理、部分殡葬管理、卫生管理方面行使行政处罚权的具体实施工作。</w:t>
        <w:br/>
        <w:t xml:space="preserve">    （七）承办盘锦市城市管理综合行政执法局大洼分局交办的其他工作。</w:t>
        <w:br/>
        <w:t xml:space="preserve">    （2）机构情况，包括当年变动情况及原因</w:t>
        <w:br/>
        <w:t xml:space="preserve">    盘锦市城市管理综合行政执法支队大洼大队内设机构5个：大队办公室、政策法规室、执法督查室、业务指导室、数字化城管指挥室。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辽宁省盘锦市城市管理综合行政执法支队大洼大队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盘锦市城市管理综合行政执法支队大洼大队。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991.33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98.47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15.13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1.53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主要是王家中队购入一台执法车辆，经费由王家街道提供等收入。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增加95.80万元，增长10.70%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人员基础绩效工资增加，项目增加，支出增加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991.33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工资福利支出925.61万元；商品和服务支出49.27万元；对个人和家庭的补助1.26万元；资本性支出0.06万元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15.13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主要包括王家中队购入一台执法车辆等业务支出。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增加95.79万元，增长10.70%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人员基础绩效工资增加，项目增加，支出增加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增加80.66万元，增长9.01%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基础绩效奖、下乡补助的开支、补退休人员职业年金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107.65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2023年度一般公共预算财政拨款支出976.20万元。按支出功能分类科目分，包括：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1.社会保障和就业支出127.31万元，具体包括：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（1）社会保障和就业支出（类）行政事业单位养老支出（款）事业单位离退休（项）0.98万元,主要是退休人员取暖费、独生子女费等支出，完成年初预算的100%，决算数与年初预算数存在差异的主要原因是无。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102.47万元,主要是单位全体职工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22.64万元,主要是单位全体职工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1.22万元,主要是单位全体职工工伤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2.卫生健康支出41.37万元，具体包括：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（1）卫生健康支出（类）行政事业单位医疗（款）事业单位医疗（项）40.86万元,主要是单位全体职工医疗保险缴费等支出，完成年初预算的100%，决算数与年初预算数存在差异的主要原因是无。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（2）卫生健康支出（类）行政事业单位医疗（款）其他行政事业单位医疗支出（项）0.51万元,主要是大额医疗保险缴费等支出，完成年初预算的100%，决算数与年初预算数存在差异的主要原因是无。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3.城乡社区支出730.75万元，具体包括：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（1）城乡社区支出（类）城乡社区管理事务（款）城管执法（项）730.75万元,主要是单位人员经费和办公经费等支出，完成年初预算的100%，决算数与年初预算数存在差异的主要原因是无。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4.住房保障支出76.77万元，具体包括：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（1）住房保障支出（类）住房改革支出（款）住房公积金（项）76.77万元,主要是单位全体职工住房公积金缴费等支出，完成年初预算的100%，决算数与年初预算数存在差异的主要原因是无。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23.39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77.97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23.39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23.39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77.97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比上年减少12.07万元，降低34.04%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上年因工作原因购入两台执法车辆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23.39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主要用于执法车辆加油和维护保养支出等，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976.20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926.87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49.33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13</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16.社会保障和就业支出，具体包括：</w:t>
        <w:br/>
        <w:t xml:space="preserve">    （1）社会保障和就业支出（类）行政事业单位养老支出（款）事业单位离退休（项）：主要是退休人员取暖费、独生子女费等支出。</w:t>
        <w:br/>
        <w:t xml:space="preserve">    （2）社会保障和就业支出（类）行政事业单位养老支出（款）机关事业单位基本养老保险缴费支出（项）：主要是单位全体职工基本养老保险缴费等支出。</w:t>
        <w:br/>
        <w:t xml:space="preserve">    （3）社会保障和就业支出（类）行政事业单位养老支出（款）机关事业单位职业年金缴费支出（项）：主要是单位全体职工职业年金缴费等支出。</w:t>
        <w:br/>
        <w:t xml:space="preserve">    （4）社会保障和就业支出（类）其他社会保障和就业支出（款）其他社会保障和就业支出（项）：主要是单位全体职工工伤保险缴费等支出。</w:t>
        <w:br/>
        <w:t xml:space="preserve">    17.卫生健康支出，具体包括：</w:t>
        <w:br/>
        <w:t xml:space="preserve">    （1）卫生健康支出（类）行政事业单位医疗（款）事业单位医疗（项）：主要是单位全体职工医疗保险缴费等支出。</w:t>
        <w:br/>
        <w:t xml:space="preserve">    （2）卫生健康支出（类）行政事业单位医疗（款）其他行政事业单位医疗支出（项）：主要是大额医疗保险缴费等支出。</w:t>
        <w:br/>
        <w:t xml:space="preserve">    18.城乡社区支出，具体包括：</w:t>
        <w:br/>
        <w:t xml:space="preserve">    （1）城乡社区支出（类）城乡社区管理事务（款）城管执法（项）：主要是单位人员经费和办公经费等支出。</w:t>
        <w:br/>
        <w:t xml:space="preserve">    19.住房保障支出，具体包括：</w:t>
        <w:br/>
        <w:t xml:space="preserve">    （1）住房保障支出（类）住房改革支出（款）住房公积金（项）：主要是单位全体职工住房公积金缴费等支出。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976.20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15.13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127.31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41.37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745.88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76.77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991.33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991.33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991.33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991.33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991.33</w:t>
            </w:r>
          </w:p>
        </w:tc>
        <w:tc>
          <w:tcPr>
            <w:tcW w:w="1160" w:type="dxa"/>
            <w:tcBorders/>
            <w:vAlign w:val="center"/>
          </w:tcPr>
          <w:p>
            <w:pPr>
              <w:jc w:val="right"/>
            </w:pPr>
            <w:r>
              <w:rPr>
                <w:rFonts w:ascii="宋体" w:eastAsia="宋体" w:hAnsi="宋体" w:cs="宋体"/>
                <w:b/>
                <w:i w:val="0"/>
                <w:color w:val="000000"/>
                <w:sz w:val="14"/>
              </w:rPr>
              <w:t xml:space="preserve">976.20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15.13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127.31</w:t>
            </w:r>
          </w:p>
        </w:tc>
        <w:tc>
          <w:tcPr>
            <w:tcW w:w="1160" w:type="dxa"/>
            <w:tcBorders/>
            <w:vAlign w:val="center"/>
          </w:tcPr>
          <w:p>
            <w:pPr>
              <w:jc w:val="right"/>
            </w:pPr>
            <w:r>
              <w:rPr>
                <w:rFonts w:ascii="宋体" w:eastAsia="宋体" w:hAnsi="宋体" w:cs="宋体"/>
                <w:b w:val="0"/>
                <w:i w:val="0"/>
                <w:color w:val="000000"/>
                <w:sz w:val="14"/>
              </w:rPr>
              <w:t xml:space="preserve">127.31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126.09</w:t>
            </w:r>
          </w:p>
        </w:tc>
        <w:tc>
          <w:tcPr>
            <w:tcW w:w="1160" w:type="dxa"/>
            <w:tcBorders/>
            <w:vAlign w:val="center"/>
          </w:tcPr>
          <w:p>
            <w:pPr>
              <w:jc w:val="right"/>
            </w:pPr>
            <w:r>
              <w:rPr>
                <w:rFonts w:ascii="宋体" w:eastAsia="宋体" w:hAnsi="宋体" w:cs="宋体"/>
                <w:b w:val="0"/>
                <w:i w:val="0"/>
                <w:color w:val="000000"/>
                <w:sz w:val="14"/>
              </w:rPr>
              <w:t xml:space="preserve">126.09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102.47</w:t>
            </w:r>
          </w:p>
        </w:tc>
        <w:tc>
          <w:tcPr>
            <w:tcW w:w="1160" w:type="dxa"/>
            <w:tcBorders/>
            <w:vAlign w:val="center"/>
          </w:tcPr>
          <w:p>
            <w:pPr>
              <w:jc w:val="right"/>
            </w:pPr>
            <w:r>
              <w:rPr>
                <w:rFonts w:ascii="宋体" w:eastAsia="宋体" w:hAnsi="宋体" w:cs="宋体"/>
                <w:b w:val="0"/>
                <w:i w:val="0"/>
                <w:color w:val="000000"/>
                <w:sz w:val="14"/>
              </w:rPr>
              <w:t xml:space="preserve">102.47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22.64</w:t>
            </w:r>
          </w:p>
        </w:tc>
        <w:tc>
          <w:tcPr>
            <w:tcW w:w="1160" w:type="dxa"/>
            <w:tcBorders/>
            <w:vAlign w:val="center"/>
          </w:tcPr>
          <w:p>
            <w:pPr>
              <w:jc w:val="right"/>
            </w:pPr>
            <w:r>
              <w:rPr>
                <w:rFonts w:ascii="宋体" w:eastAsia="宋体" w:hAnsi="宋体" w:cs="宋体"/>
                <w:b w:val="0"/>
                <w:i w:val="0"/>
                <w:color w:val="000000"/>
                <w:sz w:val="14"/>
              </w:rPr>
              <w:t xml:space="preserve">22.64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41.37</w:t>
            </w:r>
          </w:p>
        </w:tc>
        <w:tc>
          <w:tcPr>
            <w:tcW w:w="1160" w:type="dxa"/>
            <w:tcBorders/>
            <w:vAlign w:val="center"/>
          </w:tcPr>
          <w:p>
            <w:pPr>
              <w:jc w:val="right"/>
            </w:pPr>
            <w:r>
              <w:rPr>
                <w:rFonts w:ascii="宋体" w:eastAsia="宋体" w:hAnsi="宋体" w:cs="宋体"/>
                <w:b w:val="0"/>
                <w:i w:val="0"/>
                <w:color w:val="000000"/>
                <w:sz w:val="14"/>
              </w:rPr>
              <w:t xml:space="preserve">41.37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41.37</w:t>
            </w:r>
          </w:p>
        </w:tc>
        <w:tc>
          <w:tcPr>
            <w:tcW w:w="1160" w:type="dxa"/>
            <w:tcBorders/>
            <w:vAlign w:val="center"/>
          </w:tcPr>
          <w:p>
            <w:pPr>
              <w:jc w:val="right"/>
            </w:pPr>
            <w:r>
              <w:rPr>
                <w:rFonts w:ascii="宋体" w:eastAsia="宋体" w:hAnsi="宋体" w:cs="宋体"/>
                <w:b w:val="0"/>
                <w:i w:val="0"/>
                <w:color w:val="000000"/>
                <w:sz w:val="14"/>
              </w:rPr>
              <w:t xml:space="preserve">41.37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40.86</w:t>
            </w:r>
          </w:p>
        </w:tc>
        <w:tc>
          <w:tcPr>
            <w:tcW w:w="1160" w:type="dxa"/>
            <w:tcBorders/>
            <w:vAlign w:val="center"/>
          </w:tcPr>
          <w:p>
            <w:pPr>
              <w:jc w:val="right"/>
            </w:pPr>
            <w:r>
              <w:rPr>
                <w:rFonts w:ascii="宋体" w:eastAsia="宋体" w:hAnsi="宋体" w:cs="宋体"/>
                <w:b w:val="0"/>
                <w:i w:val="0"/>
                <w:color w:val="000000"/>
                <w:sz w:val="14"/>
              </w:rPr>
              <w:t xml:space="preserve">40.86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745.88</w:t>
            </w:r>
          </w:p>
        </w:tc>
        <w:tc>
          <w:tcPr>
            <w:tcW w:w="1160" w:type="dxa"/>
            <w:tcBorders/>
            <w:vAlign w:val="center"/>
          </w:tcPr>
          <w:p>
            <w:pPr>
              <w:jc w:val="right"/>
            </w:pPr>
            <w:r>
              <w:rPr>
                <w:rFonts w:ascii="宋体" w:eastAsia="宋体" w:hAnsi="宋体" w:cs="宋体"/>
                <w:b w:val="0"/>
                <w:i w:val="0"/>
                <w:color w:val="000000"/>
                <w:sz w:val="14"/>
              </w:rPr>
              <w:t xml:space="preserve">730.75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745.88</w:t>
            </w:r>
          </w:p>
        </w:tc>
        <w:tc>
          <w:tcPr>
            <w:tcW w:w="1160" w:type="dxa"/>
            <w:tcBorders/>
            <w:vAlign w:val="center"/>
          </w:tcPr>
          <w:p>
            <w:pPr>
              <w:jc w:val="right"/>
            </w:pPr>
            <w:r>
              <w:rPr>
                <w:rFonts w:ascii="宋体" w:eastAsia="宋体" w:hAnsi="宋体" w:cs="宋体"/>
                <w:b w:val="0"/>
                <w:i w:val="0"/>
                <w:color w:val="000000"/>
                <w:sz w:val="14"/>
              </w:rPr>
              <w:t xml:space="preserve">730.75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745.88</w:t>
            </w:r>
          </w:p>
        </w:tc>
        <w:tc>
          <w:tcPr>
            <w:tcW w:w="1160" w:type="dxa"/>
            <w:tcBorders/>
            <w:vAlign w:val="center"/>
          </w:tcPr>
          <w:p>
            <w:pPr>
              <w:jc w:val="right"/>
            </w:pPr>
            <w:r>
              <w:rPr>
                <w:rFonts w:ascii="宋体" w:eastAsia="宋体" w:hAnsi="宋体" w:cs="宋体"/>
                <w:b w:val="0"/>
                <w:i w:val="0"/>
                <w:color w:val="000000"/>
                <w:sz w:val="14"/>
              </w:rPr>
              <w:t xml:space="preserve">730.75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jc w:val="right"/>
            </w:pPr>
            <w:r>
              <w:rPr>
                <w:rFonts w:ascii="宋体" w:eastAsia="宋体" w:hAnsi="宋体" w:cs="宋体"/>
                <w:b w:val="0"/>
                <w:i w:val="0"/>
                <w:color w:val="000000"/>
                <w:sz w:val="14"/>
              </w:rPr>
              <w:t xml:space="preserve">76.77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991.33</w:t>
            </w:r>
          </w:p>
        </w:tc>
        <w:tc>
          <w:tcPr>
            <w:tcW w:w="1120" w:type="dxa"/>
            <w:tcBorders/>
            <w:vAlign w:val="center"/>
          </w:tcPr>
          <w:p>
            <w:pPr>
              <w:jc w:val="right"/>
            </w:pPr>
            <w:r>
              <w:rPr>
                <w:rFonts w:ascii="宋体" w:eastAsia="宋体" w:hAnsi="宋体" w:cs="宋体"/>
                <w:b/>
                <w:i w:val="0"/>
                <w:color w:val="000000"/>
                <w:sz w:val="16"/>
              </w:rPr>
              <w:t xml:space="preserve">976.20</w:t>
            </w:r>
          </w:p>
        </w:tc>
        <w:tc>
          <w:tcPr>
            <w:tcW w:w="1120" w:type="dxa"/>
            <w:tcBorders/>
            <w:vAlign w:val="center"/>
          </w:tcPr>
          <w:p>
            <w:pPr>
              <w:jc w:val="right"/>
            </w:pPr>
            <w:r>
              <w:rPr>
                <w:rFonts w:ascii="宋体" w:eastAsia="宋体" w:hAnsi="宋体" w:cs="宋体"/>
                <w:b/>
                <w:i w:val="0"/>
                <w:color w:val="000000"/>
                <w:sz w:val="16"/>
              </w:rPr>
              <w:t xml:space="preserve">15.13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127.31</w:t>
            </w:r>
          </w:p>
        </w:tc>
        <w:tc>
          <w:tcPr>
            <w:tcW w:w="1120" w:type="dxa"/>
            <w:tcBorders/>
            <w:vAlign w:val="center"/>
          </w:tcPr>
          <w:p>
            <w:pPr>
              <w:jc w:val="right"/>
            </w:pPr>
            <w:r>
              <w:rPr>
                <w:rFonts w:ascii="宋体" w:eastAsia="宋体" w:hAnsi="宋体" w:cs="宋体"/>
                <w:b w:val="0"/>
                <w:i w:val="0"/>
                <w:color w:val="000000"/>
                <w:sz w:val="16"/>
              </w:rPr>
              <w:t xml:space="preserve">127.31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126.09</w:t>
            </w:r>
          </w:p>
        </w:tc>
        <w:tc>
          <w:tcPr>
            <w:tcW w:w="1120" w:type="dxa"/>
            <w:tcBorders/>
            <w:vAlign w:val="center"/>
          </w:tcPr>
          <w:p>
            <w:pPr>
              <w:jc w:val="right"/>
            </w:pPr>
            <w:r>
              <w:rPr>
                <w:rFonts w:ascii="宋体" w:eastAsia="宋体" w:hAnsi="宋体" w:cs="宋体"/>
                <w:b w:val="0"/>
                <w:i w:val="0"/>
                <w:color w:val="000000"/>
                <w:sz w:val="16"/>
              </w:rPr>
              <w:t xml:space="preserve">126.09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102.47</w:t>
            </w:r>
          </w:p>
        </w:tc>
        <w:tc>
          <w:tcPr>
            <w:tcW w:w="1120" w:type="dxa"/>
            <w:tcBorders/>
            <w:vAlign w:val="center"/>
          </w:tcPr>
          <w:p>
            <w:pPr>
              <w:jc w:val="right"/>
            </w:pPr>
            <w:r>
              <w:rPr>
                <w:rFonts w:ascii="宋体" w:eastAsia="宋体" w:hAnsi="宋体" w:cs="宋体"/>
                <w:b w:val="0"/>
                <w:i w:val="0"/>
                <w:color w:val="000000"/>
                <w:sz w:val="16"/>
              </w:rPr>
              <w:t xml:space="preserve">102.47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22.64</w:t>
            </w:r>
          </w:p>
        </w:tc>
        <w:tc>
          <w:tcPr>
            <w:tcW w:w="1120" w:type="dxa"/>
            <w:tcBorders/>
            <w:vAlign w:val="center"/>
          </w:tcPr>
          <w:p>
            <w:pPr>
              <w:jc w:val="right"/>
            </w:pPr>
            <w:r>
              <w:rPr>
                <w:rFonts w:ascii="宋体" w:eastAsia="宋体" w:hAnsi="宋体" w:cs="宋体"/>
                <w:b w:val="0"/>
                <w:i w:val="0"/>
                <w:color w:val="000000"/>
                <w:sz w:val="16"/>
              </w:rPr>
              <w:t xml:space="preserve">22.64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41.37</w:t>
            </w:r>
          </w:p>
        </w:tc>
        <w:tc>
          <w:tcPr>
            <w:tcW w:w="1120" w:type="dxa"/>
            <w:tcBorders/>
            <w:vAlign w:val="center"/>
          </w:tcPr>
          <w:p>
            <w:pPr>
              <w:jc w:val="right"/>
            </w:pPr>
            <w:r>
              <w:rPr>
                <w:rFonts w:ascii="宋体" w:eastAsia="宋体" w:hAnsi="宋体" w:cs="宋体"/>
                <w:b w:val="0"/>
                <w:i w:val="0"/>
                <w:color w:val="000000"/>
                <w:sz w:val="16"/>
              </w:rPr>
              <w:t xml:space="preserve">41.37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41.37</w:t>
            </w:r>
          </w:p>
        </w:tc>
        <w:tc>
          <w:tcPr>
            <w:tcW w:w="1120" w:type="dxa"/>
            <w:tcBorders/>
            <w:vAlign w:val="center"/>
          </w:tcPr>
          <w:p>
            <w:pPr>
              <w:jc w:val="right"/>
            </w:pPr>
            <w:r>
              <w:rPr>
                <w:rFonts w:ascii="宋体" w:eastAsia="宋体" w:hAnsi="宋体" w:cs="宋体"/>
                <w:b w:val="0"/>
                <w:i w:val="0"/>
                <w:color w:val="000000"/>
                <w:sz w:val="16"/>
              </w:rPr>
              <w:t xml:space="preserve">41.37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40.86</w:t>
            </w:r>
          </w:p>
        </w:tc>
        <w:tc>
          <w:tcPr>
            <w:tcW w:w="1120" w:type="dxa"/>
            <w:tcBorders/>
            <w:vAlign w:val="center"/>
          </w:tcPr>
          <w:p>
            <w:pPr>
              <w:jc w:val="right"/>
            </w:pPr>
            <w:r>
              <w:rPr>
                <w:rFonts w:ascii="宋体" w:eastAsia="宋体" w:hAnsi="宋体" w:cs="宋体"/>
                <w:b w:val="0"/>
                <w:i w:val="0"/>
                <w:color w:val="000000"/>
                <w:sz w:val="16"/>
              </w:rPr>
              <w:t xml:space="preserve">40.86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745.88</w:t>
            </w:r>
          </w:p>
        </w:tc>
        <w:tc>
          <w:tcPr>
            <w:tcW w:w="1120" w:type="dxa"/>
            <w:tcBorders/>
            <w:vAlign w:val="center"/>
          </w:tcPr>
          <w:p>
            <w:pPr>
              <w:jc w:val="right"/>
            </w:pPr>
            <w:r>
              <w:rPr>
                <w:rFonts w:ascii="宋体" w:eastAsia="宋体" w:hAnsi="宋体" w:cs="宋体"/>
                <w:b w:val="0"/>
                <w:i w:val="0"/>
                <w:color w:val="000000"/>
                <w:sz w:val="16"/>
              </w:rPr>
              <w:t xml:space="preserve">730.75</w:t>
            </w:r>
          </w:p>
        </w:tc>
        <w:tc>
          <w:tcPr>
            <w:tcW w:w="1120" w:type="dxa"/>
            <w:tcBorders/>
            <w:vAlign w:val="center"/>
          </w:tcPr>
          <w:p>
            <w:pPr>
              <w:jc w:val="right"/>
            </w:pPr>
            <w:r>
              <w:rPr>
                <w:rFonts w:ascii="宋体" w:eastAsia="宋体" w:hAnsi="宋体" w:cs="宋体"/>
                <w:b w:val="0"/>
                <w:i w:val="0"/>
                <w:color w:val="000000"/>
                <w:sz w:val="16"/>
              </w:rPr>
              <w:t xml:space="preserve">15.13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745.88</w:t>
            </w:r>
          </w:p>
        </w:tc>
        <w:tc>
          <w:tcPr>
            <w:tcW w:w="1120" w:type="dxa"/>
            <w:tcBorders/>
            <w:vAlign w:val="center"/>
          </w:tcPr>
          <w:p>
            <w:pPr>
              <w:jc w:val="right"/>
            </w:pPr>
            <w:r>
              <w:rPr>
                <w:rFonts w:ascii="宋体" w:eastAsia="宋体" w:hAnsi="宋体" w:cs="宋体"/>
                <w:b w:val="0"/>
                <w:i w:val="0"/>
                <w:color w:val="000000"/>
                <w:sz w:val="16"/>
              </w:rPr>
              <w:t xml:space="preserve">730.75</w:t>
            </w:r>
          </w:p>
        </w:tc>
        <w:tc>
          <w:tcPr>
            <w:tcW w:w="1120" w:type="dxa"/>
            <w:tcBorders/>
            <w:vAlign w:val="center"/>
          </w:tcPr>
          <w:p>
            <w:pPr>
              <w:jc w:val="right"/>
            </w:pPr>
            <w:r>
              <w:rPr>
                <w:rFonts w:ascii="宋体" w:eastAsia="宋体" w:hAnsi="宋体" w:cs="宋体"/>
                <w:b w:val="0"/>
                <w:i w:val="0"/>
                <w:color w:val="000000"/>
                <w:sz w:val="16"/>
              </w:rPr>
              <w:t xml:space="preserve">15.13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745.88</w:t>
            </w:r>
          </w:p>
        </w:tc>
        <w:tc>
          <w:tcPr>
            <w:tcW w:w="1120" w:type="dxa"/>
            <w:tcBorders/>
            <w:vAlign w:val="center"/>
          </w:tcPr>
          <w:p>
            <w:pPr>
              <w:jc w:val="right"/>
            </w:pPr>
            <w:r>
              <w:rPr>
                <w:rFonts w:ascii="宋体" w:eastAsia="宋体" w:hAnsi="宋体" w:cs="宋体"/>
                <w:b w:val="0"/>
                <w:i w:val="0"/>
                <w:color w:val="000000"/>
                <w:sz w:val="16"/>
              </w:rPr>
              <w:t xml:space="preserve">730.75</w:t>
            </w:r>
          </w:p>
        </w:tc>
        <w:tc>
          <w:tcPr>
            <w:tcW w:w="1120" w:type="dxa"/>
            <w:tcBorders/>
            <w:vAlign w:val="center"/>
          </w:tcPr>
          <w:p>
            <w:pPr>
              <w:jc w:val="right"/>
            </w:pPr>
            <w:r>
              <w:rPr>
                <w:rFonts w:ascii="宋体" w:eastAsia="宋体" w:hAnsi="宋体" w:cs="宋体"/>
                <w:b w:val="0"/>
                <w:i w:val="0"/>
                <w:color w:val="000000"/>
                <w:sz w:val="16"/>
              </w:rPr>
              <w:t xml:space="preserve">15.13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jc w:val="right"/>
            </w:pPr>
            <w:r>
              <w:rPr>
                <w:rFonts w:ascii="宋体" w:eastAsia="宋体" w:hAnsi="宋体" w:cs="宋体"/>
                <w:b w:val="0"/>
                <w:i w:val="0"/>
                <w:color w:val="000000"/>
                <w:sz w:val="16"/>
              </w:rPr>
              <w:t xml:space="preserve">76.77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127.31</w:t>
            </w:r>
          </w:p>
        </w:tc>
        <w:tc>
          <w:tcPr>
            <w:tcW w:w="1100" w:type="dxa"/>
            <w:tcBorders/>
            <w:vAlign w:val="center"/>
          </w:tcPr>
          <w:p>
            <w:pPr>
              <w:jc w:val="right"/>
            </w:pPr>
            <w:r>
              <w:rPr>
                <w:rFonts w:ascii="宋体" w:eastAsia="宋体" w:hAnsi="宋体" w:cs="宋体"/>
                <w:b w:val="0"/>
                <w:i w:val="0"/>
                <w:color w:val="000000"/>
                <w:sz w:val="14"/>
              </w:rPr>
              <w:t xml:space="preserve">127.31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41.37</w:t>
            </w:r>
          </w:p>
        </w:tc>
        <w:tc>
          <w:tcPr>
            <w:tcW w:w="1100" w:type="dxa"/>
            <w:tcBorders/>
            <w:vAlign w:val="center"/>
          </w:tcPr>
          <w:p>
            <w:pPr>
              <w:jc w:val="right"/>
            </w:pPr>
            <w:r>
              <w:rPr>
                <w:rFonts w:ascii="宋体" w:eastAsia="宋体" w:hAnsi="宋体" w:cs="宋体"/>
                <w:b w:val="0"/>
                <w:i w:val="0"/>
                <w:color w:val="000000"/>
                <w:sz w:val="14"/>
              </w:rPr>
              <w:t xml:space="preserve">41.37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730.75</w:t>
            </w:r>
          </w:p>
        </w:tc>
        <w:tc>
          <w:tcPr>
            <w:tcW w:w="1100" w:type="dxa"/>
            <w:tcBorders/>
            <w:vAlign w:val="center"/>
          </w:tcPr>
          <w:p>
            <w:pPr>
              <w:jc w:val="right"/>
            </w:pPr>
            <w:r>
              <w:rPr>
                <w:rFonts w:ascii="宋体" w:eastAsia="宋体" w:hAnsi="宋体" w:cs="宋体"/>
                <w:b w:val="0"/>
                <w:i w:val="0"/>
                <w:color w:val="000000"/>
                <w:sz w:val="14"/>
              </w:rPr>
              <w:t xml:space="preserve">730.75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76.77</w:t>
            </w:r>
          </w:p>
        </w:tc>
        <w:tc>
          <w:tcPr>
            <w:tcW w:w="1100" w:type="dxa"/>
            <w:tcBorders/>
            <w:vAlign w:val="center"/>
          </w:tcPr>
          <w:p>
            <w:pPr>
              <w:jc w:val="right"/>
            </w:pPr>
            <w:r>
              <w:rPr>
                <w:rFonts w:ascii="宋体" w:eastAsia="宋体" w:hAnsi="宋体" w:cs="宋体"/>
                <w:b w:val="0"/>
                <w:i w:val="0"/>
                <w:color w:val="000000"/>
                <w:sz w:val="14"/>
              </w:rPr>
              <w:t xml:space="preserve">76.77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1100" w:type="dxa"/>
            <w:tcBorders/>
            <w:vAlign w:val="center"/>
          </w:tcPr>
          <w:p>
            <w:pPr>
              <w:jc w:val="right"/>
            </w:pPr>
            <w:r>
              <w:rPr>
                <w:rFonts w:ascii="宋体" w:eastAsia="宋体" w:hAnsi="宋体" w:cs="宋体"/>
                <w:b w:val="0"/>
                <w:i w:val="0"/>
                <w:color w:val="000000"/>
                <w:sz w:val="14"/>
              </w:rPr>
              <w:t xml:space="preserve">976.20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976.20</w:t>
            </w:r>
          </w:p>
        </w:tc>
        <w:tc>
          <w:tcPr>
            <w:tcW w:w="1980" w:type="dxa"/>
            <w:tcBorders/>
            <w:vAlign w:val="center"/>
          </w:tcPr>
          <w:p>
            <w:pPr>
              <w:jc w:val="right"/>
            </w:pPr>
            <w:r>
              <w:rPr>
                <w:rFonts w:ascii="宋体" w:eastAsia="宋体" w:hAnsi="宋体" w:cs="宋体"/>
                <w:b/>
                <w:i w:val="0"/>
                <w:color w:val="000000"/>
                <w:sz w:val="20"/>
              </w:rPr>
              <w:t xml:space="preserve">976.20</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127.31</w:t>
            </w:r>
          </w:p>
        </w:tc>
        <w:tc>
          <w:tcPr>
            <w:tcW w:w="1980" w:type="dxa"/>
            <w:tcBorders/>
            <w:vAlign w:val="center"/>
          </w:tcPr>
          <w:p>
            <w:pPr>
              <w:jc w:val="right"/>
            </w:pPr>
            <w:r>
              <w:rPr>
                <w:rFonts w:ascii="宋体" w:eastAsia="宋体" w:hAnsi="宋体" w:cs="宋体"/>
                <w:b w:val="0"/>
                <w:i w:val="0"/>
                <w:color w:val="000000"/>
                <w:sz w:val="20"/>
              </w:rPr>
              <w:t xml:space="preserve">127.31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126.09</w:t>
            </w:r>
          </w:p>
        </w:tc>
        <w:tc>
          <w:tcPr>
            <w:tcW w:w="1980" w:type="dxa"/>
            <w:tcBorders/>
            <w:vAlign w:val="center"/>
          </w:tcPr>
          <w:p>
            <w:pPr>
              <w:jc w:val="right"/>
            </w:pPr>
            <w:r>
              <w:rPr>
                <w:rFonts w:ascii="宋体" w:eastAsia="宋体" w:hAnsi="宋体" w:cs="宋体"/>
                <w:b w:val="0"/>
                <w:i w:val="0"/>
                <w:color w:val="000000"/>
                <w:sz w:val="20"/>
              </w:rPr>
              <w:t xml:space="preserve">126.09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102.47</w:t>
            </w:r>
          </w:p>
        </w:tc>
        <w:tc>
          <w:tcPr>
            <w:tcW w:w="1980" w:type="dxa"/>
            <w:tcBorders/>
            <w:vAlign w:val="center"/>
          </w:tcPr>
          <w:p>
            <w:pPr>
              <w:jc w:val="right"/>
            </w:pPr>
            <w:r>
              <w:rPr>
                <w:rFonts w:ascii="宋体" w:eastAsia="宋体" w:hAnsi="宋体" w:cs="宋体"/>
                <w:b w:val="0"/>
                <w:i w:val="0"/>
                <w:color w:val="000000"/>
                <w:sz w:val="20"/>
              </w:rPr>
              <w:t xml:space="preserve">102.47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22.64</w:t>
            </w:r>
          </w:p>
        </w:tc>
        <w:tc>
          <w:tcPr>
            <w:tcW w:w="1980" w:type="dxa"/>
            <w:tcBorders/>
            <w:vAlign w:val="center"/>
          </w:tcPr>
          <w:p>
            <w:pPr>
              <w:jc w:val="right"/>
            </w:pPr>
            <w:r>
              <w:rPr>
                <w:rFonts w:ascii="宋体" w:eastAsia="宋体" w:hAnsi="宋体" w:cs="宋体"/>
                <w:b w:val="0"/>
                <w:i w:val="0"/>
                <w:color w:val="000000"/>
                <w:sz w:val="20"/>
              </w:rPr>
              <w:t xml:space="preserve">22.64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41.37</w:t>
            </w:r>
          </w:p>
        </w:tc>
        <w:tc>
          <w:tcPr>
            <w:tcW w:w="1980" w:type="dxa"/>
            <w:tcBorders/>
            <w:vAlign w:val="center"/>
          </w:tcPr>
          <w:p>
            <w:pPr>
              <w:jc w:val="right"/>
            </w:pPr>
            <w:r>
              <w:rPr>
                <w:rFonts w:ascii="宋体" w:eastAsia="宋体" w:hAnsi="宋体" w:cs="宋体"/>
                <w:b w:val="0"/>
                <w:i w:val="0"/>
                <w:color w:val="000000"/>
                <w:sz w:val="20"/>
              </w:rPr>
              <w:t xml:space="preserve">41.37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41.37</w:t>
            </w:r>
          </w:p>
        </w:tc>
        <w:tc>
          <w:tcPr>
            <w:tcW w:w="1980" w:type="dxa"/>
            <w:tcBorders/>
            <w:vAlign w:val="center"/>
          </w:tcPr>
          <w:p>
            <w:pPr>
              <w:jc w:val="right"/>
            </w:pPr>
            <w:r>
              <w:rPr>
                <w:rFonts w:ascii="宋体" w:eastAsia="宋体" w:hAnsi="宋体" w:cs="宋体"/>
                <w:b w:val="0"/>
                <w:i w:val="0"/>
                <w:color w:val="000000"/>
                <w:sz w:val="20"/>
              </w:rPr>
              <w:t xml:space="preserve">41.37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40.86</w:t>
            </w:r>
          </w:p>
        </w:tc>
        <w:tc>
          <w:tcPr>
            <w:tcW w:w="1980" w:type="dxa"/>
            <w:tcBorders/>
            <w:vAlign w:val="center"/>
          </w:tcPr>
          <w:p>
            <w:pPr>
              <w:jc w:val="right"/>
            </w:pPr>
            <w:r>
              <w:rPr>
                <w:rFonts w:ascii="宋体" w:eastAsia="宋体" w:hAnsi="宋体" w:cs="宋体"/>
                <w:b w:val="0"/>
                <w:i w:val="0"/>
                <w:color w:val="000000"/>
                <w:sz w:val="20"/>
              </w:rPr>
              <w:t xml:space="preserve">40.86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80" w:type="dxa"/>
            <w:tcBorders/>
            <w:vAlign w:val="center"/>
          </w:tcPr>
          <w:p>
            <w:pPr>
              <w:jc w:val="right"/>
            </w:pPr>
            <w:r>
              <w:rPr>
                <w:rFonts w:ascii="宋体" w:eastAsia="宋体" w:hAnsi="宋体" w:cs="宋体"/>
                <w:b w:val="0"/>
                <w:i w:val="0"/>
                <w:color w:val="000000"/>
                <w:sz w:val="20"/>
              </w:rPr>
              <w:t xml:space="preserve">730.75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80" w:type="dxa"/>
            <w:tcBorders/>
            <w:vAlign w:val="center"/>
          </w:tcPr>
          <w:p>
            <w:pPr>
              <w:jc w:val="right"/>
            </w:pPr>
            <w:r>
              <w:rPr>
                <w:rFonts w:ascii="宋体" w:eastAsia="宋体" w:hAnsi="宋体" w:cs="宋体"/>
                <w:b w:val="0"/>
                <w:i w:val="0"/>
                <w:color w:val="000000"/>
                <w:sz w:val="20"/>
              </w:rPr>
              <w:t xml:space="preserve">76.77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925.61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49.27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375.81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20.93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212.94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92.39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0.06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102.47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1.98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22.64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40.86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76.77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23.39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926.87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49.33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30.00</w:t>
            </w:r>
          </w:p>
        </w:tc>
        <w:tc>
          <w:tcPr>
            <w:tcW w:w="3092" w:type="dxa"/>
            <w:tcBorders/>
            <w:vAlign w:val="center"/>
          </w:tcPr>
          <w:p>
            <w:pPr>
              <w:jc w:val="right"/>
            </w:pPr>
            <w:r>
              <w:rPr>
                <w:rFonts w:ascii="宋体" w:eastAsia="宋体" w:hAnsi="宋体" w:cs="宋体"/>
                <w:b w:val="0"/>
                <w:i w:val="0"/>
                <w:color w:val="000000"/>
                <w:sz w:val="23"/>
              </w:rPr>
              <w:t xml:space="preserve">23.39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30.00</w:t>
            </w:r>
          </w:p>
        </w:tc>
        <w:tc>
          <w:tcPr>
            <w:tcW w:w="3092" w:type="dxa"/>
            <w:tcBorders/>
            <w:vAlign w:val="center"/>
          </w:tcPr>
          <w:p>
            <w:pPr>
              <w:jc w:val="right"/>
            </w:pPr>
            <w:r>
              <w:rPr>
                <w:rFonts w:ascii="宋体" w:eastAsia="宋体" w:hAnsi="宋体" w:cs="宋体"/>
                <w:b w:val="0"/>
                <w:i w:val="0"/>
                <w:color w:val="000000"/>
                <w:sz w:val="23"/>
              </w:rPr>
              <w:t xml:space="preserve">23.39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30.00</w:t>
            </w:r>
          </w:p>
        </w:tc>
        <w:tc>
          <w:tcPr>
            <w:tcW w:w="3092" w:type="dxa"/>
            <w:tcBorders/>
            <w:vAlign w:val="center"/>
          </w:tcPr>
          <w:p>
            <w:pPr>
              <w:jc w:val="right"/>
            </w:pPr>
            <w:r>
              <w:rPr>
                <w:rFonts w:ascii="宋体" w:eastAsia="宋体" w:hAnsi="宋体" w:cs="宋体"/>
                <w:b w:val="0"/>
                <w:i w:val="0"/>
                <w:color w:val="000000"/>
                <w:sz w:val="23"/>
              </w:rPr>
              <w:t xml:space="preserve">23.39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单位：辽宁省盘锦市城市管理综合行政执法支队大洼大队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7"/>
        <w:gridCol w:w="1765"/>
        <w:gridCol w:w="1838"/>
        <w:gridCol w:w="1997"/>
        <w:gridCol w:w="1716"/>
        <w:gridCol w:w="1997"/>
        <w:gridCol w:w="1765"/>
        <w:gridCol w:w="1765"/>
      </w:tblGrid>
      <w:tr>
        <w:trPr>
          <w:trHeight w:hRule="exact" w:val="387"/>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3"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059002盘锦市城市管理综合行政执法支队大洼大队-211104000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2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2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814.41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2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69.2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2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22.83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2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提升城市容貌、提高城市竞争力：提高城市品位，加快城市文明建设。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70"/>
          <w:jc w:val="center"/>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开展大型全民健身活动次数</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4</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70"/>
          <w:jc w:val="center"/>
        </w:trPr>
        <w:tc>
          <w:tcPr>
            <w:tcW w:w="1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建立拥军优属长效机制</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拥军</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