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辽宁省盘锦市大洼区素质教育实践学校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辽宁省盘锦市大洼区素质教育实践学校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辽宁省盘锦市大洼区素质教育实践学校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辽宁省盘锦市大洼区素质教育实践学校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辽宁省盘锦市大洼区素质教育实践学校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辽宁省盘锦市大洼区素质教育实践学校概况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1、坚持教育教学与劳动体验和社会实践相结合，树立育人为本、德育为先的教育理念，注重培养学生劳动观点、动手能力和创新精神，提高学生的综合素质，为学生全面发展和终身发展服务。</w:t>
        <w:br/>
        <w:t xml:space="preserve">    2、按照教育行政部门制定的开展实践活动的年度计划，做好与学校的衔接和活动开展的准备工作，保证实践活动的有序实施。</w:t>
        <w:br/>
        <w:t xml:space="preserve">    3、负责提出全区素质教育发展规划，报经主管部门审批后，认真组织实施，开展实践活动是学校教育教学活动的重要组成部分，加强对中小学生实践活动的领导和管理，将实践基地建设与学校建设同等对待，纳入教育事业发展和教育现代化的总体规划</w:t>
        <w:br/>
        <w:t xml:space="preserve">    4、统筹、督促和指导全区各中小学素质教育, 建立考核评价机制。把开展实践活动的情况纳入学校督导评估的重要内容和学校办学质量评估指标体系。要将学生参与实践活动的表现纳入学生综合素质评价和毕业生学业评价体系。通过科学评价，激发学生参加实践活动的兴趣，提升教师组织开展实践活动的能力，推动实践基地健康发展。</w:t>
        <w:br/>
        <w:t xml:space="preserve">    5、为全区各中小学进行劳动和社会实践教育，提供活动场所和组织开发活动项目。注重学生综合素质的培养，增强活动的针对性、有效性。</w:t>
        <w:br/>
        <w:t xml:space="preserve">    6、每学期组织全区各中小学生到盘锦市综合素质教育实践基地开展劳动实践活动。活动结束后对学生评优评先。</w:t>
        <w:br/>
        <w:t xml:space="preserve">    7、实现学校教育与社会教育有效衔接，书本知识与社会实践紧密结合，促进德、智、体、美、劳在实践活动中相互渗透，促进学生健康成长。</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辽宁省盘锦市大洼区素质教育实践学校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盘锦市大洼区素质教育实践学校。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301.31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301.31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301.31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增加14.76万元，增长5.15%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301.31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301.31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工资福利支出291.59万元；商品和服务支出5.83万元；对个人和家庭的补助3.47万元；资本性支出0.42万元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增加14.76万元，增长5.15%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主要是本年度没有结转和结余等原因形成的结余。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本年度没有结转和结余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301.31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301.31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增加14.76万元，增长5.15%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107.57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107.57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2023年度一般公共预算财政拨款支出301.31万元。按支出功能分类科目分，包括：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1.教育支出226.58万元，具体包括：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（1）教育支出（类）教育管理事务（款）其他教育管理事务支出（项）226.58万元,主要是教师工资及学校公用经费等支出，完成年初预算的108.76%，决算数与年初预算数存在差异的主要原因是人员经费的增加。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2.社会保障和就业支出35.46万元，具体包括：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3.47万元,主要是退休教师取暖费和独生子女费等支出，完成年初预算的99.14%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31.60万元,主要是职工养老保险等支出，完成年初预算的102.03%，决算数与年初预算数存在差异的主要原因是养老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（3）社会保障和就业支出（类）其他社会保障和就业支出（款）其他社会保障和就业支出（项）0.39万元,主要是职工工伤保险等支出，完成年初预算的100%，决算数与年初预算数存在差异的主要原因是人员没变。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（1）卫生健康支出（类）行政事业单位医疗（款）事业单位医疗（项）13.85万元,主要是职工医疗保险等支出，完成年初预算的102.21%，决算数与年初预算数存在差异的主要原因是医疗保险基数调整。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（2）卫生健康支出（类）行政事业单位医疗（款）其他行政事业单位医疗支出（项）0.17万元,主要是职工大额保险等支出，完成年初预算的100%，决算数与年初预算数存在差异的主要原因是人员没变。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（1）住房保障支出（类）住房改革支出（款）住房公积金（项）25.26万元,主要是职工住房公积金等支出，完成年初预算的108.74%，决算数与年初预算数存在差异的主要原因是公积金基数调整。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301.31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295.06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6.25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组织对1个单位开展整体绩效自评，涉及资金280.12万元，自评平均分100分。《部门（单位）整体绩效自评表》见附件。</w:t>
        <w:br/>
        <w:t xml:space="preserve">    本部门组织对“整体绩效目标”等1 个项目开展了部门评价，涉及资金280.12万元（其中：一般公共预算资金280.12万元，政府性基金预算资金0万元，国有资本经营预算资金0万元）。从评价情况来看，本年度绩效目标已完成，保障了盘锦市大洼区素质教育实践学校日常支出正常运转。</w:t>
        <w:br/>
        <w:t xml:space="preserve">    2.项目绩效自评结果。</w:t>
        <w:br/>
        <w:t xml:space="preserve">    本部门在2023年度省直部门决算中反映项目绩效目标等0个项目绩效自评结果。涉及资金0万元。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16.教育支出（类）教育管理事务（款）其他教育管理事务支出（项）：反映除上述项目以外其他用于教育管理事务方面的支出。</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20.社会保障和就业支出（类）其他社会保障和就业支出（款）其他社会保障和就业支出（项）：反映除上述项目以外其他用于社会保障和就业方面的支出。</w:t>
        <w:br/>
        <w:t xml:space="preserve">    21. 卫生健康支出（类）行政事业单位医疗（款）事业单位医疗（项）：反映财政部门安排的事业单位基本医疗保险缴费经费，未参加医疗保险的事业单位的公费医疗经费，按国家规定享受离休人员待遇的医疗经费。</w:t>
        <w:br/>
        <w:t xml:space="preserve">    22. 卫生健康支出（类）行政事业单位医疗（款）其他行政事业单位医疗支出（项）：反映除上述项目以外的其他用于行政事业单位医疗方面的支出</w:t>
        <w:br/>
        <w:t xml:space="preserve">    23.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301.31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226.58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301.31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301.31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301.31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301.31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301.31</w:t>
            </w:r>
          </w:p>
        </w:tc>
        <w:tc>
          <w:tcPr>
            <w:tcW w:w="1160" w:type="dxa"/>
            <w:tcBorders/>
            <w:vAlign w:val="center"/>
          </w:tcPr>
          <w:p>
            <w:pPr>
              <w:jc w:val="right"/>
            </w:pPr>
            <w:r>
              <w:rPr>
                <w:rFonts w:ascii="宋体" w:eastAsia="宋体" w:hAnsi="宋体" w:cs="宋体"/>
                <w:b/>
                <w:i w:val="0"/>
                <w:color w:val="000000"/>
                <w:sz w:val="14"/>
              </w:rPr>
              <w:t xml:space="preserve">301.31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jc w:val="right"/>
            </w:pPr>
            <w:r>
              <w:rPr>
                <w:rFonts w:ascii="宋体" w:eastAsia="宋体" w:hAnsi="宋体" w:cs="宋体"/>
                <w:b w:val="0"/>
                <w:i w:val="0"/>
                <w:color w:val="000000"/>
                <w:sz w:val="14"/>
              </w:rPr>
              <w:t xml:space="preserve">226.58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35.46</w:t>
            </w:r>
          </w:p>
        </w:tc>
        <w:tc>
          <w:tcPr>
            <w:tcW w:w="1160" w:type="dxa"/>
            <w:tcBorders/>
            <w:vAlign w:val="center"/>
          </w:tcPr>
          <w:p>
            <w:pPr>
              <w:jc w:val="right"/>
            </w:pPr>
            <w:r>
              <w:rPr>
                <w:rFonts w:ascii="宋体" w:eastAsia="宋体" w:hAnsi="宋体" w:cs="宋体"/>
                <w:b w:val="0"/>
                <w:i w:val="0"/>
                <w:color w:val="000000"/>
                <w:sz w:val="14"/>
              </w:rPr>
              <w:t xml:space="preserve">35.46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35.07</w:t>
            </w:r>
          </w:p>
        </w:tc>
        <w:tc>
          <w:tcPr>
            <w:tcW w:w="1160" w:type="dxa"/>
            <w:tcBorders/>
            <w:vAlign w:val="center"/>
          </w:tcPr>
          <w:p>
            <w:pPr>
              <w:jc w:val="right"/>
            </w:pPr>
            <w:r>
              <w:rPr>
                <w:rFonts w:ascii="宋体" w:eastAsia="宋体" w:hAnsi="宋体" w:cs="宋体"/>
                <w:b w:val="0"/>
                <w:i w:val="0"/>
                <w:color w:val="000000"/>
                <w:sz w:val="14"/>
              </w:rPr>
              <w:t xml:space="preserve">35.07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31.60</w:t>
            </w:r>
          </w:p>
        </w:tc>
        <w:tc>
          <w:tcPr>
            <w:tcW w:w="1160" w:type="dxa"/>
            <w:tcBorders/>
            <w:vAlign w:val="center"/>
          </w:tcPr>
          <w:p>
            <w:pPr>
              <w:jc w:val="right"/>
            </w:pPr>
            <w:r>
              <w:rPr>
                <w:rFonts w:ascii="宋体" w:eastAsia="宋体" w:hAnsi="宋体" w:cs="宋体"/>
                <w:b w:val="0"/>
                <w:i w:val="0"/>
                <w:color w:val="000000"/>
                <w:sz w:val="14"/>
              </w:rPr>
              <w:t xml:space="preserve">31.60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14.02</w:t>
            </w:r>
          </w:p>
        </w:tc>
        <w:tc>
          <w:tcPr>
            <w:tcW w:w="1160" w:type="dxa"/>
            <w:tcBorders/>
            <w:vAlign w:val="center"/>
          </w:tcPr>
          <w:p>
            <w:pPr>
              <w:jc w:val="right"/>
            </w:pPr>
            <w:r>
              <w:rPr>
                <w:rFonts w:ascii="宋体" w:eastAsia="宋体" w:hAnsi="宋体" w:cs="宋体"/>
                <w:b w:val="0"/>
                <w:i w:val="0"/>
                <w:color w:val="000000"/>
                <w:sz w:val="14"/>
              </w:rPr>
              <w:t xml:space="preserve">14.02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14.02</w:t>
            </w:r>
          </w:p>
        </w:tc>
        <w:tc>
          <w:tcPr>
            <w:tcW w:w="1160" w:type="dxa"/>
            <w:tcBorders/>
            <w:vAlign w:val="center"/>
          </w:tcPr>
          <w:p>
            <w:pPr>
              <w:jc w:val="right"/>
            </w:pPr>
            <w:r>
              <w:rPr>
                <w:rFonts w:ascii="宋体" w:eastAsia="宋体" w:hAnsi="宋体" w:cs="宋体"/>
                <w:b w:val="0"/>
                <w:i w:val="0"/>
                <w:color w:val="000000"/>
                <w:sz w:val="14"/>
              </w:rPr>
              <w:t xml:space="preserve">14.02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13.85</w:t>
            </w:r>
          </w:p>
        </w:tc>
        <w:tc>
          <w:tcPr>
            <w:tcW w:w="1160" w:type="dxa"/>
            <w:tcBorders/>
            <w:vAlign w:val="center"/>
          </w:tcPr>
          <w:p>
            <w:pPr>
              <w:jc w:val="right"/>
            </w:pPr>
            <w:r>
              <w:rPr>
                <w:rFonts w:ascii="宋体" w:eastAsia="宋体" w:hAnsi="宋体" w:cs="宋体"/>
                <w:b w:val="0"/>
                <w:i w:val="0"/>
                <w:color w:val="000000"/>
                <w:sz w:val="14"/>
              </w:rPr>
              <w:t xml:space="preserve">13.85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25.26</w:t>
            </w:r>
          </w:p>
        </w:tc>
        <w:tc>
          <w:tcPr>
            <w:tcW w:w="1160" w:type="dxa"/>
            <w:tcBorders/>
            <w:vAlign w:val="center"/>
          </w:tcPr>
          <w:p>
            <w:pPr>
              <w:jc w:val="right"/>
            </w:pPr>
            <w:r>
              <w:rPr>
                <w:rFonts w:ascii="宋体" w:eastAsia="宋体" w:hAnsi="宋体" w:cs="宋体"/>
                <w:b w:val="0"/>
                <w:i w:val="0"/>
                <w:color w:val="000000"/>
                <w:sz w:val="14"/>
              </w:rPr>
              <w:t xml:space="preserve">25.26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25.26</w:t>
            </w:r>
          </w:p>
        </w:tc>
        <w:tc>
          <w:tcPr>
            <w:tcW w:w="1160" w:type="dxa"/>
            <w:tcBorders/>
            <w:vAlign w:val="center"/>
          </w:tcPr>
          <w:p>
            <w:pPr>
              <w:jc w:val="right"/>
            </w:pPr>
            <w:r>
              <w:rPr>
                <w:rFonts w:ascii="宋体" w:eastAsia="宋体" w:hAnsi="宋体" w:cs="宋体"/>
                <w:b w:val="0"/>
                <w:i w:val="0"/>
                <w:color w:val="000000"/>
                <w:sz w:val="14"/>
              </w:rPr>
              <w:t xml:space="preserve">25.26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25.26</w:t>
            </w:r>
          </w:p>
        </w:tc>
        <w:tc>
          <w:tcPr>
            <w:tcW w:w="1160" w:type="dxa"/>
            <w:tcBorders/>
            <w:vAlign w:val="center"/>
          </w:tcPr>
          <w:p>
            <w:pPr>
              <w:jc w:val="right"/>
            </w:pPr>
            <w:r>
              <w:rPr>
                <w:rFonts w:ascii="宋体" w:eastAsia="宋体" w:hAnsi="宋体" w:cs="宋体"/>
                <w:b w:val="0"/>
                <w:i w:val="0"/>
                <w:color w:val="000000"/>
                <w:sz w:val="14"/>
              </w:rPr>
              <w:t xml:space="preserve">25.26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301.31</w:t>
            </w:r>
          </w:p>
        </w:tc>
        <w:tc>
          <w:tcPr>
            <w:tcW w:w="1120" w:type="dxa"/>
            <w:tcBorders/>
            <w:vAlign w:val="center"/>
          </w:tcPr>
          <w:p>
            <w:pPr>
              <w:jc w:val="right"/>
            </w:pPr>
            <w:r>
              <w:rPr>
                <w:rFonts w:ascii="宋体" w:eastAsia="宋体" w:hAnsi="宋体" w:cs="宋体"/>
                <w:b/>
                <w:i w:val="0"/>
                <w:color w:val="000000"/>
                <w:sz w:val="16"/>
              </w:rPr>
              <w:t xml:space="preserve">301.31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其他教育管理事务支出</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jc w:val="right"/>
            </w:pPr>
            <w:r>
              <w:rPr>
                <w:rFonts w:ascii="宋体" w:eastAsia="宋体" w:hAnsi="宋体" w:cs="宋体"/>
                <w:b w:val="0"/>
                <w:i w:val="0"/>
                <w:color w:val="000000"/>
                <w:sz w:val="16"/>
              </w:rPr>
              <w:t xml:space="preserve">226.58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35.46</w:t>
            </w:r>
          </w:p>
        </w:tc>
        <w:tc>
          <w:tcPr>
            <w:tcW w:w="1120" w:type="dxa"/>
            <w:tcBorders/>
            <w:vAlign w:val="center"/>
          </w:tcPr>
          <w:p>
            <w:pPr>
              <w:jc w:val="right"/>
            </w:pPr>
            <w:r>
              <w:rPr>
                <w:rFonts w:ascii="宋体" w:eastAsia="宋体" w:hAnsi="宋体" w:cs="宋体"/>
                <w:b w:val="0"/>
                <w:i w:val="0"/>
                <w:color w:val="000000"/>
                <w:sz w:val="16"/>
              </w:rPr>
              <w:t xml:space="preserve">35.46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35.07</w:t>
            </w:r>
          </w:p>
        </w:tc>
        <w:tc>
          <w:tcPr>
            <w:tcW w:w="1120" w:type="dxa"/>
            <w:tcBorders/>
            <w:vAlign w:val="center"/>
          </w:tcPr>
          <w:p>
            <w:pPr>
              <w:jc w:val="right"/>
            </w:pPr>
            <w:r>
              <w:rPr>
                <w:rFonts w:ascii="宋体" w:eastAsia="宋体" w:hAnsi="宋体" w:cs="宋体"/>
                <w:b w:val="0"/>
                <w:i w:val="0"/>
                <w:color w:val="000000"/>
                <w:sz w:val="16"/>
              </w:rPr>
              <w:t xml:space="preserve">35.07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jc w:val="right"/>
            </w:pPr>
            <w:r>
              <w:rPr>
                <w:rFonts w:ascii="宋体" w:eastAsia="宋体" w:hAnsi="宋体" w:cs="宋体"/>
                <w:b w:val="0"/>
                <w:i w:val="0"/>
                <w:color w:val="000000"/>
                <w:sz w:val="16"/>
              </w:rPr>
              <w:t xml:space="preserve">3.47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14.02</w:t>
            </w:r>
          </w:p>
        </w:tc>
        <w:tc>
          <w:tcPr>
            <w:tcW w:w="1120" w:type="dxa"/>
            <w:tcBorders/>
            <w:vAlign w:val="center"/>
          </w:tcPr>
          <w:p>
            <w:pPr>
              <w:jc w:val="right"/>
            </w:pPr>
            <w:r>
              <w:rPr>
                <w:rFonts w:ascii="宋体" w:eastAsia="宋体" w:hAnsi="宋体" w:cs="宋体"/>
                <w:b w:val="0"/>
                <w:i w:val="0"/>
                <w:color w:val="000000"/>
                <w:sz w:val="16"/>
              </w:rPr>
              <w:t xml:space="preserve">14.02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14.02</w:t>
            </w:r>
          </w:p>
        </w:tc>
        <w:tc>
          <w:tcPr>
            <w:tcW w:w="1120" w:type="dxa"/>
            <w:tcBorders/>
            <w:vAlign w:val="center"/>
          </w:tcPr>
          <w:p>
            <w:pPr>
              <w:jc w:val="right"/>
            </w:pPr>
            <w:r>
              <w:rPr>
                <w:rFonts w:ascii="宋体" w:eastAsia="宋体" w:hAnsi="宋体" w:cs="宋体"/>
                <w:b w:val="0"/>
                <w:i w:val="0"/>
                <w:color w:val="000000"/>
                <w:sz w:val="16"/>
              </w:rPr>
              <w:t xml:space="preserve">14.02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13.85</w:t>
            </w:r>
          </w:p>
        </w:tc>
        <w:tc>
          <w:tcPr>
            <w:tcW w:w="1120" w:type="dxa"/>
            <w:tcBorders/>
            <w:vAlign w:val="center"/>
          </w:tcPr>
          <w:p>
            <w:pPr>
              <w:jc w:val="right"/>
            </w:pPr>
            <w:r>
              <w:rPr>
                <w:rFonts w:ascii="宋体" w:eastAsia="宋体" w:hAnsi="宋体" w:cs="宋体"/>
                <w:b w:val="0"/>
                <w:i w:val="0"/>
                <w:color w:val="000000"/>
                <w:sz w:val="16"/>
              </w:rPr>
              <w:t xml:space="preserve">13.85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jc w:val="right"/>
            </w:pPr>
            <w:r>
              <w:rPr>
                <w:rFonts w:ascii="宋体" w:eastAsia="宋体" w:hAnsi="宋体" w:cs="宋体"/>
                <w:b w:val="0"/>
                <w:i w:val="0"/>
                <w:color w:val="000000"/>
                <w:sz w:val="16"/>
              </w:rPr>
              <w:t xml:space="preserve">25.26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226.58</w:t>
            </w:r>
          </w:p>
        </w:tc>
        <w:tc>
          <w:tcPr>
            <w:tcW w:w="1100" w:type="dxa"/>
            <w:tcBorders/>
            <w:vAlign w:val="center"/>
          </w:tcPr>
          <w:p>
            <w:pPr>
              <w:jc w:val="right"/>
            </w:pPr>
            <w:r>
              <w:rPr>
                <w:rFonts w:ascii="宋体" w:eastAsia="宋体" w:hAnsi="宋体" w:cs="宋体"/>
                <w:b w:val="0"/>
                <w:i w:val="0"/>
                <w:color w:val="000000"/>
                <w:sz w:val="14"/>
              </w:rPr>
              <w:t xml:space="preserve">226.58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35.46</w:t>
            </w:r>
          </w:p>
        </w:tc>
        <w:tc>
          <w:tcPr>
            <w:tcW w:w="1100" w:type="dxa"/>
            <w:tcBorders/>
            <w:vAlign w:val="center"/>
          </w:tcPr>
          <w:p>
            <w:pPr>
              <w:jc w:val="right"/>
            </w:pPr>
            <w:r>
              <w:rPr>
                <w:rFonts w:ascii="宋体" w:eastAsia="宋体" w:hAnsi="宋体" w:cs="宋体"/>
                <w:b w:val="0"/>
                <w:i w:val="0"/>
                <w:color w:val="000000"/>
                <w:sz w:val="14"/>
              </w:rPr>
              <w:t xml:space="preserve">35.46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14.02</w:t>
            </w:r>
          </w:p>
        </w:tc>
        <w:tc>
          <w:tcPr>
            <w:tcW w:w="1100" w:type="dxa"/>
            <w:tcBorders/>
            <w:vAlign w:val="center"/>
          </w:tcPr>
          <w:p>
            <w:pPr>
              <w:jc w:val="right"/>
            </w:pPr>
            <w:r>
              <w:rPr>
                <w:rFonts w:ascii="宋体" w:eastAsia="宋体" w:hAnsi="宋体" w:cs="宋体"/>
                <w:b w:val="0"/>
                <w:i w:val="0"/>
                <w:color w:val="000000"/>
                <w:sz w:val="14"/>
              </w:rPr>
              <w:t xml:space="preserve">14.02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25.26</w:t>
            </w:r>
          </w:p>
        </w:tc>
        <w:tc>
          <w:tcPr>
            <w:tcW w:w="1100" w:type="dxa"/>
            <w:tcBorders/>
            <w:vAlign w:val="center"/>
          </w:tcPr>
          <w:p>
            <w:pPr>
              <w:jc w:val="right"/>
            </w:pPr>
            <w:r>
              <w:rPr>
                <w:rFonts w:ascii="宋体" w:eastAsia="宋体" w:hAnsi="宋体" w:cs="宋体"/>
                <w:b w:val="0"/>
                <w:i w:val="0"/>
                <w:color w:val="000000"/>
                <w:sz w:val="14"/>
              </w:rPr>
              <w:t xml:space="preserve">25.26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1100" w:type="dxa"/>
            <w:tcBorders/>
            <w:vAlign w:val="center"/>
          </w:tcPr>
          <w:p>
            <w:pPr>
              <w:jc w:val="right"/>
            </w:pPr>
            <w:r>
              <w:rPr>
                <w:rFonts w:ascii="宋体" w:eastAsia="宋体" w:hAnsi="宋体" w:cs="宋体"/>
                <w:b w:val="0"/>
                <w:i w:val="0"/>
                <w:color w:val="000000"/>
                <w:sz w:val="14"/>
              </w:rPr>
              <w:t xml:space="preserve">301.31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301.31</w:t>
            </w:r>
          </w:p>
        </w:tc>
        <w:tc>
          <w:tcPr>
            <w:tcW w:w="1980" w:type="dxa"/>
            <w:tcBorders/>
            <w:vAlign w:val="center"/>
          </w:tcPr>
          <w:p>
            <w:pPr>
              <w:jc w:val="right"/>
            </w:pPr>
            <w:r>
              <w:rPr>
                <w:rFonts w:ascii="宋体" w:eastAsia="宋体" w:hAnsi="宋体" w:cs="宋体"/>
                <w:b/>
                <w:i w:val="0"/>
                <w:color w:val="000000"/>
                <w:sz w:val="20"/>
              </w:rPr>
              <w:t xml:space="preserve">301.31</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其他教育管理事务支出</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80" w:type="dxa"/>
            <w:tcBorders/>
            <w:vAlign w:val="center"/>
          </w:tcPr>
          <w:p>
            <w:pPr>
              <w:jc w:val="right"/>
            </w:pPr>
            <w:r>
              <w:rPr>
                <w:rFonts w:ascii="宋体" w:eastAsia="宋体" w:hAnsi="宋体" w:cs="宋体"/>
                <w:b w:val="0"/>
                <w:i w:val="0"/>
                <w:color w:val="000000"/>
                <w:sz w:val="20"/>
              </w:rPr>
              <w:t xml:space="preserve">226.58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35.46</w:t>
            </w:r>
          </w:p>
        </w:tc>
        <w:tc>
          <w:tcPr>
            <w:tcW w:w="1980" w:type="dxa"/>
            <w:tcBorders/>
            <w:vAlign w:val="center"/>
          </w:tcPr>
          <w:p>
            <w:pPr>
              <w:jc w:val="right"/>
            </w:pPr>
            <w:r>
              <w:rPr>
                <w:rFonts w:ascii="宋体" w:eastAsia="宋体" w:hAnsi="宋体" w:cs="宋体"/>
                <w:b w:val="0"/>
                <w:i w:val="0"/>
                <w:color w:val="000000"/>
                <w:sz w:val="20"/>
              </w:rPr>
              <w:t xml:space="preserve">35.46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35.07</w:t>
            </w:r>
          </w:p>
        </w:tc>
        <w:tc>
          <w:tcPr>
            <w:tcW w:w="1980" w:type="dxa"/>
            <w:tcBorders/>
            <w:vAlign w:val="center"/>
          </w:tcPr>
          <w:p>
            <w:pPr>
              <w:jc w:val="right"/>
            </w:pPr>
            <w:r>
              <w:rPr>
                <w:rFonts w:ascii="宋体" w:eastAsia="宋体" w:hAnsi="宋体" w:cs="宋体"/>
                <w:b w:val="0"/>
                <w:i w:val="0"/>
                <w:color w:val="000000"/>
                <w:sz w:val="20"/>
              </w:rPr>
              <w:t xml:space="preserve">35.07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31.60</w:t>
            </w:r>
          </w:p>
        </w:tc>
        <w:tc>
          <w:tcPr>
            <w:tcW w:w="1980" w:type="dxa"/>
            <w:tcBorders/>
            <w:vAlign w:val="center"/>
          </w:tcPr>
          <w:p>
            <w:pPr>
              <w:jc w:val="right"/>
            </w:pPr>
            <w:r>
              <w:rPr>
                <w:rFonts w:ascii="宋体" w:eastAsia="宋体" w:hAnsi="宋体" w:cs="宋体"/>
                <w:b w:val="0"/>
                <w:i w:val="0"/>
                <w:color w:val="000000"/>
                <w:sz w:val="20"/>
              </w:rPr>
              <w:t xml:space="preserve">31.60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14.02</w:t>
            </w:r>
          </w:p>
        </w:tc>
        <w:tc>
          <w:tcPr>
            <w:tcW w:w="1980" w:type="dxa"/>
            <w:tcBorders/>
            <w:vAlign w:val="center"/>
          </w:tcPr>
          <w:p>
            <w:pPr>
              <w:jc w:val="right"/>
            </w:pPr>
            <w:r>
              <w:rPr>
                <w:rFonts w:ascii="宋体" w:eastAsia="宋体" w:hAnsi="宋体" w:cs="宋体"/>
                <w:b w:val="0"/>
                <w:i w:val="0"/>
                <w:color w:val="000000"/>
                <w:sz w:val="20"/>
              </w:rPr>
              <w:t xml:space="preserve">14.02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14.02</w:t>
            </w:r>
          </w:p>
        </w:tc>
        <w:tc>
          <w:tcPr>
            <w:tcW w:w="1980" w:type="dxa"/>
            <w:tcBorders/>
            <w:vAlign w:val="center"/>
          </w:tcPr>
          <w:p>
            <w:pPr>
              <w:jc w:val="right"/>
            </w:pPr>
            <w:r>
              <w:rPr>
                <w:rFonts w:ascii="宋体" w:eastAsia="宋体" w:hAnsi="宋体" w:cs="宋体"/>
                <w:b w:val="0"/>
                <w:i w:val="0"/>
                <w:color w:val="000000"/>
                <w:sz w:val="20"/>
              </w:rPr>
              <w:t xml:space="preserve">14.02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13.85</w:t>
            </w:r>
          </w:p>
        </w:tc>
        <w:tc>
          <w:tcPr>
            <w:tcW w:w="1980" w:type="dxa"/>
            <w:tcBorders/>
            <w:vAlign w:val="center"/>
          </w:tcPr>
          <w:p>
            <w:pPr>
              <w:jc w:val="right"/>
            </w:pPr>
            <w:r>
              <w:rPr>
                <w:rFonts w:ascii="宋体" w:eastAsia="宋体" w:hAnsi="宋体" w:cs="宋体"/>
                <w:b w:val="0"/>
                <w:i w:val="0"/>
                <w:color w:val="000000"/>
                <w:sz w:val="20"/>
              </w:rPr>
              <w:t xml:space="preserve">13.85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25.26</w:t>
            </w:r>
          </w:p>
        </w:tc>
        <w:tc>
          <w:tcPr>
            <w:tcW w:w="1980" w:type="dxa"/>
            <w:tcBorders/>
            <w:vAlign w:val="center"/>
          </w:tcPr>
          <w:p>
            <w:pPr>
              <w:jc w:val="right"/>
            </w:pPr>
            <w:r>
              <w:rPr>
                <w:rFonts w:ascii="宋体" w:eastAsia="宋体" w:hAnsi="宋体" w:cs="宋体"/>
                <w:b w:val="0"/>
                <w:i w:val="0"/>
                <w:color w:val="000000"/>
                <w:sz w:val="20"/>
              </w:rPr>
              <w:t xml:space="preserve">25.26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25.26</w:t>
            </w:r>
          </w:p>
        </w:tc>
        <w:tc>
          <w:tcPr>
            <w:tcW w:w="1980" w:type="dxa"/>
            <w:tcBorders/>
            <w:vAlign w:val="center"/>
          </w:tcPr>
          <w:p>
            <w:pPr>
              <w:jc w:val="right"/>
            </w:pPr>
            <w:r>
              <w:rPr>
                <w:rFonts w:ascii="宋体" w:eastAsia="宋体" w:hAnsi="宋体" w:cs="宋体"/>
                <w:b w:val="0"/>
                <w:i w:val="0"/>
                <w:color w:val="000000"/>
                <w:sz w:val="20"/>
              </w:rPr>
              <w:t xml:space="preserve">25.26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25.26</w:t>
            </w:r>
          </w:p>
        </w:tc>
        <w:tc>
          <w:tcPr>
            <w:tcW w:w="1980" w:type="dxa"/>
            <w:tcBorders/>
            <w:vAlign w:val="center"/>
          </w:tcPr>
          <w:p>
            <w:pPr>
              <w:jc w:val="right"/>
            </w:pPr>
            <w:r>
              <w:rPr>
                <w:rFonts w:ascii="宋体" w:eastAsia="宋体" w:hAnsi="宋体" w:cs="宋体"/>
                <w:b w:val="0"/>
                <w:i w:val="0"/>
                <w:color w:val="000000"/>
                <w:sz w:val="20"/>
              </w:rPr>
              <w:t xml:space="preserve">25.26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291.59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5.83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135.59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59.75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0.42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24.99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0.42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31.60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13.85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25.26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1.11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3.47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3.39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0.96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295.06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6.25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单位：辽宁省盘锦市大洼区素质教育实践学校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026002盘锦市大洼区素质教育实践学校-211104000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280.12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280.12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259.72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259.72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1、保障素质教育实践学校的正常运转</w:t>
            </w:r>
          </w:p>
          <w:p>
            <w:pPr>
              <w:snapToGrid w:val="0"/>
              <w:spacing w:before="0" w:beforeAutospacing="0" w:after="0" w:afterAutospacing="0" w:line="240" w:lineRule="auto"/>
              <w:jc w:val="center"/>
              <w:rPr/>
            </w:pPr>
            <w:r>
              <w:rPr>
                <w:rFonts w:ascii="宋体" w:eastAsia="宋体" w:hAnsi="宋体" w:cs="宋体"/>
                <w:b w:val="0"/>
                <w:i w:val="0"/>
                <w:color w:val="000000"/>
                <w:sz w:val="20"/>
              </w:rPr>
              <w:t xml:space="preserve">2、完成素质教育实践活动和其他日常工作的支出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本年度已完成各项绩效目标。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教育培训参加人数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创新创业实践平台学生覆盖率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统计数据需求侧满意度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建设校级一流实践教育基地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个</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