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辽宁省盘锦市大洼区唐家学校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辽宁省盘锦市大洼区唐家学校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辽宁省盘锦市大洼区唐家学校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辽宁省盘锦市大洼区唐家学校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辽宁省盘锦市大洼区唐家学校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辽宁省盘锦市大洼区唐家学校概况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（一）、学校管理情况：</w:t>
        <w:br/>
        <w:t xml:space="preserve">    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w:t>
        <w:br/>
        <w:t xml:space="preserve">    （二）、机构设置情况</w:t>
        <w:br/>
        <w:t xml:space="preserve">    根据本部门主要职责，教育教学部门内设8个科室，分别是：</w:t>
        <w:br/>
        <w:t xml:space="preserve">    教务处、政教处、总务处、工会、团委、少先大队、电教处、安全保卫处。</w:t>
        <w:br/>
        <w:t xml:space="preserve">    （一）教务处工作职责</w:t>
        <w:br/>
        <w:t xml:space="preserve">    1、教务处在校长、分管副校长和上级业务部门领导和指导下开展工作。</w:t>
        <w:br/>
        <w:t xml:space="preserve">    2、负责制定学校教学计划及本处工作计划，并组织实施和检查落实情况。</w:t>
        <w:br/>
        <w:t xml:space="preserve">    3、负责做好学校常规管理工作，与教科所合作组织全校教师的教学研究。</w:t>
        <w:br/>
        <w:t xml:space="preserve">    4、负责审查各学科进度，检查教师的工作情况，包括检查教师教案、作业批改等工作。</w:t>
        <w:br/>
        <w:t xml:space="preserve">    5、定期检查教学质量，包括统考命题、考试、考查、阅卷、成绩统计、质量分析。</w:t>
        <w:br/>
        <w:t xml:space="preserve">    6、管理学生学籍档案，安排课表及教学校历。</w:t>
        <w:br/>
        <w:t xml:space="preserve">    7、做好教师业务档案的建立、健全及管理工作。</w:t>
        <w:br/>
        <w:t xml:space="preserve">    8、负责教学设备、图书资料的购置和管理，做好理化生实验室、图书室、阅览室、收发室、信息中心的管理工作。</w:t>
        <w:br/>
        <w:t xml:space="preserve">    9、做好各项教学报表的统计和上报工作。</w:t>
        <w:br/>
        <w:t xml:space="preserve">    10、做好教师和学生用书、各类报刊的订购、发放工作。</w:t>
        <w:br/>
        <w:t xml:space="preserve">    11、做好学校招生和考务工作。</w:t>
        <w:br/>
        <w:t xml:space="preserve">    12、完成领导交办的其他任务。</w:t>
        <w:br/>
        <w:t xml:space="preserve">    （二）政教处工作职责</w:t>
        <w:br/>
        <w:t xml:space="preserve">    负责全校德育工作：</w:t>
        <w:br/>
        <w:t xml:space="preserve">    1、在校长领导下，制订全校政教（德育）工作计划，并负责组织实施，努力树立良好的校风和学风。</w:t>
        <w:br/>
        <w:t xml:space="preserve">    2、不断改进和完善德育管理制度，加强德育管理。</w:t>
        <w:br/>
        <w:t xml:space="preserve">    3、与团委协调组织开展全校性的学生思想教育活动，加强对学生的思想品德教育和行为规范教育。</w:t>
        <w:br/>
        <w:t xml:space="preserve">    4、加强与教导处、总务处联系，做好教育学生的协调工作。</w:t>
        <w:br/>
        <w:t xml:space="preserve">    指导班主任工作：</w:t>
        <w:br/>
        <w:t xml:space="preserve">    1、协助校长选聘班主任，做好青年班主任的培养工作，建设出色的班主任队伍。</w:t>
        <w:br/>
        <w:t xml:space="preserve">    2、指导班主任和班级制订工作计划，检查、考评班级工作。</w:t>
        <w:br/>
        <w:t xml:space="preserve">    3、培训学生干部，指导班主任抓好班级常规管理工作。</w:t>
        <w:br/>
        <w:t xml:space="preserve">    4、指导年级主任、班主任召开班级家长会，定期举办家长学校，办好家庭教育讲座，努力把学校、家庭、社会教育结合起来。</w:t>
        <w:br/>
        <w:t xml:space="preserve">    5、定期召开班主任工作会议，组织学习、总结、交流班主任工作经验，努力提高班主任的工作水平。</w:t>
        <w:br/>
        <w:t xml:space="preserve">    6、协助年级主任、班主任处理年级、班级中的重大问题。</w:t>
        <w:br/>
        <w:t xml:space="preserve">    （三）总务处工作职责</w:t>
        <w:br/>
        <w:t xml:space="preserve">    总务处是在校长领导下，遵照教育方针和勤俭办学原则，协助校长具体管理学校总务工作，为教学服务，为师生的生活服务，领导和组织总务处工作人员做好以下工作：</w:t>
        <w:br/>
        <w:t xml:space="preserve">    1 、树立为教育教学服务和师生服务的思想，深信人人都服务就能服务好的意识。认真执行上级教育行政部门的规定、执行学校校长会、行政会和校长的决定。</w:t>
        <w:br/>
        <w:t xml:space="preserve">    2 、根据学校工作目标和工作计划，制订并实施本处的工作目标和工作计划。学期结束认真总结汇报。全面贯彻学校《职工管理条例》和《临时工管理办法》。负责总务部门职工管理，加强后勤人员的思想教育工作，关心后勤人员的业务进修和技术培训，合理安排他们的工作，并做好考核工作。</w:t>
        <w:br/>
        <w:t xml:space="preserve">    3 、负责教学用品的采购、管理和供应，按计划订购和发放师生用的课本及教师办公、教学用品，购买图书、体育仪器、医疗用品。建立校产的采购、验收、领用、出借、报损、报废、调拨及仓库管理制度。督促学校基本建设和校舍、桌椅等校产的登记、分配、管理、添置和维修工作。</w:t>
        <w:br/>
        <w:t xml:space="preserve">    4 、管理校产，负责学校基本建设和校舍、桌椅等校产的登记、管理添置维修，督促师生执行校产的使用和保管制度。</w:t>
        <w:br/>
        <w:t xml:space="preserve">    （四）工会工作职责</w:t>
        <w:br/>
        <w:t xml:space="preserve">    1、关心教职工业余文化生活，发挥工会宣传阵地和活动室的作用，积极组织和开展有益于身体健康的文体活动，促进学校精神文明和校园文化的建设。配合有关部门做好教职工健康保护工作。</w:t>
        <w:br/>
        <w:t xml:space="preserve">    2、在学校党支部的领导下，履行好监督职能，为搞好学校校务公开发挥积极的作用。</w:t>
        <w:br/>
        <w:t xml:space="preserve">    3、协同行政部门办好教职工集体福利事业，做好教职工疗休养工作及劳动安全保护工作。</w:t>
        <w:br/>
        <w:t xml:space="preserve">    4、做好工会日常管理。</w:t>
        <w:br/>
        <w:t xml:space="preserve">    5、完成党组织和上级工会交给的其它工作。</w:t>
        <w:br/>
        <w:t xml:space="preserve">    （五）团委工作职责</w:t>
        <w:br/>
        <w:t xml:space="preserve">    1、在学校党总支和上级团委领导下，根据党的各时期中心任务及学校工作计划，拟定并实施学校团委工作计划。</w:t>
        <w:br/>
        <w:t xml:space="preserve">    2、组织各班办好黑板报、墙报，办好学校广播台，利用多种形式对团员进行思想教育和团的基本知识教育，不断提高团员的政治思想素质。</w:t>
        <w:br/>
        <w:t xml:space="preserve">    3、有计划地做好团组织的发展工作，教育并督促团员干部和广大团员在学校各项工作中起模范带头作用，发扬团组织的先进性。</w:t>
        <w:br/>
        <w:t xml:space="preserve">    4、主持召开团委会议，安排好组织生活，开展丰富多彩的有益于身心健康又适合青年特点的活动。</w:t>
        <w:br/>
        <w:t xml:space="preserve">    5、完成领导交办的其它工作任务。</w:t>
        <w:br/>
        <w:t xml:space="preserve">    （六）少先队工作职责</w:t>
        <w:br/>
        <w:t xml:space="preserve">    1、少先队由大队辅导员负责，少先队在上级团组织和学校的领导下开展工作。</w:t>
        <w:br/>
        <w:t xml:space="preserve">    2、少先队辅导员负责制定学期和年度少先队工作计划，并组织好实施和期末总结工作。</w:t>
        <w:br/>
        <w:t xml:space="preserve">    3、日常队容、队规的检查，组织学生了解少先队历史、队歌、队训等知识。</w:t>
        <w:br/>
        <w:t xml:space="preserve">    4、负责组织定期召开少先队干部会议，培养和提高干部的工作能力，充分发挥少先队的德育教育功能。</w:t>
        <w:br/>
        <w:t xml:space="preserve">    5、认真实施文件法规，充分利用课堂教学，主题班队会、 图书、板报等宣传工具，使学生形成良好思想品质和行为习惯。严格执行每周一升国旗制度。</w:t>
        <w:br/>
        <w:t xml:space="preserve">    6、贯彻落实《小学生守则》、《中小学生日常行为规范》、《小学生礼仪常规》及其它社会规章，促进良好校风的形成。积极开展各种活动，提高学生自我发展能力。</w:t>
        <w:br/>
        <w:t xml:space="preserve">    7、加强少先队组织建设，做好发展工作。</w:t>
        <w:br/>
        <w:t xml:space="preserve">    （七）电教处工作职责</w:t>
        <w:br/>
        <w:t xml:space="preserve">    1、负责对学校班级、多媒体教室、各处室所有计算机、投影机和相关外围设备的管理、维护、检查与维修，为教学一线服务。</w:t>
        <w:br/>
        <w:t xml:space="preserve">    2、保障学校学生计算机室计算机设备的正常运转，对设备进行管理与维护。</w:t>
        <w:br/>
        <w:t xml:space="preserve">    3、对校园网络进行随时监控，管理和维护学校网络设备，保障学校网络畅通无阻。</w:t>
        <w:br/>
        <w:t xml:space="preserve">    4、配合学校对各种会议、活动、外来参观等进行照相、摄像。</w:t>
        <w:br/>
        <w:t xml:space="preserve">    5、依据新课程实施方案，认真开展高中信息技术课程。</w:t>
        <w:br/>
        <w:t xml:space="preserve">    6、负责提高学校教师的现代教育技术水平，对教师进行信息技术的全程培训。</w:t>
        <w:br/>
        <w:t xml:space="preserve">    7、做好学校音像光盘、教学资源和所有电子资料的登记、保管、备份与存储工作。</w:t>
        <w:br/>
        <w:t xml:space="preserve">    8、协同办公室、教务处、教科室等做好学校宣传、教研教改、思想德育、校讯通工作。</w:t>
        <w:br/>
        <w:t xml:space="preserve">    9、做好充分准备，保障每年的信息技术学业水平考试得以顺利进行。</w:t>
        <w:br/>
        <w:t xml:space="preserve">    10、充分利用现代教育技术，保障我校各学科新课程的实施与推进。</w:t>
        <w:br/>
        <w:t xml:space="preserve">    11、坚守岗位，服从领导，听从分配，随时接受并按要求完成各项教育教学任务。</w:t>
        <w:br/>
        <w:t xml:space="preserve">    （八）安全保卫处工作职责</w:t>
        <w:br/>
        <w:t xml:space="preserve">    1、在学校统一领导下，落实学校各项安全保卫工作措施。</w:t>
        <w:br/>
        <w:t xml:space="preserve">    2、认真学习学校安全管理工作制度，调查分析管辖范围内的安全工作特点和规律，提出搞好安全工作的具体意见，做好安全工作计划和总结，建立安全保卫工作业务档案。</w:t>
        <w:br/>
        <w:t xml:space="preserve">    3、管理好安全工作队伍，做好安全保卫人员的思想教育和业务培训工作，安排好门卫值班和巡逻工作，安排好节假日值班工作，指导学生管理员做好学生安全保卫工作，对所管保卫工作人员进行日常业务考核。</w:t>
        <w:br/>
        <w:t xml:space="preserve">    4、组织和开展学生安全教育工作。</w:t>
        <w:br/>
        <w:t xml:space="preserve">    5、组织和开展安全工作检查，提出整改意见。</w:t>
        <w:br/>
        <w:t xml:space="preserve">    6、及时了解掌握和反映教职工思想动态，坚持正确的政治方向不动摇。</w:t>
        <w:br/>
        <w:t xml:space="preserve">    7、完成校领导交办的其它工作任务。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辽宁省盘锦市大洼区唐家学校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盘锦市大洼区唐家学校。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1032.07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993.12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96.23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993.12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38.94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3.77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减少86.79万元，降低7.76%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一是教师退休增多，二是学生人数减少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1032.06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993.14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96.23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工资福利支出917.33万元；商品和服务支出19.07万元；对个人和家庭的补助56.74万元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38.92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3.77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减少86.79万元，降低7.76%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一是教师退休增多，二是学生人数减少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减少0.00万元，降低3.47%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银行利息结转增加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993.12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993.12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减少125.73万元，降低11.24%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一是教师退休增多，二是学生人数减少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110.80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110.80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2023年度一般公共预算财政拨款支出993.12万元。按支出功能分类科目分，包括：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1.教育支出646.97万元，具体包括：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（1）教育支出（类）普通教育（款）小学教育（项）287.16万元,主要是小学教师工资及学校公用经费等支出，完成年初预算的99.20%，决算数与年初预算数存在差异的主要原因是教师退休增多，支出减少。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（2）教育支出（类）普通教育（款）初中教育（项）359.81万元,主要是初中教师工资及学校公用经费等支出，完成年初预算的103.39%，决算数与年初预算数存在差异的主要原因是教师工资增加，数额增加。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2.社会保障和就业支出247.45万元，具体包括：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28.31万元,主要是退休教师独生子女费、退休教师取暖费等支出，完成年初预算的100%，决算数与年初预算数存在差异的主要原因是独生子女费略有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78.84万元,主要是教师养老保险缴费等支出，完成年初预算的88.78%，决算数与年初预算数存在差异的主要原因是退休教职工增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113.46万元,主要是退休人员追加职业年金缴费等支出，完成年初预算的100%，决算数与年初预算数存在差异的主要原因是退休教师职业年金年初未做预算，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25.89万元,主要是退休教师死亡抚恤金等支出，完成年初预算的100%，决算数与年初预算数存在差异的主要原因是抚恤金年初未作预算，追加退休人员死亡抚恤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0.95万元,主要是其他社会保障缴费等支出，完成年初预算的85.59%，决算数与年初预算数存在差异的主要原因是退休教职工增多，其他社会保障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3.卫生健康支出35.26万元，具体包括：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34.37万元,主要是教职工基本医疗保险缴费等支出，完成年初预算的86.49%，决算数与年初预算数存在差异的主要原因是退休教职工增多，基本医疗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（2）卫生健康支出（类）行政事业单位医疗（款）其他行政事业单位医疗支出（项）0.89万元,主要是职工大额医疗保险缴费等支出，完成年初预算的100%，决算数与年初预算数存在差异的主要原因是四舍五入。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4.住房保障支出63.43万元，具体包括：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（1）住房保障支出（类）住房改革支出（款）住房公积金（项）63.43万元,主要是教职工住房公积金等支出，完成年初预算的95.24%，决算数与年初预算数存在差异的主要原因是退休人员增多，支出减少。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993.12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974.07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19.05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我单位本年度无机关运行费支出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根据预算绩效管理要求，盘锦市大洼区唐家学校开展2023年预算整体绩效自评，涉及资金896.29万元，自评平均分100分。《部门（单位）整体绩效自评表》见附件。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16.教育支出（类）进修及培训（款）教师进修（项）：反映教师进修、师资培训支出。</w:t>
        <w:br/>
        <w:t xml:space="preserve">17.社会保障和就业（类）行政事业单位养老支出（款）事业单位离退休（项）：反映事业单位开支的离退休经费。</w:t>
        <w:br/>
        <w:t xml:space="preserve">18.社会保障和就业支出（类）行政事业单位养老支出（款）机关事业单位基本养老保险缴费支出（项）：反映机关事业单位实施养老保险制度由单位缴纳的基本养老保险费支出。</w:t>
        <w:br/>
        <w:t xml:space="preserve">19.社会保障和就业支出（类）行政事业单位养老支出（款）机关事业单位职业年金缴费支出（项）：反映机关事业单位实施养老保险制度由单位实际缴纳的职业年金支出。</w:t>
        <w:br/>
        <w:t xml:space="preserve">20.社会保障和就业支出（类）抚恤（款）死亡抚恤（项）：反映按规定用于烈士和牺牲、病故人员家属的一次性和定期抚恤金以及丧葬补助费。</w:t>
        <w:br/>
        <w:t xml:space="preserve">21.社会保障和就业支出（类）其他社会保障和就业支出（款）其他社会保障和就业支出（项）：反映除上述项目以外其他用于社会保障和就业方面的支出。</w:t>
        <w:br/>
        <w:t xml:space="preserve">22. 卫生健康支出（类）行政事业单位医疗（款）事业单位医疗（项）：反映财政部门安排的事业单位基本医疗保险缴费经费，未参加医疗保险的事业单位的公费医疗经费，按国家规定享受离休人员待遇的医疗经费。</w:t>
        <w:br/>
        <w:t xml:space="preserve">23. 卫生健康支出（类）行政事业单位医疗（款）其他行政事业单位医疗支出（项）：反映除上述项目以外的其他用于行政事业单位医疗方面的支出。</w:t>
        <w:br/>
        <w:t xml:space="preserve">24. 住房保障支出（类）住房改革支出（款）住房公积金（项）：反映行政事业单位按人力资源和社会保障部、财政部规定的基本工资和津贴补贴以及规定比例为职工缴纳的住房公积金。无</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993.12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685.91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38.94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247.46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35.26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63.43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1,032.06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1,032.06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1,032.07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1,032.07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1,032.06</w:t>
            </w:r>
          </w:p>
        </w:tc>
        <w:tc>
          <w:tcPr>
            <w:tcW w:w="1160" w:type="dxa"/>
            <w:tcBorders/>
            <w:vAlign w:val="center"/>
          </w:tcPr>
          <w:p>
            <w:pPr>
              <w:jc w:val="right"/>
            </w:pPr>
            <w:r>
              <w:rPr>
                <w:rFonts w:ascii="宋体" w:eastAsia="宋体" w:hAnsi="宋体" w:cs="宋体"/>
                <w:b/>
                <w:i w:val="0"/>
                <w:color w:val="000000"/>
                <w:sz w:val="14"/>
              </w:rPr>
              <w:t xml:space="preserve">993.12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38.94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685.92</w:t>
            </w:r>
          </w:p>
        </w:tc>
        <w:tc>
          <w:tcPr>
            <w:tcW w:w="1160" w:type="dxa"/>
            <w:tcBorders/>
            <w:vAlign w:val="center"/>
          </w:tcPr>
          <w:p>
            <w:pPr>
              <w:jc w:val="right"/>
            </w:pPr>
            <w:r>
              <w:rPr>
                <w:rFonts w:ascii="宋体" w:eastAsia="宋体" w:hAnsi="宋体" w:cs="宋体"/>
                <w:b w:val="0"/>
                <w:i w:val="0"/>
                <w:color w:val="000000"/>
                <w:sz w:val="14"/>
              </w:rPr>
              <w:t xml:space="preserve">646.97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38.94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685.92</w:t>
            </w:r>
          </w:p>
        </w:tc>
        <w:tc>
          <w:tcPr>
            <w:tcW w:w="1160" w:type="dxa"/>
            <w:tcBorders/>
            <w:vAlign w:val="center"/>
          </w:tcPr>
          <w:p>
            <w:pPr>
              <w:jc w:val="right"/>
            </w:pPr>
            <w:r>
              <w:rPr>
                <w:rFonts w:ascii="宋体" w:eastAsia="宋体" w:hAnsi="宋体" w:cs="宋体"/>
                <w:b w:val="0"/>
                <w:i w:val="0"/>
                <w:color w:val="000000"/>
                <w:sz w:val="14"/>
              </w:rPr>
              <w:t xml:space="preserve">646.97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38.94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307.72</w:t>
            </w:r>
          </w:p>
        </w:tc>
        <w:tc>
          <w:tcPr>
            <w:tcW w:w="1160" w:type="dxa"/>
            <w:tcBorders/>
            <w:vAlign w:val="center"/>
          </w:tcPr>
          <w:p>
            <w:pPr>
              <w:jc w:val="right"/>
            </w:pPr>
            <w:r>
              <w:rPr>
                <w:rFonts w:ascii="宋体" w:eastAsia="宋体" w:hAnsi="宋体" w:cs="宋体"/>
                <w:b w:val="0"/>
                <w:i w:val="0"/>
                <w:color w:val="000000"/>
                <w:sz w:val="14"/>
              </w:rPr>
              <w:t xml:space="preserve">287.16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20.55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378.20</w:t>
            </w:r>
          </w:p>
        </w:tc>
        <w:tc>
          <w:tcPr>
            <w:tcW w:w="1160" w:type="dxa"/>
            <w:tcBorders/>
            <w:vAlign w:val="center"/>
          </w:tcPr>
          <w:p>
            <w:pPr>
              <w:jc w:val="right"/>
            </w:pPr>
            <w:r>
              <w:rPr>
                <w:rFonts w:ascii="宋体" w:eastAsia="宋体" w:hAnsi="宋体" w:cs="宋体"/>
                <w:b w:val="0"/>
                <w:i w:val="0"/>
                <w:color w:val="000000"/>
                <w:sz w:val="14"/>
              </w:rPr>
              <w:t xml:space="preserve">359.81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18.39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247.45</w:t>
            </w:r>
          </w:p>
        </w:tc>
        <w:tc>
          <w:tcPr>
            <w:tcW w:w="1160" w:type="dxa"/>
            <w:tcBorders/>
            <w:vAlign w:val="center"/>
          </w:tcPr>
          <w:p>
            <w:pPr>
              <w:jc w:val="right"/>
            </w:pPr>
            <w:r>
              <w:rPr>
                <w:rFonts w:ascii="宋体" w:eastAsia="宋体" w:hAnsi="宋体" w:cs="宋体"/>
                <w:b w:val="0"/>
                <w:i w:val="0"/>
                <w:color w:val="000000"/>
                <w:sz w:val="14"/>
              </w:rPr>
              <w:t xml:space="preserve">247.45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220.61</w:t>
            </w:r>
          </w:p>
        </w:tc>
        <w:tc>
          <w:tcPr>
            <w:tcW w:w="1160" w:type="dxa"/>
            <w:tcBorders/>
            <w:vAlign w:val="center"/>
          </w:tcPr>
          <w:p>
            <w:pPr>
              <w:jc w:val="right"/>
            </w:pPr>
            <w:r>
              <w:rPr>
                <w:rFonts w:ascii="宋体" w:eastAsia="宋体" w:hAnsi="宋体" w:cs="宋体"/>
                <w:b w:val="0"/>
                <w:i w:val="0"/>
                <w:color w:val="000000"/>
                <w:sz w:val="14"/>
              </w:rPr>
              <w:t xml:space="preserve">220.61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28.31</w:t>
            </w:r>
          </w:p>
        </w:tc>
        <w:tc>
          <w:tcPr>
            <w:tcW w:w="1160" w:type="dxa"/>
            <w:tcBorders/>
            <w:vAlign w:val="center"/>
          </w:tcPr>
          <w:p>
            <w:pPr>
              <w:jc w:val="right"/>
            </w:pPr>
            <w:r>
              <w:rPr>
                <w:rFonts w:ascii="宋体" w:eastAsia="宋体" w:hAnsi="宋体" w:cs="宋体"/>
                <w:b w:val="0"/>
                <w:i w:val="0"/>
                <w:color w:val="000000"/>
                <w:sz w:val="14"/>
              </w:rPr>
              <w:t xml:space="preserve">28.31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78.84</w:t>
            </w:r>
          </w:p>
        </w:tc>
        <w:tc>
          <w:tcPr>
            <w:tcW w:w="1160" w:type="dxa"/>
            <w:tcBorders/>
            <w:vAlign w:val="center"/>
          </w:tcPr>
          <w:p>
            <w:pPr>
              <w:jc w:val="right"/>
            </w:pPr>
            <w:r>
              <w:rPr>
                <w:rFonts w:ascii="宋体" w:eastAsia="宋体" w:hAnsi="宋体" w:cs="宋体"/>
                <w:b w:val="0"/>
                <w:i w:val="0"/>
                <w:color w:val="000000"/>
                <w:sz w:val="14"/>
              </w:rPr>
              <w:t xml:space="preserve">78.84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113.46</w:t>
            </w:r>
          </w:p>
        </w:tc>
        <w:tc>
          <w:tcPr>
            <w:tcW w:w="1160" w:type="dxa"/>
            <w:tcBorders/>
            <w:vAlign w:val="center"/>
          </w:tcPr>
          <w:p>
            <w:pPr>
              <w:jc w:val="right"/>
            </w:pPr>
            <w:r>
              <w:rPr>
                <w:rFonts w:ascii="宋体" w:eastAsia="宋体" w:hAnsi="宋体" w:cs="宋体"/>
                <w:b w:val="0"/>
                <w:i w:val="0"/>
                <w:color w:val="000000"/>
                <w:sz w:val="14"/>
              </w:rPr>
              <w:t xml:space="preserve">113.46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35.26</w:t>
            </w:r>
          </w:p>
        </w:tc>
        <w:tc>
          <w:tcPr>
            <w:tcW w:w="1160" w:type="dxa"/>
            <w:tcBorders/>
            <w:vAlign w:val="center"/>
          </w:tcPr>
          <w:p>
            <w:pPr>
              <w:jc w:val="right"/>
            </w:pPr>
            <w:r>
              <w:rPr>
                <w:rFonts w:ascii="宋体" w:eastAsia="宋体" w:hAnsi="宋体" w:cs="宋体"/>
                <w:b w:val="0"/>
                <w:i w:val="0"/>
                <w:color w:val="000000"/>
                <w:sz w:val="14"/>
              </w:rPr>
              <w:t xml:space="preserve">35.26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35.26</w:t>
            </w:r>
          </w:p>
        </w:tc>
        <w:tc>
          <w:tcPr>
            <w:tcW w:w="1160" w:type="dxa"/>
            <w:tcBorders/>
            <w:vAlign w:val="center"/>
          </w:tcPr>
          <w:p>
            <w:pPr>
              <w:jc w:val="right"/>
            </w:pPr>
            <w:r>
              <w:rPr>
                <w:rFonts w:ascii="宋体" w:eastAsia="宋体" w:hAnsi="宋体" w:cs="宋体"/>
                <w:b w:val="0"/>
                <w:i w:val="0"/>
                <w:color w:val="000000"/>
                <w:sz w:val="14"/>
              </w:rPr>
              <w:t xml:space="preserve">35.26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34.37</w:t>
            </w:r>
          </w:p>
        </w:tc>
        <w:tc>
          <w:tcPr>
            <w:tcW w:w="1160" w:type="dxa"/>
            <w:tcBorders/>
            <w:vAlign w:val="center"/>
          </w:tcPr>
          <w:p>
            <w:pPr>
              <w:jc w:val="right"/>
            </w:pPr>
            <w:r>
              <w:rPr>
                <w:rFonts w:ascii="宋体" w:eastAsia="宋体" w:hAnsi="宋体" w:cs="宋体"/>
                <w:b w:val="0"/>
                <w:i w:val="0"/>
                <w:color w:val="000000"/>
                <w:sz w:val="14"/>
              </w:rPr>
              <w:t xml:space="preserve">34.37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0.89</w:t>
            </w:r>
          </w:p>
        </w:tc>
        <w:tc>
          <w:tcPr>
            <w:tcW w:w="1160" w:type="dxa"/>
            <w:tcBorders/>
            <w:vAlign w:val="center"/>
          </w:tcPr>
          <w:p>
            <w:pPr>
              <w:jc w:val="right"/>
            </w:pPr>
            <w:r>
              <w:rPr>
                <w:rFonts w:ascii="宋体" w:eastAsia="宋体" w:hAnsi="宋体" w:cs="宋体"/>
                <w:b w:val="0"/>
                <w:i w:val="0"/>
                <w:color w:val="000000"/>
                <w:sz w:val="14"/>
              </w:rPr>
              <w:t xml:space="preserve">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63.43</w:t>
            </w:r>
          </w:p>
        </w:tc>
        <w:tc>
          <w:tcPr>
            <w:tcW w:w="1160" w:type="dxa"/>
            <w:tcBorders/>
            <w:vAlign w:val="center"/>
          </w:tcPr>
          <w:p>
            <w:pPr>
              <w:jc w:val="right"/>
            </w:pPr>
            <w:r>
              <w:rPr>
                <w:rFonts w:ascii="宋体" w:eastAsia="宋体" w:hAnsi="宋体" w:cs="宋体"/>
                <w:b w:val="0"/>
                <w:i w:val="0"/>
                <w:color w:val="000000"/>
                <w:sz w:val="14"/>
              </w:rPr>
              <w:t xml:space="preserve">63.43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63.43</w:t>
            </w:r>
          </w:p>
        </w:tc>
        <w:tc>
          <w:tcPr>
            <w:tcW w:w="1160" w:type="dxa"/>
            <w:tcBorders/>
            <w:vAlign w:val="center"/>
          </w:tcPr>
          <w:p>
            <w:pPr>
              <w:jc w:val="right"/>
            </w:pPr>
            <w:r>
              <w:rPr>
                <w:rFonts w:ascii="宋体" w:eastAsia="宋体" w:hAnsi="宋体" w:cs="宋体"/>
                <w:b w:val="0"/>
                <w:i w:val="0"/>
                <w:color w:val="000000"/>
                <w:sz w:val="14"/>
              </w:rPr>
              <w:t xml:space="preserve">63.43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63.43</w:t>
            </w:r>
          </w:p>
        </w:tc>
        <w:tc>
          <w:tcPr>
            <w:tcW w:w="1160" w:type="dxa"/>
            <w:tcBorders/>
            <w:vAlign w:val="center"/>
          </w:tcPr>
          <w:p>
            <w:pPr>
              <w:jc w:val="right"/>
            </w:pPr>
            <w:r>
              <w:rPr>
                <w:rFonts w:ascii="宋体" w:eastAsia="宋体" w:hAnsi="宋体" w:cs="宋体"/>
                <w:b w:val="0"/>
                <w:i w:val="0"/>
                <w:color w:val="000000"/>
                <w:sz w:val="14"/>
              </w:rPr>
              <w:t xml:space="preserve">63.43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1,032.06</w:t>
            </w:r>
          </w:p>
        </w:tc>
        <w:tc>
          <w:tcPr>
            <w:tcW w:w="1120" w:type="dxa"/>
            <w:tcBorders/>
            <w:vAlign w:val="center"/>
          </w:tcPr>
          <w:p>
            <w:pPr>
              <w:jc w:val="right"/>
            </w:pPr>
            <w:r>
              <w:rPr>
                <w:rFonts w:ascii="宋体" w:eastAsia="宋体" w:hAnsi="宋体" w:cs="宋体"/>
                <w:b/>
                <w:i w:val="0"/>
                <w:color w:val="000000"/>
                <w:sz w:val="16"/>
              </w:rPr>
              <w:t xml:space="preserve">993.14</w:t>
            </w:r>
          </w:p>
        </w:tc>
        <w:tc>
          <w:tcPr>
            <w:tcW w:w="1120" w:type="dxa"/>
            <w:tcBorders/>
            <w:vAlign w:val="center"/>
          </w:tcPr>
          <w:p>
            <w:pPr>
              <w:jc w:val="right"/>
            </w:pPr>
            <w:r>
              <w:rPr>
                <w:rFonts w:ascii="宋体" w:eastAsia="宋体" w:hAnsi="宋体" w:cs="宋体"/>
                <w:b/>
                <w:i w:val="0"/>
                <w:color w:val="000000"/>
                <w:sz w:val="16"/>
              </w:rPr>
              <w:t xml:space="preserve">38.92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685.92</w:t>
            </w:r>
          </w:p>
        </w:tc>
        <w:tc>
          <w:tcPr>
            <w:tcW w:w="1120" w:type="dxa"/>
            <w:tcBorders/>
            <w:vAlign w:val="center"/>
          </w:tcPr>
          <w:p>
            <w:pPr>
              <w:jc w:val="right"/>
            </w:pPr>
            <w:r>
              <w:rPr>
                <w:rFonts w:ascii="宋体" w:eastAsia="宋体" w:hAnsi="宋体" w:cs="宋体"/>
                <w:b w:val="0"/>
                <w:i w:val="0"/>
                <w:color w:val="000000"/>
                <w:sz w:val="16"/>
              </w:rPr>
              <w:t xml:space="preserve">646.99</w:t>
            </w:r>
          </w:p>
        </w:tc>
        <w:tc>
          <w:tcPr>
            <w:tcW w:w="1120" w:type="dxa"/>
            <w:tcBorders/>
            <w:vAlign w:val="center"/>
          </w:tcPr>
          <w:p>
            <w:pPr>
              <w:jc w:val="right"/>
            </w:pPr>
            <w:r>
              <w:rPr>
                <w:rFonts w:ascii="宋体" w:eastAsia="宋体" w:hAnsi="宋体" w:cs="宋体"/>
                <w:b w:val="0"/>
                <w:i w:val="0"/>
                <w:color w:val="000000"/>
                <w:sz w:val="16"/>
              </w:rPr>
              <w:t xml:space="preserve">38.93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685.92</w:t>
            </w:r>
          </w:p>
        </w:tc>
        <w:tc>
          <w:tcPr>
            <w:tcW w:w="1120" w:type="dxa"/>
            <w:tcBorders/>
            <w:vAlign w:val="center"/>
          </w:tcPr>
          <w:p>
            <w:pPr>
              <w:jc w:val="right"/>
            </w:pPr>
            <w:r>
              <w:rPr>
                <w:rFonts w:ascii="宋体" w:eastAsia="宋体" w:hAnsi="宋体" w:cs="宋体"/>
                <w:b w:val="0"/>
                <w:i w:val="0"/>
                <w:color w:val="000000"/>
                <w:sz w:val="16"/>
              </w:rPr>
              <w:t xml:space="preserve">646.99</w:t>
            </w:r>
          </w:p>
        </w:tc>
        <w:tc>
          <w:tcPr>
            <w:tcW w:w="1120" w:type="dxa"/>
            <w:tcBorders/>
            <w:vAlign w:val="center"/>
          </w:tcPr>
          <w:p>
            <w:pPr>
              <w:jc w:val="right"/>
            </w:pPr>
            <w:r>
              <w:rPr>
                <w:rFonts w:ascii="宋体" w:eastAsia="宋体" w:hAnsi="宋体" w:cs="宋体"/>
                <w:b w:val="0"/>
                <w:i w:val="0"/>
                <w:color w:val="000000"/>
                <w:sz w:val="16"/>
              </w:rPr>
              <w:t xml:space="preserve">38.93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307.72</w:t>
            </w:r>
          </w:p>
        </w:tc>
        <w:tc>
          <w:tcPr>
            <w:tcW w:w="1120" w:type="dxa"/>
            <w:tcBorders/>
            <w:vAlign w:val="center"/>
          </w:tcPr>
          <w:p>
            <w:pPr>
              <w:jc w:val="right"/>
            </w:pPr>
            <w:r>
              <w:rPr>
                <w:rFonts w:ascii="宋体" w:eastAsia="宋体" w:hAnsi="宋体" w:cs="宋体"/>
                <w:b w:val="0"/>
                <w:i w:val="0"/>
                <w:color w:val="000000"/>
                <w:sz w:val="16"/>
              </w:rPr>
              <w:t xml:space="preserve">287.18</w:t>
            </w:r>
          </w:p>
        </w:tc>
        <w:tc>
          <w:tcPr>
            <w:tcW w:w="1120" w:type="dxa"/>
            <w:tcBorders/>
            <w:vAlign w:val="center"/>
          </w:tcPr>
          <w:p>
            <w:pPr>
              <w:jc w:val="right"/>
            </w:pPr>
            <w:r>
              <w:rPr>
                <w:rFonts w:ascii="宋体" w:eastAsia="宋体" w:hAnsi="宋体" w:cs="宋体"/>
                <w:b w:val="0"/>
                <w:i w:val="0"/>
                <w:color w:val="000000"/>
                <w:sz w:val="16"/>
              </w:rPr>
              <w:t xml:space="preserve">20.54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378.20</w:t>
            </w:r>
          </w:p>
        </w:tc>
        <w:tc>
          <w:tcPr>
            <w:tcW w:w="1120" w:type="dxa"/>
            <w:tcBorders/>
            <w:vAlign w:val="center"/>
          </w:tcPr>
          <w:p>
            <w:pPr>
              <w:jc w:val="right"/>
            </w:pPr>
            <w:r>
              <w:rPr>
                <w:rFonts w:ascii="宋体" w:eastAsia="宋体" w:hAnsi="宋体" w:cs="宋体"/>
                <w:b w:val="0"/>
                <w:i w:val="0"/>
                <w:color w:val="000000"/>
                <w:sz w:val="16"/>
              </w:rPr>
              <w:t xml:space="preserve">359.81</w:t>
            </w:r>
          </w:p>
        </w:tc>
        <w:tc>
          <w:tcPr>
            <w:tcW w:w="1120" w:type="dxa"/>
            <w:tcBorders/>
            <w:vAlign w:val="center"/>
          </w:tcPr>
          <w:p>
            <w:pPr>
              <w:jc w:val="right"/>
            </w:pPr>
            <w:r>
              <w:rPr>
                <w:rFonts w:ascii="宋体" w:eastAsia="宋体" w:hAnsi="宋体" w:cs="宋体"/>
                <w:b w:val="0"/>
                <w:i w:val="0"/>
                <w:color w:val="000000"/>
                <w:sz w:val="16"/>
              </w:rPr>
              <w:t xml:space="preserve">18.39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247.45</w:t>
            </w:r>
          </w:p>
        </w:tc>
        <w:tc>
          <w:tcPr>
            <w:tcW w:w="1120" w:type="dxa"/>
            <w:tcBorders/>
            <w:vAlign w:val="center"/>
          </w:tcPr>
          <w:p>
            <w:pPr>
              <w:jc w:val="right"/>
            </w:pPr>
            <w:r>
              <w:rPr>
                <w:rFonts w:ascii="宋体" w:eastAsia="宋体" w:hAnsi="宋体" w:cs="宋体"/>
                <w:b w:val="0"/>
                <w:i w:val="0"/>
                <w:color w:val="000000"/>
                <w:sz w:val="16"/>
              </w:rPr>
              <w:t xml:space="preserve">247.45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220.61</w:t>
            </w:r>
          </w:p>
        </w:tc>
        <w:tc>
          <w:tcPr>
            <w:tcW w:w="1120" w:type="dxa"/>
            <w:tcBorders/>
            <w:vAlign w:val="center"/>
          </w:tcPr>
          <w:p>
            <w:pPr>
              <w:jc w:val="right"/>
            </w:pPr>
            <w:r>
              <w:rPr>
                <w:rFonts w:ascii="宋体" w:eastAsia="宋体" w:hAnsi="宋体" w:cs="宋体"/>
                <w:b w:val="0"/>
                <w:i w:val="0"/>
                <w:color w:val="000000"/>
                <w:sz w:val="16"/>
              </w:rPr>
              <w:t xml:space="preserve">220.61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28.31</w:t>
            </w:r>
          </w:p>
        </w:tc>
        <w:tc>
          <w:tcPr>
            <w:tcW w:w="1120" w:type="dxa"/>
            <w:tcBorders/>
            <w:vAlign w:val="center"/>
          </w:tcPr>
          <w:p>
            <w:pPr>
              <w:jc w:val="right"/>
            </w:pPr>
            <w:r>
              <w:rPr>
                <w:rFonts w:ascii="宋体" w:eastAsia="宋体" w:hAnsi="宋体" w:cs="宋体"/>
                <w:b w:val="0"/>
                <w:i w:val="0"/>
                <w:color w:val="000000"/>
                <w:sz w:val="16"/>
              </w:rPr>
              <w:t xml:space="preserve">28.31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78.84</w:t>
            </w:r>
          </w:p>
        </w:tc>
        <w:tc>
          <w:tcPr>
            <w:tcW w:w="1120" w:type="dxa"/>
            <w:tcBorders/>
            <w:vAlign w:val="center"/>
          </w:tcPr>
          <w:p>
            <w:pPr>
              <w:jc w:val="right"/>
            </w:pPr>
            <w:r>
              <w:rPr>
                <w:rFonts w:ascii="宋体" w:eastAsia="宋体" w:hAnsi="宋体" w:cs="宋体"/>
                <w:b w:val="0"/>
                <w:i w:val="0"/>
                <w:color w:val="000000"/>
                <w:sz w:val="16"/>
              </w:rPr>
              <w:t xml:space="preserve">78.84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113.46</w:t>
            </w:r>
          </w:p>
        </w:tc>
        <w:tc>
          <w:tcPr>
            <w:tcW w:w="1120" w:type="dxa"/>
            <w:tcBorders/>
            <w:vAlign w:val="center"/>
          </w:tcPr>
          <w:p>
            <w:pPr>
              <w:jc w:val="right"/>
            </w:pPr>
            <w:r>
              <w:rPr>
                <w:rFonts w:ascii="宋体" w:eastAsia="宋体" w:hAnsi="宋体" w:cs="宋体"/>
                <w:b w:val="0"/>
                <w:i w:val="0"/>
                <w:color w:val="000000"/>
                <w:sz w:val="16"/>
              </w:rPr>
              <w:t xml:space="preserve">113.46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25.89</w:t>
            </w:r>
          </w:p>
        </w:tc>
        <w:tc>
          <w:tcPr>
            <w:tcW w:w="1120" w:type="dxa"/>
            <w:tcBorders/>
            <w:vAlign w:val="center"/>
          </w:tcPr>
          <w:p>
            <w:pPr>
              <w:jc w:val="right"/>
            </w:pPr>
            <w:r>
              <w:rPr>
                <w:rFonts w:ascii="宋体" w:eastAsia="宋体" w:hAnsi="宋体" w:cs="宋体"/>
                <w:b w:val="0"/>
                <w:i w:val="0"/>
                <w:color w:val="000000"/>
                <w:sz w:val="16"/>
              </w:rPr>
              <w:t xml:space="preserve">25.89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25.89</w:t>
            </w:r>
          </w:p>
        </w:tc>
        <w:tc>
          <w:tcPr>
            <w:tcW w:w="1120" w:type="dxa"/>
            <w:tcBorders/>
            <w:vAlign w:val="center"/>
          </w:tcPr>
          <w:p>
            <w:pPr>
              <w:jc w:val="right"/>
            </w:pPr>
            <w:r>
              <w:rPr>
                <w:rFonts w:ascii="宋体" w:eastAsia="宋体" w:hAnsi="宋体" w:cs="宋体"/>
                <w:b w:val="0"/>
                <w:i w:val="0"/>
                <w:color w:val="000000"/>
                <w:sz w:val="16"/>
              </w:rPr>
              <w:t xml:space="preserve">25.89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35.26</w:t>
            </w:r>
          </w:p>
        </w:tc>
        <w:tc>
          <w:tcPr>
            <w:tcW w:w="1120" w:type="dxa"/>
            <w:tcBorders/>
            <w:vAlign w:val="center"/>
          </w:tcPr>
          <w:p>
            <w:pPr>
              <w:jc w:val="right"/>
            </w:pPr>
            <w:r>
              <w:rPr>
                <w:rFonts w:ascii="宋体" w:eastAsia="宋体" w:hAnsi="宋体" w:cs="宋体"/>
                <w:b w:val="0"/>
                <w:i w:val="0"/>
                <w:color w:val="000000"/>
                <w:sz w:val="16"/>
              </w:rPr>
              <w:t xml:space="preserve">35.26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35.26</w:t>
            </w:r>
          </w:p>
        </w:tc>
        <w:tc>
          <w:tcPr>
            <w:tcW w:w="1120" w:type="dxa"/>
            <w:tcBorders/>
            <w:vAlign w:val="center"/>
          </w:tcPr>
          <w:p>
            <w:pPr>
              <w:jc w:val="right"/>
            </w:pPr>
            <w:r>
              <w:rPr>
                <w:rFonts w:ascii="宋体" w:eastAsia="宋体" w:hAnsi="宋体" w:cs="宋体"/>
                <w:b w:val="0"/>
                <w:i w:val="0"/>
                <w:color w:val="000000"/>
                <w:sz w:val="16"/>
              </w:rPr>
              <w:t xml:space="preserve">35.26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34.37</w:t>
            </w:r>
          </w:p>
        </w:tc>
        <w:tc>
          <w:tcPr>
            <w:tcW w:w="1120" w:type="dxa"/>
            <w:tcBorders/>
            <w:vAlign w:val="center"/>
          </w:tcPr>
          <w:p>
            <w:pPr>
              <w:jc w:val="right"/>
            </w:pPr>
            <w:r>
              <w:rPr>
                <w:rFonts w:ascii="宋体" w:eastAsia="宋体" w:hAnsi="宋体" w:cs="宋体"/>
                <w:b w:val="0"/>
                <w:i w:val="0"/>
                <w:color w:val="000000"/>
                <w:sz w:val="16"/>
              </w:rPr>
              <w:t xml:space="preserve">34.37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0.89</w:t>
            </w:r>
          </w:p>
        </w:tc>
        <w:tc>
          <w:tcPr>
            <w:tcW w:w="1120" w:type="dxa"/>
            <w:tcBorders/>
            <w:vAlign w:val="center"/>
          </w:tcPr>
          <w:p>
            <w:pPr>
              <w:jc w:val="right"/>
            </w:pPr>
            <w:r>
              <w:rPr>
                <w:rFonts w:ascii="宋体" w:eastAsia="宋体" w:hAnsi="宋体" w:cs="宋体"/>
                <w:b w:val="0"/>
                <w:i w:val="0"/>
                <w:color w:val="000000"/>
                <w:sz w:val="16"/>
              </w:rPr>
              <w:t xml:space="preserve">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646.97</w:t>
            </w:r>
          </w:p>
        </w:tc>
        <w:tc>
          <w:tcPr>
            <w:tcW w:w="1100" w:type="dxa"/>
            <w:tcBorders/>
            <w:vAlign w:val="center"/>
          </w:tcPr>
          <w:p>
            <w:pPr>
              <w:jc w:val="right"/>
            </w:pPr>
            <w:r>
              <w:rPr>
                <w:rFonts w:ascii="宋体" w:eastAsia="宋体" w:hAnsi="宋体" w:cs="宋体"/>
                <w:b w:val="0"/>
                <w:i w:val="0"/>
                <w:color w:val="000000"/>
                <w:sz w:val="14"/>
              </w:rPr>
              <w:t xml:space="preserve">646.97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247.46</w:t>
            </w:r>
          </w:p>
        </w:tc>
        <w:tc>
          <w:tcPr>
            <w:tcW w:w="1100" w:type="dxa"/>
            <w:tcBorders/>
            <w:vAlign w:val="center"/>
          </w:tcPr>
          <w:p>
            <w:pPr>
              <w:jc w:val="right"/>
            </w:pPr>
            <w:r>
              <w:rPr>
                <w:rFonts w:ascii="宋体" w:eastAsia="宋体" w:hAnsi="宋体" w:cs="宋体"/>
                <w:b w:val="0"/>
                <w:i w:val="0"/>
                <w:color w:val="000000"/>
                <w:sz w:val="14"/>
              </w:rPr>
              <w:t xml:space="preserve">247.46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35.26</w:t>
            </w:r>
          </w:p>
        </w:tc>
        <w:tc>
          <w:tcPr>
            <w:tcW w:w="1100" w:type="dxa"/>
            <w:tcBorders/>
            <w:vAlign w:val="center"/>
          </w:tcPr>
          <w:p>
            <w:pPr>
              <w:jc w:val="right"/>
            </w:pPr>
            <w:r>
              <w:rPr>
                <w:rFonts w:ascii="宋体" w:eastAsia="宋体" w:hAnsi="宋体" w:cs="宋体"/>
                <w:b w:val="0"/>
                <w:i w:val="0"/>
                <w:color w:val="000000"/>
                <w:sz w:val="14"/>
              </w:rPr>
              <w:t xml:space="preserve">35.26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63.43</w:t>
            </w:r>
          </w:p>
        </w:tc>
        <w:tc>
          <w:tcPr>
            <w:tcW w:w="1100" w:type="dxa"/>
            <w:tcBorders/>
            <w:vAlign w:val="center"/>
          </w:tcPr>
          <w:p>
            <w:pPr>
              <w:jc w:val="right"/>
            </w:pPr>
            <w:r>
              <w:rPr>
                <w:rFonts w:ascii="宋体" w:eastAsia="宋体" w:hAnsi="宋体" w:cs="宋体"/>
                <w:b w:val="0"/>
                <w:i w:val="0"/>
                <w:color w:val="000000"/>
                <w:sz w:val="14"/>
              </w:rPr>
              <w:t xml:space="preserve">63.43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1100" w:type="dxa"/>
            <w:tcBorders/>
            <w:vAlign w:val="center"/>
          </w:tcPr>
          <w:p>
            <w:pPr>
              <w:jc w:val="right"/>
            </w:pPr>
            <w:r>
              <w:rPr>
                <w:rFonts w:ascii="宋体" w:eastAsia="宋体" w:hAnsi="宋体" w:cs="宋体"/>
                <w:b w:val="0"/>
                <w:i w:val="0"/>
                <w:color w:val="000000"/>
                <w:sz w:val="14"/>
              </w:rPr>
              <w:t xml:space="preserve">993.12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993.12</w:t>
            </w:r>
          </w:p>
        </w:tc>
        <w:tc>
          <w:tcPr>
            <w:tcW w:w="1980" w:type="dxa"/>
            <w:tcBorders/>
            <w:vAlign w:val="center"/>
          </w:tcPr>
          <w:p>
            <w:pPr>
              <w:jc w:val="right"/>
            </w:pPr>
            <w:r>
              <w:rPr>
                <w:rFonts w:ascii="宋体" w:eastAsia="宋体" w:hAnsi="宋体" w:cs="宋体"/>
                <w:b/>
                <w:i w:val="0"/>
                <w:color w:val="000000"/>
                <w:sz w:val="20"/>
              </w:rPr>
              <w:t xml:space="preserve">993.12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646.97</w:t>
            </w:r>
          </w:p>
        </w:tc>
        <w:tc>
          <w:tcPr>
            <w:tcW w:w="1980" w:type="dxa"/>
            <w:tcBorders/>
            <w:vAlign w:val="center"/>
          </w:tcPr>
          <w:p>
            <w:pPr>
              <w:jc w:val="right"/>
            </w:pPr>
            <w:r>
              <w:rPr>
                <w:rFonts w:ascii="宋体" w:eastAsia="宋体" w:hAnsi="宋体" w:cs="宋体"/>
                <w:b w:val="0"/>
                <w:i w:val="0"/>
                <w:color w:val="000000"/>
                <w:sz w:val="20"/>
              </w:rPr>
              <w:t xml:space="preserve">646.97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646.97</w:t>
            </w:r>
          </w:p>
        </w:tc>
        <w:tc>
          <w:tcPr>
            <w:tcW w:w="1980" w:type="dxa"/>
            <w:tcBorders/>
            <w:vAlign w:val="center"/>
          </w:tcPr>
          <w:p>
            <w:pPr>
              <w:jc w:val="right"/>
            </w:pPr>
            <w:r>
              <w:rPr>
                <w:rFonts w:ascii="宋体" w:eastAsia="宋体" w:hAnsi="宋体" w:cs="宋体"/>
                <w:b w:val="0"/>
                <w:i w:val="0"/>
                <w:color w:val="000000"/>
                <w:sz w:val="20"/>
              </w:rPr>
              <w:t xml:space="preserve">646.97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287.16</w:t>
            </w:r>
          </w:p>
        </w:tc>
        <w:tc>
          <w:tcPr>
            <w:tcW w:w="1980" w:type="dxa"/>
            <w:tcBorders/>
            <w:vAlign w:val="center"/>
          </w:tcPr>
          <w:p>
            <w:pPr>
              <w:jc w:val="right"/>
            </w:pPr>
            <w:r>
              <w:rPr>
                <w:rFonts w:ascii="宋体" w:eastAsia="宋体" w:hAnsi="宋体" w:cs="宋体"/>
                <w:b w:val="0"/>
                <w:i w:val="0"/>
                <w:color w:val="000000"/>
                <w:sz w:val="20"/>
              </w:rPr>
              <w:t xml:space="preserve">287.16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359.81</w:t>
            </w:r>
          </w:p>
        </w:tc>
        <w:tc>
          <w:tcPr>
            <w:tcW w:w="1980" w:type="dxa"/>
            <w:tcBorders/>
            <w:vAlign w:val="center"/>
          </w:tcPr>
          <w:p>
            <w:pPr>
              <w:jc w:val="right"/>
            </w:pPr>
            <w:r>
              <w:rPr>
                <w:rFonts w:ascii="宋体" w:eastAsia="宋体" w:hAnsi="宋体" w:cs="宋体"/>
                <w:b w:val="0"/>
                <w:i w:val="0"/>
                <w:color w:val="000000"/>
                <w:sz w:val="20"/>
              </w:rPr>
              <w:t xml:space="preserve">359.81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247.45</w:t>
            </w:r>
          </w:p>
        </w:tc>
        <w:tc>
          <w:tcPr>
            <w:tcW w:w="1980" w:type="dxa"/>
            <w:tcBorders/>
            <w:vAlign w:val="center"/>
          </w:tcPr>
          <w:p>
            <w:pPr>
              <w:jc w:val="right"/>
            </w:pPr>
            <w:r>
              <w:rPr>
                <w:rFonts w:ascii="宋体" w:eastAsia="宋体" w:hAnsi="宋体" w:cs="宋体"/>
                <w:b w:val="0"/>
                <w:i w:val="0"/>
                <w:color w:val="000000"/>
                <w:sz w:val="20"/>
              </w:rPr>
              <w:t xml:space="preserve">247.45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220.61</w:t>
            </w:r>
          </w:p>
        </w:tc>
        <w:tc>
          <w:tcPr>
            <w:tcW w:w="1980" w:type="dxa"/>
            <w:tcBorders/>
            <w:vAlign w:val="center"/>
          </w:tcPr>
          <w:p>
            <w:pPr>
              <w:jc w:val="right"/>
            </w:pPr>
            <w:r>
              <w:rPr>
                <w:rFonts w:ascii="宋体" w:eastAsia="宋体" w:hAnsi="宋体" w:cs="宋体"/>
                <w:b w:val="0"/>
                <w:i w:val="0"/>
                <w:color w:val="000000"/>
                <w:sz w:val="20"/>
              </w:rPr>
              <w:t xml:space="preserve">220.61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28.31</w:t>
            </w:r>
          </w:p>
        </w:tc>
        <w:tc>
          <w:tcPr>
            <w:tcW w:w="1980" w:type="dxa"/>
            <w:tcBorders/>
            <w:vAlign w:val="center"/>
          </w:tcPr>
          <w:p>
            <w:pPr>
              <w:jc w:val="right"/>
            </w:pPr>
            <w:r>
              <w:rPr>
                <w:rFonts w:ascii="宋体" w:eastAsia="宋体" w:hAnsi="宋体" w:cs="宋体"/>
                <w:b w:val="0"/>
                <w:i w:val="0"/>
                <w:color w:val="000000"/>
                <w:sz w:val="20"/>
              </w:rPr>
              <w:t xml:space="preserve">28.31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78.84</w:t>
            </w:r>
          </w:p>
        </w:tc>
        <w:tc>
          <w:tcPr>
            <w:tcW w:w="1980" w:type="dxa"/>
            <w:tcBorders/>
            <w:vAlign w:val="center"/>
          </w:tcPr>
          <w:p>
            <w:pPr>
              <w:jc w:val="right"/>
            </w:pPr>
            <w:r>
              <w:rPr>
                <w:rFonts w:ascii="宋体" w:eastAsia="宋体" w:hAnsi="宋体" w:cs="宋体"/>
                <w:b w:val="0"/>
                <w:i w:val="0"/>
                <w:color w:val="000000"/>
                <w:sz w:val="20"/>
              </w:rPr>
              <w:t xml:space="preserve">78.84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113.46</w:t>
            </w:r>
          </w:p>
        </w:tc>
        <w:tc>
          <w:tcPr>
            <w:tcW w:w="1980" w:type="dxa"/>
            <w:tcBorders/>
            <w:vAlign w:val="center"/>
          </w:tcPr>
          <w:p>
            <w:pPr>
              <w:jc w:val="right"/>
            </w:pPr>
            <w:r>
              <w:rPr>
                <w:rFonts w:ascii="宋体" w:eastAsia="宋体" w:hAnsi="宋体" w:cs="宋体"/>
                <w:b w:val="0"/>
                <w:i w:val="0"/>
                <w:color w:val="000000"/>
                <w:sz w:val="20"/>
              </w:rPr>
              <w:t xml:space="preserve">113.46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25.89</w:t>
            </w:r>
          </w:p>
        </w:tc>
        <w:tc>
          <w:tcPr>
            <w:tcW w:w="1980" w:type="dxa"/>
            <w:tcBorders/>
            <w:vAlign w:val="center"/>
          </w:tcPr>
          <w:p>
            <w:pPr>
              <w:jc w:val="right"/>
            </w:pPr>
            <w:r>
              <w:rPr>
                <w:rFonts w:ascii="宋体" w:eastAsia="宋体" w:hAnsi="宋体" w:cs="宋体"/>
                <w:b w:val="0"/>
                <w:i w:val="0"/>
                <w:color w:val="000000"/>
                <w:sz w:val="20"/>
              </w:rPr>
              <w:t xml:space="preserve">25.89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25.89</w:t>
            </w:r>
          </w:p>
        </w:tc>
        <w:tc>
          <w:tcPr>
            <w:tcW w:w="1980" w:type="dxa"/>
            <w:tcBorders/>
            <w:vAlign w:val="center"/>
          </w:tcPr>
          <w:p>
            <w:pPr>
              <w:jc w:val="right"/>
            </w:pPr>
            <w:r>
              <w:rPr>
                <w:rFonts w:ascii="宋体" w:eastAsia="宋体" w:hAnsi="宋体" w:cs="宋体"/>
                <w:b w:val="0"/>
                <w:i w:val="0"/>
                <w:color w:val="000000"/>
                <w:sz w:val="20"/>
              </w:rPr>
              <w:t xml:space="preserve">25.89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35.26</w:t>
            </w:r>
          </w:p>
        </w:tc>
        <w:tc>
          <w:tcPr>
            <w:tcW w:w="1980" w:type="dxa"/>
            <w:tcBorders/>
            <w:vAlign w:val="center"/>
          </w:tcPr>
          <w:p>
            <w:pPr>
              <w:jc w:val="right"/>
            </w:pPr>
            <w:r>
              <w:rPr>
                <w:rFonts w:ascii="宋体" w:eastAsia="宋体" w:hAnsi="宋体" w:cs="宋体"/>
                <w:b w:val="0"/>
                <w:i w:val="0"/>
                <w:color w:val="000000"/>
                <w:sz w:val="20"/>
              </w:rPr>
              <w:t xml:space="preserve">35.26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35.26</w:t>
            </w:r>
          </w:p>
        </w:tc>
        <w:tc>
          <w:tcPr>
            <w:tcW w:w="1980" w:type="dxa"/>
            <w:tcBorders/>
            <w:vAlign w:val="center"/>
          </w:tcPr>
          <w:p>
            <w:pPr>
              <w:jc w:val="right"/>
            </w:pPr>
            <w:r>
              <w:rPr>
                <w:rFonts w:ascii="宋体" w:eastAsia="宋体" w:hAnsi="宋体" w:cs="宋体"/>
                <w:b w:val="0"/>
                <w:i w:val="0"/>
                <w:color w:val="000000"/>
                <w:sz w:val="20"/>
              </w:rPr>
              <w:t xml:space="preserve">35.26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34.37</w:t>
            </w:r>
          </w:p>
        </w:tc>
        <w:tc>
          <w:tcPr>
            <w:tcW w:w="1980" w:type="dxa"/>
            <w:tcBorders/>
            <w:vAlign w:val="center"/>
          </w:tcPr>
          <w:p>
            <w:pPr>
              <w:jc w:val="right"/>
            </w:pPr>
            <w:r>
              <w:rPr>
                <w:rFonts w:ascii="宋体" w:eastAsia="宋体" w:hAnsi="宋体" w:cs="宋体"/>
                <w:b w:val="0"/>
                <w:i w:val="0"/>
                <w:color w:val="000000"/>
                <w:sz w:val="20"/>
              </w:rPr>
              <w:t xml:space="preserve">34.37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0.89</w:t>
            </w:r>
          </w:p>
        </w:tc>
        <w:tc>
          <w:tcPr>
            <w:tcW w:w="1980" w:type="dxa"/>
            <w:tcBorders/>
            <w:vAlign w:val="center"/>
          </w:tcPr>
          <w:p>
            <w:pPr>
              <w:jc w:val="right"/>
            </w:pPr>
            <w:r>
              <w:rPr>
                <w:rFonts w:ascii="宋体" w:eastAsia="宋体" w:hAnsi="宋体" w:cs="宋体"/>
                <w:b w:val="0"/>
                <w:i w:val="0"/>
                <w:color w:val="000000"/>
                <w:sz w:val="20"/>
              </w:rPr>
              <w:t xml:space="preserve">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63.43</w:t>
            </w:r>
          </w:p>
        </w:tc>
        <w:tc>
          <w:tcPr>
            <w:tcW w:w="1980" w:type="dxa"/>
            <w:tcBorders/>
            <w:vAlign w:val="center"/>
          </w:tcPr>
          <w:p>
            <w:pPr>
              <w:jc w:val="right"/>
            </w:pPr>
            <w:r>
              <w:rPr>
                <w:rFonts w:ascii="宋体" w:eastAsia="宋体" w:hAnsi="宋体" w:cs="宋体"/>
                <w:b w:val="0"/>
                <w:i w:val="0"/>
                <w:color w:val="000000"/>
                <w:sz w:val="20"/>
              </w:rPr>
              <w:t xml:space="preserve">63.43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63.43</w:t>
            </w:r>
          </w:p>
        </w:tc>
        <w:tc>
          <w:tcPr>
            <w:tcW w:w="1980" w:type="dxa"/>
            <w:tcBorders/>
            <w:vAlign w:val="center"/>
          </w:tcPr>
          <w:p>
            <w:pPr>
              <w:jc w:val="right"/>
            </w:pPr>
            <w:r>
              <w:rPr>
                <w:rFonts w:ascii="宋体" w:eastAsia="宋体" w:hAnsi="宋体" w:cs="宋体"/>
                <w:b w:val="0"/>
                <w:i w:val="0"/>
                <w:color w:val="000000"/>
                <w:sz w:val="20"/>
              </w:rPr>
              <w:t xml:space="preserve">63.43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63.43</w:t>
            </w:r>
          </w:p>
        </w:tc>
        <w:tc>
          <w:tcPr>
            <w:tcW w:w="1980" w:type="dxa"/>
            <w:tcBorders/>
            <w:vAlign w:val="center"/>
          </w:tcPr>
          <w:p>
            <w:pPr>
              <w:jc w:val="right"/>
            </w:pPr>
            <w:r>
              <w:rPr>
                <w:rFonts w:ascii="宋体" w:eastAsia="宋体" w:hAnsi="宋体" w:cs="宋体"/>
                <w:b w:val="0"/>
                <w:i w:val="0"/>
                <w:color w:val="000000"/>
                <w:sz w:val="20"/>
              </w:rPr>
              <w:t xml:space="preserve">63.43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917.33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19.05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331.22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8.49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74.30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219.86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78.84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3.80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113.46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34.10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1.84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63.43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56.74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28.24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25.89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1.65</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2.78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974.07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19.05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单位：辽宁省盘锦市大洼区唐家学校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026022盘锦市大洼区唐家学校-211104000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896.29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896.29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3.795032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44.812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705.720677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705.72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1.加强领导班子作风建设。2.加强反腐倡廉制度建设。3.加强学校党组织建设。4.狠抓师德建设，增强团队意识。5.立足长远，加大教师学习力度，提升教师整体素质。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完成我校领导班子作风建设，加强了反腐倡廉制度建设，完成教师师德师风等目标。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加强业务培训，提升工作水平，统一财政业务流程，规范化，办理渠道畅通，提供工作效率。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