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辽宁省盘锦市大洼区教师进修学校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辽宁省盘锦市大洼区教师进修学校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辽宁省盘锦市大洼区教师进修学校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辽宁省盘锦市大洼区教师进修学校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辽宁省盘锦市大洼区教师进修学校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辽宁省盘锦市大洼区教师进修学校概况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(一）为全区在职教师继续教育、业务素质培训提供管理服务，本科、专科学历补偿教育，中学、小学、幼教、职教、电化教学研究，图书资料发行，“普教”档案管理。</w:t>
        <w:br/>
        <w:t xml:space="preserve">    （二）贯彻执行国家、省税政方针政策，分析预测经济形势，执行省与市、区分配政策。</w:t>
        <w:br/>
        <w:t xml:space="preserve">    （三）贯彻并实施财政、财务、会计管理的法规。</w:t>
        <w:br/>
        <w:t xml:space="preserve">    （四）承担区本级各项财政收支管理的责任，负责编制年度区本级预算草案并组织执行，负责审核本单位的年度预决算。</w:t>
        <w:br/>
        <w:t xml:space="preserve">    （五）贯彻执行国家税收法律、行政法规及有关政策。按规定管理行政事业性收费、政府性基金及其他非税收入，管理财政票据。</w:t>
        <w:br/>
        <w:t xml:space="preserve">    （六）负责制定本单位国有资产管理的规章制度及相关标准并组织实施。</w:t>
        <w:br/>
        <w:t xml:space="preserve">    （七）负责本单位会计管理制度实施，监督和规范会计行为。</w:t>
        <w:br/>
        <w:t xml:space="preserve">    （八）承办区教育局交办的其他事项。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辽宁省盘锦市大洼区教师进修学校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盘锦市大洼区教师进修学校。</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717.24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717.22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717.22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减少64.98万元，降低8.31%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717.22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717.22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工资福利支出653.26万元；商品和服务支出14.37万元；对个人和家庭的补助48.83万元；资本性支出0.77万元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减少64.99万元，降低8.31%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主要是银行利息结转等原因形成的结余。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增加0.00万元，增长54.00%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银行利息结转增加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717.22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717.22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减少64.99万元，降低8.31%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100.48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100.48</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2023年度一般公共预算财政拨款支出717.22万元。按支出功能分类科目分，包括：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1.教育支出473.42万元，具体包括：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（1）教育支出（类）进修及培训（款）教师进修（项）473.42万元,主要是人员经费支出和日常公用经费等支出，完成年初预算的90.45%，决算数与年初预算数存在差异的主要原因是人员经费支出减少。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2.社会保障和就业支出161.61万元，具体包括：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22.54万元,主要是退休人员取暖费和退休人员独生子女费等支出，完成年初预算的99.91%，决算数与年初预算数存在差异的主要原因是四舍五入出现的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66.04万元,主要是机关事业单位基本养老保险缴费等支出，完成年初预算的93.53%，决算数与年初预算数存在差异的主要原因是机关事业单位基本养老保险缴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48.95万元,主要是机关事业单位职业年金缴费等支出，完成年初预算的100%，决算数与年初预算数存在差异的主要原因是追加退休人员职业年金单位缴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（4）社会保障和就业支出（类）抚恤（款）死亡抚恤（项）23.27万元,主要是退休人员死亡抚恤等支出，完成年初预算的100%，决算数与年初预算数存在差异的主要原因是追加退休人员死亡抚恤支出。。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0.81万元,主要是其他社会保障缴费等支出，完成年初预算的91.01%，决算数与年初预算数存在差异的主要原因是其他社会保障缴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3.卫生健康支出29.53万元，具体包括：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28.86万元,主要是职工基本医疗保险缴费等支出，完成年初预算的93.43%，决算数与年初预算数存在差异的主要原因是职工基本医疗保险缴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0.67万元,主要是职工大额医疗保险缴费等支出，完成年初预算的98.5%，决算数与年初预算数存在差异的主要原因是大额医疗保险单位缴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4.住房保障支出52.68万元，具体包括：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（1）住房保障支出（类）住房改革支出（款）住房公积金（项）52.68万元,主要是单位职工住房公积金等支出，完成年初预算的99.36%，决算数与年初预算数存在差异的主要原因是单位职工住房公积金支出减少。。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本年度我单位无“三公”经费支出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本年度我单位无因公出国（境）费支出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本年度我单位无因公出国（境）费支出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本年度我单位无公务接待费支出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本年度我单位无公务接待费支出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本年度我单位无公务用车购置及运行费支出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本年度我单位无公务用车购置及运行费支出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717.23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702.09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15.14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我单位本年度无机关运行费支出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，其他用车主要是我单位车辆有账无物（于1998年卖出，当时未做报废账务处理，所以现在账上还挂着）</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根据预算绩效管理要求，盘锦市大洼区教师进修学校开展2023年预算整体绩效自评，涉及资金717.22万元，自评平均分100分。《部门（单位）整体绩效自评表》见附件。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16.教育支出（类）进修及培训（款）教师进修（项）：反映教师进修、师资培训支出。</w:t>
        <w:br/>
        <w:t xml:space="preserve">    17.社会保障和就业（类）行政事业单位养老支出（款）事业单位离退休（项）：反映事业单位开支的离退休经费。</w:t>
        <w:br/>
        <w:t xml:space="preserve">    18.社会保障和就业支出（类）行政事业单位养老支出（款）机关事业单位基本养老保险缴费支出（项）：反映机关事业单位实施养老保险制度由单位缴纳的基本养老保险费支出。</w:t>
        <w:br/>
        <w:t xml:space="preserve">    19.社会保障和就业支出（类）行政事业单位养老支出（款）机关事业单位职业年金缴费支出（项）：反映机关事业单位实施养老保险制度由单位实际缴纳的职业年金支出。</w:t>
        <w:br/>
        <w:t xml:space="preserve">    20.社会保障和就业支出（类）抚恤（款）死亡抚恤（项）：反映按规定用于烈士和牺牲、病故人员家属的一次性和定期抚恤金以及丧葬补助费。</w:t>
        <w:br/>
        <w:t xml:space="preserve">    21.社会保障和就业支出（类）其他社会保障和就业支出（款）其他社会保障和就业支出（项）：反映除上述项目以外其他用于社会保障和就业方面的支出。</w:t>
        <w:br/>
        <w:t xml:space="preserve">    22. 卫生健康支出（类）行政事业单位医疗（款）事业单位医疗（项）：反映财政部门安排的事业单位基本医疗保险缴费经费，未参加医疗保险的事业单位的公费医疗经费，按国家规定享受离休人员待遇的医疗经费。</w:t>
        <w:br/>
        <w:t xml:space="preserve">    23. 卫生健康支出（类）行政事业单位医疗（款）其他行政事业单位医疗支出（项）：反映除上述项目以外的其他用于行政事业单位医疗方面的支出。</w:t>
        <w:br/>
        <w:t xml:space="preserve">    24. 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单位：辽宁省盘锦市大洼区教师进修学校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717.22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473.42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0.01</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161.60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29.53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52.68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717.23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717.22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0.01</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717.24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717.24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单位：辽宁省盘锦市大洼区教师进修学校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717.23</w:t>
            </w:r>
          </w:p>
        </w:tc>
        <w:tc>
          <w:tcPr>
            <w:tcW w:w="1160" w:type="dxa"/>
            <w:tcBorders/>
            <w:vAlign w:val="center"/>
          </w:tcPr>
          <w:p>
            <w:pPr>
              <w:jc w:val="right"/>
            </w:pPr>
            <w:r>
              <w:rPr>
                <w:rFonts w:ascii="宋体" w:eastAsia="宋体" w:hAnsi="宋体" w:cs="宋体"/>
                <w:b/>
                <w:i w:val="0"/>
                <w:color w:val="000000"/>
                <w:sz w:val="14"/>
              </w:rPr>
              <w:t xml:space="preserve">717.22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473.42</w:t>
            </w:r>
          </w:p>
        </w:tc>
        <w:tc>
          <w:tcPr>
            <w:tcW w:w="1160" w:type="dxa"/>
            <w:tcBorders/>
            <w:vAlign w:val="center"/>
          </w:tcPr>
          <w:p>
            <w:pPr>
              <w:jc w:val="right"/>
            </w:pPr>
            <w:r>
              <w:rPr>
                <w:rFonts w:ascii="宋体" w:eastAsia="宋体" w:hAnsi="宋体" w:cs="宋体"/>
                <w:b w:val="0"/>
                <w:i w:val="0"/>
                <w:color w:val="000000"/>
                <w:sz w:val="14"/>
              </w:rPr>
              <w:t xml:space="preserve">473.42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进修及培训</w:t>
            </w:r>
          </w:p>
        </w:tc>
        <w:tc>
          <w:tcPr>
            <w:tcW w:w="1160" w:type="dxa"/>
            <w:tcBorders/>
            <w:vAlign w:val="center"/>
          </w:tcPr>
          <w:p>
            <w:pPr>
              <w:jc w:val="right"/>
            </w:pPr>
            <w:r>
              <w:rPr>
                <w:rFonts w:ascii="宋体" w:eastAsia="宋体" w:hAnsi="宋体" w:cs="宋体"/>
                <w:b w:val="0"/>
                <w:i w:val="0"/>
                <w:color w:val="000000"/>
                <w:sz w:val="14"/>
              </w:rPr>
              <w:t xml:space="preserve">473.42</w:t>
            </w:r>
          </w:p>
        </w:tc>
        <w:tc>
          <w:tcPr>
            <w:tcW w:w="1160" w:type="dxa"/>
            <w:tcBorders/>
            <w:vAlign w:val="center"/>
          </w:tcPr>
          <w:p>
            <w:pPr>
              <w:jc w:val="right"/>
            </w:pPr>
            <w:r>
              <w:rPr>
                <w:rFonts w:ascii="宋体" w:eastAsia="宋体" w:hAnsi="宋体" w:cs="宋体"/>
                <w:b w:val="0"/>
                <w:i w:val="0"/>
                <w:color w:val="000000"/>
                <w:sz w:val="14"/>
              </w:rPr>
              <w:t xml:space="preserve">473.42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教师进修</w:t>
            </w:r>
          </w:p>
        </w:tc>
        <w:tc>
          <w:tcPr>
            <w:tcW w:w="1160" w:type="dxa"/>
            <w:tcBorders/>
            <w:vAlign w:val="center"/>
          </w:tcPr>
          <w:p>
            <w:pPr>
              <w:jc w:val="right"/>
            </w:pPr>
            <w:r>
              <w:rPr>
                <w:rFonts w:ascii="宋体" w:eastAsia="宋体" w:hAnsi="宋体" w:cs="宋体"/>
                <w:b w:val="0"/>
                <w:i w:val="0"/>
                <w:color w:val="000000"/>
                <w:sz w:val="14"/>
              </w:rPr>
              <w:t xml:space="preserve">473.42</w:t>
            </w:r>
          </w:p>
        </w:tc>
        <w:tc>
          <w:tcPr>
            <w:tcW w:w="1160" w:type="dxa"/>
            <w:tcBorders/>
            <w:vAlign w:val="center"/>
          </w:tcPr>
          <w:p>
            <w:pPr>
              <w:jc w:val="right"/>
            </w:pPr>
            <w:r>
              <w:rPr>
                <w:rFonts w:ascii="宋体" w:eastAsia="宋体" w:hAnsi="宋体" w:cs="宋体"/>
                <w:b w:val="0"/>
                <w:i w:val="0"/>
                <w:color w:val="000000"/>
                <w:sz w:val="14"/>
              </w:rPr>
              <w:t xml:space="preserve">473.42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161.61</w:t>
            </w:r>
          </w:p>
        </w:tc>
        <w:tc>
          <w:tcPr>
            <w:tcW w:w="1160" w:type="dxa"/>
            <w:tcBorders/>
            <w:vAlign w:val="center"/>
          </w:tcPr>
          <w:p>
            <w:pPr>
              <w:jc w:val="right"/>
            </w:pPr>
            <w:r>
              <w:rPr>
                <w:rFonts w:ascii="宋体" w:eastAsia="宋体" w:hAnsi="宋体" w:cs="宋体"/>
                <w:b w:val="0"/>
                <w:i w:val="0"/>
                <w:color w:val="000000"/>
                <w:sz w:val="14"/>
              </w:rPr>
              <w:t xml:space="preserve">161.61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137.53</w:t>
            </w:r>
          </w:p>
        </w:tc>
        <w:tc>
          <w:tcPr>
            <w:tcW w:w="1160" w:type="dxa"/>
            <w:tcBorders/>
            <w:vAlign w:val="center"/>
          </w:tcPr>
          <w:p>
            <w:pPr>
              <w:jc w:val="right"/>
            </w:pPr>
            <w:r>
              <w:rPr>
                <w:rFonts w:ascii="宋体" w:eastAsia="宋体" w:hAnsi="宋体" w:cs="宋体"/>
                <w:b w:val="0"/>
                <w:i w:val="0"/>
                <w:color w:val="000000"/>
                <w:sz w:val="14"/>
              </w:rPr>
              <w:t xml:space="preserve">137.53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22.54</w:t>
            </w:r>
          </w:p>
        </w:tc>
        <w:tc>
          <w:tcPr>
            <w:tcW w:w="1160" w:type="dxa"/>
            <w:tcBorders/>
            <w:vAlign w:val="center"/>
          </w:tcPr>
          <w:p>
            <w:pPr>
              <w:jc w:val="right"/>
            </w:pPr>
            <w:r>
              <w:rPr>
                <w:rFonts w:ascii="宋体" w:eastAsia="宋体" w:hAnsi="宋体" w:cs="宋体"/>
                <w:b w:val="0"/>
                <w:i w:val="0"/>
                <w:color w:val="000000"/>
                <w:sz w:val="14"/>
              </w:rPr>
              <w:t xml:space="preserve">22.54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66.04</w:t>
            </w:r>
          </w:p>
        </w:tc>
        <w:tc>
          <w:tcPr>
            <w:tcW w:w="1160" w:type="dxa"/>
            <w:tcBorders/>
            <w:vAlign w:val="center"/>
          </w:tcPr>
          <w:p>
            <w:pPr>
              <w:jc w:val="right"/>
            </w:pPr>
            <w:r>
              <w:rPr>
                <w:rFonts w:ascii="宋体" w:eastAsia="宋体" w:hAnsi="宋体" w:cs="宋体"/>
                <w:b w:val="0"/>
                <w:i w:val="0"/>
                <w:color w:val="000000"/>
                <w:sz w:val="14"/>
              </w:rPr>
              <w:t xml:space="preserve">66.04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48.95</w:t>
            </w:r>
          </w:p>
        </w:tc>
        <w:tc>
          <w:tcPr>
            <w:tcW w:w="1160" w:type="dxa"/>
            <w:tcBorders/>
            <w:vAlign w:val="center"/>
          </w:tcPr>
          <w:p>
            <w:pPr>
              <w:jc w:val="right"/>
            </w:pPr>
            <w:r>
              <w:rPr>
                <w:rFonts w:ascii="宋体" w:eastAsia="宋体" w:hAnsi="宋体" w:cs="宋体"/>
                <w:b w:val="0"/>
                <w:i w:val="0"/>
                <w:color w:val="000000"/>
                <w:sz w:val="14"/>
              </w:rPr>
              <w:t xml:space="preserve">48.95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23.27</w:t>
            </w:r>
          </w:p>
        </w:tc>
        <w:tc>
          <w:tcPr>
            <w:tcW w:w="1160" w:type="dxa"/>
            <w:tcBorders/>
            <w:vAlign w:val="center"/>
          </w:tcPr>
          <w:p>
            <w:pPr>
              <w:jc w:val="right"/>
            </w:pPr>
            <w:r>
              <w:rPr>
                <w:rFonts w:ascii="宋体" w:eastAsia="宋体" w:hAnsi="宋体" w:cs="宋体"/>
                <w:b w:val="0"/>
                <w:i w:val="0"/>
                <w:color w:val="000000"/>
                <w:sz w:val="14"/>
              </w:rPr>
              <w:t xml:space="preserve">23.27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23.27</w:t>
            </w:r>
          </w:p>
        </w:tc>
        <w:tc>
          <w:tcPr>
            <w:tcW w:w="1160" w:type="dxa"/>
            <w:tcBorders/>
            <w:vAlign w:val="center"/>
          </w:tcPr>
          <w:p>
            <w:pPr>
              <w:jc w:val="right"/>
            </w:pPr>
            <w:r>
              <w:rPr>
                <w:rFonts w:ascii="宋体" w:eastAsia="宋体" w:hAnsi="宋体" w:cs="宋体"/>
                <w:b w:val="0"/>
                <w:i w:val="0"/>
                <w:color w:val="000000"/>
                <w:sz w:val="14"/>
              </w:rPr>
              <w:t xml:space="preserve">23.27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0.81</w:t>
            </w:r>
          </w:p>
        </w:tc>
        <w:tc>
          <w:tcPr>
            <w:tcW w:w="1160" w:type="dxa"/>
            <w:tcBorders/>
            <w:vAlign w:val="center"/>
          </w:tcPr>
          <w:p>
            <w:pPr>
              <w:jc w:val="right"/>
            </w:pPr>
            <w:r>
              <w:rPr>
                <w:rFonts w:ascii="宋体" w:eastAsia="宋体" w:hAnsi="宋体" w:cs="宋体"/>
                <w:b w:val="0"/>
                <w:i w:val="0"/>
                <w:color w:val="000000"/>
                <w:sz w:val="14"/>
              </w:rPr>
              <w:t xml:space="preserve">0.81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0.81</w:t>
            </w:r>
          </w:p>
        </w:tc>
        <w:tc>
          <w:tcPr>
            <w:tcW w:w="1160" w:type="dxa"/>
            <w:tcBorders/>
            <w:vAlign w:val="center"/>
          </w:tcPr>
          <w:p>
            <w:pPr>
              <w:jc w:val="right"/>
            </w:pPr>
            <w:r>
              <w:rPr>
                <w:rFonts w:ascii="宋体" w:eastAsia="宋体" w:hAnsi="宋体" w:cs="宋体"/>
                <w:b w:val="0"/>
                <w:i w:val="0"/>
                <w:color w:val="000000"/>
                <w:sz w:val="14"/>
              </w:rPr>
              <w:t xml:space="preserve">0.81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29.53</w:t>
            </w:r>
          </w:p>
        </w:tc>
        <w:tc>
          <w:tcPr>
            <w:tcW w:w="1160" w:type="dxa"/>
            <w:tcBorders/>
            <w:vAlign w:val="center"/>
          </w:tcPr>
          <w:p>
            <w:pPr>
              <w:jc w:val="right"/>
            </w:pPr>
            <w:r>
              <w:rPr>
                <w:rFonts w:ascii="宋体" w:eastAsia="宋体" w:hAnsi="宋体" w:cs="宋体"/>
                <w:b w:val="0"/>
                <w:i w:val="0"/>
                <w:color w:val="000000"/>
                <w:sz w:val="14"/>
              </w:rPr>
              <w:t xml:space="preserve">29.53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29.53</w:t>
            </w:r>
          </w:p>
        </w:tc>
        <w:tc>
          <w:tcPr>
            <w:tcW w:w="1160" w:type="dxa"/>
            <w:tcBorders/>
            <w:vAlign w:val="center"/>
          </w:tcPr>
          <w:p>
            <w:pPr>
              <w:jc w:val="right"/>
            </w:pPr>
            <w:r>
              <w:rPr>
                <w:rFonts w:ascii="宋体" w:eastAsia="宋体" w:hAnsi="宋体" w:cs="宋体"/>
                <w:b w:val="0"/>
                <w:i w:val="0"/>
                <w:color w:val="000000"/>
                <w:sz w:val="14"/>
              </w:rPr>
              <w:t xml:space="preserve">29.53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28.86</w:t>
            </w:r>
          </w:p>
        </w:tc>
        <w:tc>
          <w:tcPr>
            <w:tcW w:w="1160" w:type="dxa"/>
            <w:tcBorders/>
            <w:vAlign w:val="center"/>
          </w:tcPr>
          <w:p>
            <w:pPr>
              <w:jc w:val="right"/>
            </w:pPr>
            <w:r>
              <w:rPr>
                <w:rFonts w:ascii="宋体" w:eastAsia="宋体" w:hAnsi="宋体" w:cs="宋体"/>
                <w:b w:val="0"/>
                <w:i w:val="0"/>
                <w:color w:val="000000"/>
                <w:sz w:val="14"/>
              </w:rPr>
              <w:t xml:space="preserve">28.86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0.67</w:t>
            </w:r>
          </w:p>
        </w:tc>
        <w:tc>
          <w:tcPr>
            <w:tcW w:w="1160" w:type="dxa"/>
            <w:tcBorders/>
            <w:vAlign w:val="center"/>
          </w:tcPr>
          <w:p>
            <w:pPr>
              <w:jc w:val="right"/>
            </w:pPr>
            <w:r>
              <w:rPr>
                <w:rFonts w:ascii="宋体" w:eastAsia="宋体" w:hAnsi="宋体" w:cs="宋体"/>
                <w:b w:val="0"/>
                <w:i w:val="0"/>
                <w:color w:val="000000"/>
                <w:sz w:val="14"/>
              </w:rPr>
              <w:t xml:space="preserve">0.67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52.68</w:t>
            </w:r>
          </w:p>
        </w:tc>
        <w:tc>
          <w:tcPr>
            <w:tcW w:w="1160" w:type="dxa"/>
            <w:tcBorders/>
            <w:vAlign w:val="center"/>
          </w:tcPr>
          <w:p>
            <w:pPr>
              <w:jc w:val="right"/>
            </w:pPr>
            <w:r>
              <w:rPr>
                <w:rFonts w:ascii="宋体" w:eastAsia="宋体" w:hAnsi="宋体" w:cs="宋体"/>
                <w:b w:val="0"/>
                <w:i w:val="0"/>
                <w:color w:val="000000"/>
                <w:sz w:val="14"/>
              </w:rPr>
              <w:t xml:space="preserve">52.68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52.68</w:t>
            </w:r>
          </w:p>
        </w:tc>
        <w:tc>
          <w:tcPr>
            <w:tcW w:w="1160" w:type="dxa"/>
            <w:tcBorders/>
            <w:vAlign w:val="center"/>
          </w:tcPr>
          <w:p>
            <w:pPr>
              <w:jc w:val="right"/>
            </w:pPr>
            <w:r>
              <w:rPr>
                <w:rFonts w:ascii="宋体" w:eastAsia="宋体" w:hAnsi="宋体" w:cs="宋体"/>
                <w:b w:val="0"/>
                <w:i w:val="0"/>
                <w:color w:val="000000"/>
                <w:sz w:val="14"/>
              </w:rPr>
              <w:t xml:space="preserve">52.68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52.68</w:t>
            </w:r>
          </w:p>
        </w:tc>
        <w:tc>
          <w:tcPr>
            <w:tcW w:w="1160" w:type="dxa"/>
            <w:tcBorders/>
            <w:vAlign w:val="center"/>
          </w:tcPr>
          <w:p>
            <w:pPr>
              <w:jc w:val="right"/>
            </w:pPr>
            <w:r>
              <w:rPr>
                <w:rFonts w:ascii="宋体" w:eastAsia="宋体" w:hAnsi="宋体" w:cs="宋体"/>
                <w:b w:val="0"/>
                <w:i w:val="0"/>
                <w:color w:val="000000"/>
                <w:sz w:val="14"/>
              </w:rPr>
              <w:t xml:space="preserve">52.68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单位：辽宁省盘锦市大洼区教师进修学校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717.22</w:t>
            </w:r>
          </w:p>
        </w:tc>
        <w:tc>
          <w:tcPr>
            <w:tcW w:w="1120" w:type="dxa"/>
            <w:tcBorders/>
            <w:vAlign w:val="center"/>
          </w:tcPr>
          <w:p>
            <w:pPr>
              <w:jc w:val="right"/>
            </w:pPr>
            <w:r>
              <w:rPr>
                <w:rFonts w:ascii="宋体" w:eastAsia="宋体" w:hAnsi="宋体" w:cs="宋体"/>
                <w:b/>
                <w:i w:val="0"/>
                <w:color w:val="000000"/>
                <w:sz w:val="16"/>
              </w:rPr>
              <w:t xml:space="preserve">717.22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473.42</w:t>
            </w:r>
          </w:p>
        </w:tc>
        <w:tc>
          <w:tcPr>
            <w:tcW w:w="1120" w:type="dxa"/>
            <w:tcBorders/>
            <w:vAlign w:val="center"/>
          </w:tcPr>
          <w:p>
            <w:pPr>
              <w:jc w:val="right"/>
            </w:pPr>
            <w:r>
              <w:rPr>
                <w:rFonts w:ascii="宋体" w:eastAsia="宋体" w:hAnsi="宋体" w:cs="宋体"/>
                <w:b w:val="0"/>
                <w:i w:val="0"/>
                <w:color w:val="000000"/>
                <w:sz w:val="16"/>
              </w:rPr>
              <w:t xml:space="preserve">473.42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进修及培训</w:t>
            </w:r>
          </w:p>
        </w:tc>
        <w:tc>
          <w:tcPr>
            <w:tcW w:w="1120" w:type="dxa"/>
            <w:tcBorders/>
            <w:vAlign w:val="center"/>
          </w:tcPr>
          <w:p>
            <w:pPr>
              <w:jc w:val="right"/>
            </w:pPr>
            <w:r>
              <w:rPr>
                <w:rFonts w:ascii="宋体" w:eastAsia="宋体" w:hAnsi="宋体" w:cs="宋体"/>
                <w:b w:val="0"/>
                <w:i w:val="0"/>
                <w:color w:val="000000"/>
                <w:sz w:val="16"/>
              </w:rPr>
              <w:t xml:space="preserve">473.42</w:t>
            </w:r>
          </w:p>
        </w:tc>
        <w:tc>
          <w:tcPr>
            <w:tcW w:w="1120" w:type="dxa"/>
            <w:tcBorders/>
            <w:vAlign w:val="center"/>
          </w:tcPr>
          <w:p>
            <w:pPr>
              <w:jc w:val="right"/>
            </w:pPr>
            <w:r>
              <w:rPr>
                <w:rFonts w:ascii="宋体" w:eastAsia="宋体" w:hAnsi="宋体" w:cs="宋体"/>
                <w:b w:val="0"/>
                <w:i w:val="0"/>
                <w:color w:val="000000"/>
                <w:sz w:val="16"/>
              </w:rPr>
              <w:t xml:space="preserve">473.42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教师进修</w:t>
            </w:r>
          </w:p>
        </w:tc>
        <w:tc>
          <w:tcPr>
            <w:tcW w:w="1120" w:type="dxa"/>
            <w:tcBorders/>
            <w:vAlign w:val="center"/>
          </w:tcPr>
          <w:p>
            <w:pPr>
              <w:jc w:val="right"/>
            </w:pPr>
            <w:r>
              <w:rPr>
                <w:rFonts w:ascii="宋体" w:eastAsia="宋体" w:hAnsi="宋体" w:cs="宋体"/>
                <w:b w:val="0"/>
                <w:i w:val="0"/>
                <w:color w:val="000000"/>
                <w:sz w:val="16"/>
              </w:rPr>
              <w:t xml:space="preserve">473.42</w:t>
            </w:r>
          </w:p>
        </w:tc>
        <w:tc>
          <w:tcPr>
            <w:tcW w:w="1120" w:type="dxa"/>
            <w:tcBorders/>
            <w:vAlign w:val="center"/>
          </w:tcPr>
          <w:p>
            <w:pPr>
              <w:jc w:val="right"/>
            </w:pPr>
            <w:r>
              <w:rPr>
                <w:rFonts w:ascii="宋体" w:eastAsia="宋体" w:hAnsi="宋体" w:cs="宋体"/>
                <w:b w:val="0"/>
                <w:i w:val="0"/>
                <w:color w:val="000000"/>
                <w:sz w:val="16"/>
              </w:rPr>
              <w:t xml:space="preserve">473.42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161.61</w:t>
            </w:r>
          </w:p>
        </w:tc>
        <w:tc>
          <w:tcPr>
            <w:tcW w:w="1120" w:type="dxa"/>
            <w:tcBorders/>
            <w:vAlign w:val="center"/>
          </w:tcPr>
          <w:p>
            <w:pPr>
              <w:jc w:val="right"/>
            </w:pPr>
            <w:r>
              <w:rPr>
                <w:rFonts w:ascii="宋体" w:eastAsia="宋体" w:hAnsi="宋体" w:cs="宋体"/>
                <w:b w:val="0"/>
                <w:i w:val="0"/>
                <w:color w:val="000000"/>
                <w:sz w:val="16"/>
              </w:rPr>
              <w:t xml:space="preserve">161.61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137.53</w:t>
            </w:r>
          </w:p>
        </w:tc>
        <w:tc>
          <w:tcPr>
            <w:tcW w:w="1120" w:type="dxa"/>
            <w:tcBorders/>
            <w:vAlign w:val="center"/>
          </w:tcPr>
          <w:p>
            <w:pPr>
              <w:jc w:val="right"/>
            </w:pPr>
            <w:r>
              <w:rPr>
                <w:rFonts w:ascii="宋体" w:eastAsia="宋体" w:hAnsi="宋体" w:cs="宋体"/>
                <w:b w:val="0"/>
                <w:i w:val="0"/>
                <w:color w:val="000000"/>
                <w:sz w:val="16"/>
              </w:rPr>
              <w:t xml:space="preserve">137.53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22.54</w:t>
            </w:r>
          </w:p>
        </w:tc>
        <w:tc>
          <w:tcPr>
            <w:tcW w:w="1120" w:type="dxa"/>
            <w:tcBorders/>
            <w:vAlign w:val="center"/>
          </w:tcPr>
          <w:p>
            <w:pPr>
              <w:jc w:val="right"/>
            </w:pPr>
            <w:r>
              <w:rPr>
                <w:rFonts w:ascii="宋体" w:eastAsia="宋体" w:hAnsi="宋体" w:cs="宋体"/>
                <w:b w:val="0"/>
                <w:i w:val="0"/>
                <w:color w:val="000000"/>
                <w:sz w:val="16"/>
              </w:rPr>
              <w:t xml:space="preserve">22.54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66.04</w:t>
            </w:r>
          </w:p>
        </w:tc>
        <w:tc>
          <w:tcPr>
            <w:tcW w:w="1120" w:type="dxa"/>
            <w:tcBorders/>
            <w:vAlign w:val="center"/>
          </w:tcPr>
          <w:p>
            <w:pPr>
              <w:jc w:val="right"/>
            </w:pPr>
            <w:r>
              <w:rPr>
                <w:rFonts w:ascii="宋体" w:eastAsia="宋体" w:hAnsi="宋体" w:cs="宋体"/>
                <w:b w:val="0"/>
                <w:i w:val="0"/>
                <w:color w:val="000000"/>
                <w:sz w:val="16"/>
              </w:rPr>
              <w:t xml:space="preserve">66.04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48.95</w:t>
            </w:r>
          </w:p>
        </w:tc>
        <w:tc>
          <w:tcPr>
            <w:tcW w:w="1120" w:type="dxa"/>
            <w:tcBorders/>
            <w:vAlign w:val="center"/>
          </w:tcPr>
          <w:p>
            <w:pPr>
              <w:jc w:val="right"/>
            </w:pPr>
            <w:r>
              <w:rPr>
                <w:rFonts w:ascii="宋体" w:eastAsia="宋体" w:hAnsi="宋体" w:cs="宋体"/>
                <w:b w:val="0"/>
                <w:i w:val="0"/>
                <w:color w:val="000000"/>
                <w:sz w:val="16"/>
              </w:rPr>
              <w:t xml:space="preserve">48.95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23.27</w:t>
            </w:r>
          </w:p>
        </w:tc>
        <w:tc>
          <w:tcPr>
            <w:tcW w:w="1120" w:type="dxa"/>
            <w:tcBorders/>
            <w:vAlign w:val="center"/>
          </w:tcPr>
          <w:p>
            <w:pPr>
              <w:jc w:val="right"/>
            </w:pPr>
            <w:r>
              <w:rPr>
                <w:rFonts w:ascii="宋体" w:eastAsia="宋体" w:hAnsi="宋体" w:cs="宋体"/>
                <w:b w:val="0"/>
                <w:i w:val="0"/>
                <w:color w:val="000000"/>
                <w:sz w:val="16"/>
              </w:rPr>
              <w:t xml:space="preserve">23.27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23.27</w:t>
            </w:r>
          </w:p>
        </w:tc>
        <w:tc>
          <w:tcPr>
            <w:tcW w:w="1120" w:type="dxa"/>
            <w:tcBorders/>
            <w:vAlign w:val="center"/>
          </w:tcPr>
          <w:p>
            <w:pPr>
              <w:jc w:val="right"/>
            </w:pPr>
            <w:r>
              <w:rPr>
                <w:rFonts w:ascii="宋体" w:eastAsia="宋体" w:hAnsi="宋体" w:cs="宋体"/>
                <w:b w:val="0"/>
                <w:i w:val="0"/>
                <w:color w:val="000000"/>
                <w:sz w:val="16"/>
              </w:rPr>
              <w:t xml:space="preserve">23.27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0.81</w:t>
            </w:r>
          </w:p>
        </w:tc>
        <w:tc>
          <w:tcPr>
            <w:tcW w:w="1120" w:type="dxa"/>
            <w:tcBorders/>
            <w:vAlign w:val="center"/>
          </w:tcPr>
          <w:p>
            <w:pPr>
              <w:jc w:val="right"/>
            </w:pPr>
            <w:r>
              <w:rPr>
                <w:rFonts w:ascii="宋体" w:eastAsia="宋体" w:hAnsi="宋体" w:cs="宋体"/>
                <w:b w:val="0"/>
                <w:i w:val="0"/>
                <w:color w:val="000000"/>
                <w:sz w:val="16"/>
              </w:rPr>
              <w:t xml:space="preserve">0.81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0.81</w:t>
            </w:r>
          </w:p>
        </w:tc>
        <w:tc>
          <w:tcPr>
            <w:tcW w:w="1120" w:type="dxa"/>
            <w:tcBorders/>
            <w:vAlign w:val="center"/>
          </w:tcPr>
          <w:p>
            <w:pPr>
              <w:jc w:val="right"/>
            </w:pPr>
            <w:r>
              <w:rPr>
                <w:rFonts w:ascii="宋体" w:eastAsia="宋体" w:hAnsi="宋体" w:cs="宋体"/>
                <w:b w:val="0"/>
                <w:i w:val="0"/>
                <w:color w:val="000000"/>
                <w:sz w:val="16"/>
              </w:rPr>
              <w:t xml:space="preserve">0.81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29.53</w:t>
            </w:r>
          </w:p>
        </w:tc>
        <w:tc>
          <w:tcPr>
            <w:tcW w:w="1120" w:type="dxa"/>
            <w:tcBorders/>
            <w:vAlign w:val="center"/>
          </w:tcPr>
          <w:p>
            <w:pPr>
              <w:jc w:val="right"/>
            </w:pPr>
            <w:r>
              <w:rPr>
                <w:rFonts w:ascii="宋体" w:eastAsia="宋体" w:hAnsi="宋体" w:cs="宋体"/>
                <w:b w:val="0"/>
                <w:i w:val="0"/>
                <w:color w:val="000000"/>
                <w:sz w:val="16"/>
              </w:rPr>
              <w:t xml:space="preserve">29.53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29.53</w:t>
            </w:r>
          </w:p>
        </w:tc>
        <w:tc>
          <w:tcPr>
            <w:tcW w:w="1120" w:type="dxa"/>
            <w:tcBorders/>
            <w:vAlign w:val="center"/>
          </w:tcPr>
          <w:p>
            <w:pPr>
              <w:jc w:val="right"/>
            </w:pPr>
            <w:r>
              <w:rPr>
                <w:rFonts w:ascii="宋体" w:eastAsia="宋体" w:hAnsi="宋体" w:cs="宋体"/>
                <w:b w:val="0"/>
                <w:i w:val="0"/>
                <w:color w:val="000000"/>
                <w:sz w:val="16"/>
              </w:rPr>
              <w:t xml:space="preserve">29.53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28.86</w:t>
            </w:r>
          </w:p>
        </w:tc>
        <w:tc>
          <w:tcPr>
            <w:tcW w:w="1120" w:type="dxa"/>
            <w:tcBorders/>
            <w:vAlign w:val="center"/>
          </w:tcPr>
          <w:p>
            <w:pPr>
              <w:jc w:val="right"/>
            </w:pPr>
            <w:r>
              <w:rPr>
                <w:rFonts w:ascii="宋体" w:eastAsia="宋体" w:hAnsi="宋体" w:cs="宋体"/>
                <w:b w:val="0"/>
                <w:i w:val="0"/>
                <w:color w:val="000000"/>
                <w:sz w:val="16"/>
              </w:rPr>
              <w:t xml:space="preserve">28.86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0.67</w:t>
            </w:r>
          </w:p>
        </w:tc>
        <w:tc>
          <w:tcPr>
            <w:tcW w:w="1120" w:type="dxa"/>
            <w:tcBorders/>
            <w:vAlign w:val="center"/>
          </w:tcPr>
          <w:p>
            <w:pPr>
              <w:jc w:val="right"/>
            </w:pPr>
            <w:r>
              <w:rPr>
                <w:rFonts w:ascii="宋体" w:eastAsia="宋体" w:hAnsi="宋体" w:cs="宋体"/>
                <w:b w:val="0"/>
                <w:i w:val="0"/>
                <w:color w:val="000000"/>
                <w:sz w:val="16"/>
              </w:rPr>
              <w:t xml:space="preserve">0.67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52.68</w:t>
            </w:r>
          </w:p>
        </w:tc>
        <w:tc>
          <w:tcPr>
            <w:tcW w:w="1120" w:type="dxa"/>
            <w:tcBorders/>
            <w:vAlign w:val="center"/>
          </w:tcPr>
          <w:p>
            <w:pPr>
              <w:jc w:val="right"/>
            </w:pPr>
            <w:r>
              <w:rPr>
                <w:rFonts w:ascii="宋体" w:eastAsia="宋体" w:hAnsi="宋体" w:cs="宋体"/>
                <w:b w:val="0"/>
                <w:i w:val="0"/>
                <w:color w:val="000000"/>
                <w:sz w:val="16"/>
              </w:rPr>
              <w:t xml:space="preserve">52.68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52.68</w:t>
            </w:r>
          </w:p>
        </w:tc>
        <w:tc>
          <w:tcPr>
            <w:tcW w:w="1120" w:type="dxa"/>
            <w:tcBorders/>
            <w:vAlign w:val="center"/>
          </w:tcPr>
          <w:p>
            <w:pPr>
              <w:jc w:val="right"/>
            </w:pPr>
            <w:r>
              <w:rPr>
                <w:rFonts w:ascii="宋体" w:eastAsia="宋体" w:hAnsi="宋体" w:cs="宋体"/>
                <w:b w:val="0"/>
                <w:i w:val="0"/>
                <w:color w:val="000000"/>
                <w:sz w:val="16"/>
              </w:rPr>
              <w:t xml:space="preserve">52.68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52.68</w:t>
            </w:r>
          </w:p>
        </w:tc>
        <w:tc>
          <w:tcPr>
            <w:tcW w:w="1120" w:type="dxa"/>
            <w:tcBorders/>
            <w:vAlign w:val="center"/>
          </w:tcPr>
          <w:p>
            <w:pPr>
              <w:jc w:val="right"/>
            </w:pPr>
            <w:r>
              <w:rPr>
                <w:rFonts w:ascii="宋体" w:eastAsia="宋体" w:hAnsi="宋体" w:cs="宋体"/>
                <w:b w:val="0"/>
                <w:i w:val="0"/>
                <w:color w:val="000000"/>
                <w:sz w:val="16"/>
              </w:rPr>
              <w:t xml:space="preserve">52.68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单位：辽宁省盘锦市大洼区教师进修学校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717.22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473.42</w:t>
            </w:r>
          </w:p>
        </w:tc>
        <w:tc>
          <w:tcPr>
            <w:tcW w:w="1100" w:type="dxa"/>
            <w:tcBorders/>
            <w:vAlign w:val="center"/>
          </w:tcPr>
          <w:p>
            <w:pPr>
              <w:jc w:val="right"/>
            </w:pPr>
            <w:r>
              <w:rPr>
                <w:rFonts w:ascii="宋体" w:eastAsia="宋体" w:hAnsi="宋体" w:cs="宋体"/>
                <w:b w:val="0"/>
                <w:i w:val="0"/>
                <w:color w:val="000000"/>
                <w:sz w:val="14"/>
              </w:rPr>
              <w:t xml:space="preserve">473.42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161.60</w:t>
            </w:r>
          </w:p>
        </w:tc>
        <w:tc>
          <w:tcPr>
            <w:tcW w:w="1100" w:type="dxa"/>
            <w:tcBorders/>
            <w:vAlign w:val="center"/>
          </w:tcPr>
          <w:p>
            <w:pPr>
              <w:jc w:val="right"/>
            </w:pPr>
            <w:r>
              <w:rPr>
                <w:rFonts w:ascii="宋体" w:eastAsia="宋体" w:hAnsi="宋体" w:cs="宋体"/>
                <w:b w:val="0"/>
                <w:i w:val="0"/>
                <w:color w:val="000000"/>
                <w:sz w:val="14"/>
              </w:rPr>
              <w:t xml:space="preserve">161.60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29.53</w:t>
            </w:r>
          </w:p>
        </w:tc>
        <w:tc>
          <w:tcPr>
            <w:tcW w:w="1100" w:type="dxa"/>
            <w:tcBorders/>
            <w:vAlign w:val="center"/>
          </w:tcPr>
          <w:p>
            <w:pPr>
              <w:jc w:val="right"/>
            </w:pPr>
            <w:r>
              <w:rPr>
                <w:rFonts w:ascii="宋体" w:eastAsia="宋体" w:hAnsi="宋体" w:cs="宋体"/>
                <w:b w:val="0"/>
                <w:i w:val="0"/>
                <w:color w:val="000000"/>
                <w:sz w:val="14"/>
              </w:rPr>
              <w:t xml:space="preserve">29.53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52.68</w:t>
            </w:r>
          </w:p>
        </w:tc>
        <w:tc>
          <w:tcPr>
            <w:tcW w:w="1100" w:type="dxa"/>
            <w:tcBorders/>
            <w:vAlign w:val="center"/>
          </w:tcPr>
          <w:p>
            <w:pPr>
              <w:jc w:val="right"/>
            </w:pPr>
            <w:r>
              <w:rPr>
                <w:rFonts w:ascii="宋体" w:eastAsia="宋体" w:hAnsi="宋体" w:cs="宋体"/>
                <w:b w:val="0"/>
                <w:i w:val="0"/>
                <w:color w:val="000000"/>
                <w:sz w:val="14"/>
              </w:rPr>
              <w:t xml:space="preserve">52.68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717.22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717.22</w:t>
            </w:r>
          </w:p>
        </w:tc>
        <w:tc>
          <w:tcPr>
            <w:tcW w:w="1100" w:type="dxa"/>
            <w:tcBorders/>
            <w:vAlign w:val="center"/>
          </w:tcPr>
          <w:p>
            <w:pPr>
              <w:jc w:val="right"/>
            </w:pPr>
            <w:r>
              <w:rPr>
                <w:rFonts w:ascii="宋体" w:eastAsia="宋体" w:hAnsi="宋体" w:cs="宋体"/>
                <w:b w:val="0"/>
                <w:i w:val="0"/>
                <w:color w:val="000000"/>
                <w:sz w:val="14"/>
              </w:rPr>
              <w:t xml:space="preserve">717.22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717.22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717.22</w:t>
            </w:r>
          </w:p>
        </w:tc>
        <w:tc>
          <w:tcPr>
            <w:tcW w:w="1100" w:type="dxa"/>
            <w:tcBorders/>
            <w:vAlign w:val="center"/>
          </w:tcPr>
          <w:p>
            <w:pPr>
              <w:jc w:val="right"/>
            </w:pPr>
            <w:r>
              <w:rPr>
                <w:rFonts w:ascii="宋体" w:eastAsia="宋体" w:hAnsi="宋体" w:cs="宋体"/>
                <w:b w:val="0"/>
                <w:i w:val="0"/>
                <w:color w:val="000000"/>
                <w:sz w:val="14"/>
              </w:rPr>
              <w:t xml:space="preserve">717.22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单位：辽宁省盘锦市大洼区教师进修学校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717.22</w:t>
            </w:r>
          </w:p>
        </w:tc>
        <w:tc>
          <w:tcPr>
            <w:tcW w:w="1980" w:type="dxa"/>
            <w:tcBorders/>
            <w:vAlign w:val="center"/>
          </w:tcPr>
          <w:p>
            <w:pPr>
              <w:jc w:val="right"/>
            </w:pPr>
            <w:r>
              <w:rPr>
                <w:rFonts w:ascii="宋体" w:eastAsia="宋体" w:hAnsi="宋体" w:cs="宋体"/>
                <w:b/>
                <w:i w:val="0"/>
                <w:color w:val="000000"/>
                <w:sz w:val="20"/>
              </w:rPr>
              <w:t xml:space="preserve">717.22</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473.42</w:t>
            </w:r>
          </w:p>
        </w:tc>
        <w:tc>
          <w:tcPr>
            <w:tcW w:w="1980" w:type="dxa"/>
            <w:tcBorders/>
            <w:vAlign w:val="center"/>
          </w:tcPr>
          <w:p>
            <w:pPr>
              <w:jc w:val="right"/>
            </w:pPr>
            <w:r>
              <w:rPr>
                <w:rFonts w:ascii="宋体" w:eastAsia="宋体" w:hAnsi="宋体" w:cs="宋体"/>
                <w:b w:val="0"/>
                <w:i w:val="0"/>
                <w:color w:val="000000"/>
                <w:sz w:val="20"/>
              </w:rPr>
              <w:t xml:space="preserve">473.42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进修及培训</w:t>
            </w:r>
          </w:p>
        </w:tc>
        <w:tc>
          <w:tcPr>
            <w:tcW w:w="1980" w:type="dxa"/>
            <w:tcBorders/>
            <w:vAlign w:val="center"/>
          </w:tcPr>
          <w:p>
            <w:pPr>
              <w:jc w:val="right"/>
            </w:pPr>
            <w:r>
              <w:rPr>
                <w:rFonts w:ascii="宋体" w:eastAsia="宋体" w:hAnsi="宋体" w:cs="宋体"/>
                <w:b w:val="0"/>
                <w:i w:val="0"/>
                <w:color w:val="000000"/>
                <w:sz w:val="20"/>
              </w:rPr>
              <w:t xml:space="preserve">473.42</w:t>
            </w:r>
          </w:p>
        </w:tc>
        <w:tc>
          <w:tcPr>
            <w:tcW w:w="1980" w:type="dxa"/>
            <w:tcBorders/>
            <w:vAlign w:val="center"/>
          </w:tcPr>
          <w:p>
            <w:pPr>
              <w:jc w:val="right"/>
            </w:pPr>
            <w:r>
              <w:rPr>
                <w:rFonts w:ascii="宋体" w:eastAsia="宋体" w:hAnsi="宋体" w:cs="宋体"/>
                <w:b w:val="0"/>
                <w:i w:val="0"/>
                <w:color w:val="000000"/>
                <w:sz w:val="20"/>
              </w:rPr>
              <w:t xml:space="preserve">473.42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教师进修</w:t>
            </w:r>
          </w:p>
        </w:tc>
        <w:tc>
          <w:tcPr>
            <w:tcW w:w="1980" w:type="dxa"/>
            <w:tcBorders/>
            <w:vAlign w:val="center"/>
          </w:tcPr>
          <w:p>
            <w:pPr>
              <w:jc w:val="right"/>
            </w:pPr>
            <w:r>
              <w:rPr>
                <w:rFonts w:ascii="宋体" w:eastAsia="宋体" w:hAnsi="宋体" w:cs="宋体"/>
                <w:b w:val="0"/>
                <w:i w:val="0"/>
                <w:color w:val="000000"/>
                <w:sz w:val="20"/>
              </w:rPr>
              <w:t xml:space="preserve">473.42</w:t>
            </w:r>
          </w:p>
        </w:tc>
        <w:tc>
          <w:tcPr>
            <w:tcW w:w="1980" w:type="dxa"/>
            <w:tcBorders/>
            <w:vAlign w:val="center"/>
          </w:tcPr>
          <w:p>
            <w:pPr>
              <w:jc w:val="right"/>
            </w:pPr>
            <w:r>
              <w:rPr>
                <w:rFonts w:ascii="宋体" w:eastAsia="宋体" w:hAnsi="宋体" w:cs="宋体"/>
                <w:b w:val="0"/>
                <w:i w:val="0"/>
                <w:color w:val="000000"/>
                <w:sz w:val="20"/>
              </w:rPr>
              <w:t xml:space="preserve">473.42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161.61</w:t>
            </w:r>
          </w:p>
        </w:tc>
        <w:tc>
          <w:tcPr>
            <w:tcW w:w="1980" w:type="dxa"/>
            <w:tcBorders/>
            <w:vAlign w:val="center"/>
          </w:tcPr>
          <w:p>
            <w:pPr>
              <w:jc w:val="right"/>
            </w:pPr>
            <w:r>
              <w:rPr>
                <w:rFonts w:ascii="宋体" w:eastAsia="宋体" w:hAnsi="宋体" w:cs="宋体"/>
                <w:b w:val="0"/>
                <w:i w:val="0"/>
                <w:color w:val="000000"/>
                <w:sz w:val="20"/>
              </w:rPr>
              <w:t xml:space="preserve">161.61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137.53</w:t>
            </w:r>
          </w:p>
        </w:tc>
        <w:tc>
          <w:tcPr>
            <w:tcW w:w="1980" w:type="dxa"/>
            <w:tcBorders/>
            <w:vAlign w:val="center"/>
          </w:tcPr>
          <w:p>
            <w:pPr>
              <w:jc w:val="right"/>
            </w:pPr>
            <w:r>
              <w:rPr>
                <w:rFonts w:ascii="宋体" w:eastAsia="宋体" w:hAnsi="宋体" w:cs="宋体"/>
                <w:b w:val="0"/>
                <w:i w:val="0"/>
                <w:color w:val="000000"/>
                <w:sz w:val="20"/>
              </w:rPr>
              <w:t xml:space="preserve">137.53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22.54</w:t>
            </w:r>
          </w:p>
        </w:tc>
        <w:tc>
          <w:tcPr>
            <w:tcW w:w="1980" w:type="dxa"/>
            <w:tcBorders/>
            <w:vAlign w:val="center"/>
          </w:tcPr>
          <w:p>
            <w:pPr>
              <w:jc w:val="right"/>
            </w:pPr>
            <w:r>
              <w:rPr>
                <w:rFonts w:ascii="宋体" w:eastAsia="宋体" w:hAnsi="宋体" w:cs="宋体"/>
                <w:b w:val="0"/>
                <w:i w:val="0"/>
                <w:color w:val="000000"/>
                <w:sz w:val="20"/>
              </w:rPr>
              <w:t xml:space="preserve">22.54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66.04</w:t>
            </w:r>
          </w:p>
        </w:tc>
        <w:tc>
          <w:tcPr>
            <w:tcW w:w="1980" w:type="dxa"/>
            <w:tcBorders/>
            <w:vAlign w:val="center"/>
          </w:tcPr>
          <w:p>
            <w:pPr>
              <w:jc w:val="right"/>
            </w:pPr>
            <w:r>
              <w:rPr>
                <w:rFonts w:ascii="宋体" w:eastAsia="宋体" w:hAnsi="宋体" w:cs="宋体"/>
                <w:b w:val="0"/>
                <w:i w:val="0"/>
                <w:color w:val="000000"/>
                <w:sz w:val="20"/>
              </w:rPr>
              <w:t xml:space="preserve">66.04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48.95</w:t>
            </w:r>
          </w:p>
        </w:tc>
        <w:tc>
          <w:tcPr>
            <w:tcW w:w="1980" w:type="dxa"/>
            <w:tcBorders/>
            <w:vAlign w:val="center"/>
          </w:tcPr>
          <w:p>
            <w:pPr>
              <w:jc w:val="right"/>
            </w:pPr>
            <w:r>
              <w:rPr>
                <w:rFonts w:ascii="宋体" w:eastAsia="宋体" w:hAnsi="宋体" w:cs="宋体"/>
                <w:b w:val="0"/>
                <w:i w:val="0"/>
                <w:color w:val="000000"/>
                <w:sz w:val="20"/>
              </w:rPr>
              <w:t xml:space="preserve">48.95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23.27</w:t>
            </w:r>
          </w:p>
        </w:tc>
        <w:tc>
          <w:tcPr>
            <w:tcW w:w="1980" w:type="dxa"/>
            <w:tcBorders/>
            <w:vAlign w:val="center"/>
          </w:tcPr>
          <w:p>
            <w:pPr>
              <w:jc w:val="right"/>
            </w:pPr>
            <w:r>
              <w:rPr>
                <w:rFonts w:ascii="宋体" w:eastAsia="宋体" w:hAnsi="宋体" w:cs="宋体"/>
                <w:b w:val="0"/>
                <w:i w:val="0"/>
                <w:color w:val="000000"/>
                <w:sz w:val="20"/>
              </w:rPr>
              <w:t xml:space="preserve">23.27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23.27</w:t>
            </w:r>
          </w:p>
        </w:tc>
        <w:tc>
          <w:tcPr>
            <w:tcW w:w="1980" w:type="dxa"/>
            <w:tcBorders/>
            <w:vAlign w:val="center"/>
          </w:tcPr>
          <w:p>
            <w:pPr>
              <w:jc w:val="right"/>
            </w:pPr>
            <w:r>
              <w:rPr>
                <w:rFonts w:ascii="宋体" w:eastAsia="宋体" w:hAnsi="宋体" w:cs="宋体"/>
                <w:b w:val="0"/>
                <w:i w:val="0"/>
                <w:color w:val="000000"/>
                <w:sz w:val="20"/>
              </w:rPr>
              <w:t xml:space="preserve">23.27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0.81</w:t>
            </w:r>
          </w:p>
        </w:tc>
        <w:tc>
          <w:tcPr>
            <w:tcW w:w="1980" w:type="dxa"/>
            <w:tcBorders/>
            <w:vAlign w:val="center"/>
          </w:tcPr>
          <w:p>
            <w:pPr>
              <w:jc w:val="right"/>
            </w:pPr>
            <w:r>
              <w:rPr>
                <w:rFonts w:ascii="宋体" w:eastAsia="宋体" w:hAnsi="宋体" w:cs="宋体"/>
                <w:b w:val="0"/>
                <w:i w:val="0"/>
                <w:color w:val="000000"/>
                <w:sz w:val="20"/>
              </w:rPr>
              <w:t xml:space="preserve">0.81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0.81</w:t>
            </w:r>
          </w:p>
        </w:tc>
        <w:tc>
          <w:tcPr>
            <w:tcW w:w="1980" w:type="dxa"/>
            <w:tcBorders/>
            <w:vAlign w:val="center"/>
          </w:tcPr>
          <w:p>
            <w:pPr>
              <w:jc w:val="right"/>
            </w:pPr>
            <w:r>
              <w:rPr>
                <w:rFonts w:ascii="宋体" w:eastAsia="宋体" w:hAnsi="宋体" w:cs="宋体"/>
                <w:b w:val="0"/>
                <w:i w:val="0"/>
                <w:color w:val="000000"/>
                <w:sz w:val="20"/>
              </w:rPr>
              <w:t xml:space="preserve">0.81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29.53</w:t>
            </w:r>
          </w:p>
        </w:tc>
        <w:tc>
          <w:tcPr>
            <w:tcW w:w="1980" w:type="dxa"/>
            <w:tcBorders/>
            <w:vAlign w:val="center"/>
          </w:tcPr>
          <w:p>
            <w:pPr>
              <w:jc w:val="right"/>
            </w:pPr>
            <w:r>
              <w:rPr>
                <w:rFonts w:ascii="宋体" w:eastAsia="宋体" w:hAnsi="宋体" w:cs="宋体"/>
                <w:b w:val="0"/>
                <w:i w:val="0"/>
                <w:color w:val="000000"/>
                <w:sz w:val="20"/>
              </w:rPr>
              <w:t xml:space="preserve">29.53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29.53</w:t>
            </w:r>
          </w:p>
        </w:tc>
        <w:tc>
          <w:tcPr>
            <w:tcW w:w="1980" w:type="dxa"/>
            <w:tcBorders/>
            <w:vAlign w:val="center"/>
          </w:tcPr>
          <w:p>
            <w:pPr>
              <w:jc w:val="right"/>
            </w:pPr>
            <w:r>
              <w:rPr>
                <w:rFonts w:ascii="宋体" w:eastAsia="宋体" w:hAnsi="宋体" w:cs="宋体"/>
                <w:b w:val="0"/>
                <w:i w:val="0"/>
                <w:color w:val="000000"/>
                <w:sz w:val="20"/>
              </w:rPr>
              <w:t xml:space="preserve">29.53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28.86</w:t>
            </w:r>
          </w:p>
        </w:tc>
        <w:tc>
          <w:tcPr>
            <w:tcW w:w="1980" w:type="dxa"/>
            <w:tcBorders/>
            <w:vAlign w:val="center"/>
          </w:tcPr>
          <w:p>
            <w:pPr>
              <w:jc w:val="right"/>
            </w:pPr>
            <w:r>
              <w:rPr>
                <w:rFonts w:ascii="宋体" w:eastAsia="宋体" w:hAnsi="宋体" w:cs="宋体"/>
                <w:b w:val="0"/>
                <w:i w:val="0"/>
                <w:color w:val="000000"/>
                <w:sz w:val="20"/>
              </w:rPr>
              <w:t xml:space="preserve">28.86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0.67</w:t>
            </w:r>
          </w:p>
        </w:tc>
        <w:tc>
          <w:tcPr>
            <w:tcW w:w="1980" w:type="dxa"/>
            <w:tcBorders/>
            <w:vAlign w:val="center"/>
          </w:tcPr>
          <w:p>
            <w:pPr>
              <w:jc w:val="right"/>
            </w:pPr>
            <w:r>
              <w:rPr>
                <w:rFonts w:ascii="宋体" w:eastAsia="宋体" w:hAnsi="宋体" w:cs="宋体"/>
                <w:b w:val="0"/>
                <w:i w:val="0"/>
                <w:color w:val="000000"/>
                <w:sz w:val="20"/>
              </w:rPr>
              <w:t xml:space="preserve">0.67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52.68</w:t>
            </w:r>
          </w:p>
        </w:tc>
        <w:tc>
          <w:tcPr>
            <w:tcW w:w="1980" w:type="dxa"/>
            <w:tcBorders/>
            <w:vAlign w:val="center"/>
          </w:tcPr>
          <w:p>
            <w:pPr>
              <w:jc w:val="right"/>
            </w:pPr>
            <w:r>
              <w:rPr>
                <w:rFonts w:ascii="宋体" w:eastAsia="宋体" w:hAnsi="宋体" w:cs="宋体"/>
                <w:b w:val="0"/>
                <w:i w:val="0"/>
                <w:color w:val="000000"/>
                <w:sz w:val="20"/>
              </w:rPr>
              <w:t xml:space="preserve">52.68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52.68</w:t>
            </w:r>
          </w:p>
        </w:tc>
        <w:tc>
          <w:tcPr>
            <w:tcW w:w="1980" w:type="dxa"/>
            <w:tcBorders/>
            <w:vAlign w:val="center"/>
          </w:tcPr>
          <w:p>
            <w:pPr>
              <w:jc w:val="right"/>
            </w:pPr>
            <w:r>
              <w:rPr>
                <w:rFonts w:ascii="宋体" w:eastAsia="宋体" w:hAnsi="宋体" w:cs="宋体"/>
                <w:b w:val="0"/>
                <w:i w:val="0"/>
                <w:color w:val="000000"/>
                <w:sz w:val="20"/>
              </w:rPr>
              <w:t xml:space="preserve">52.68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52.68</w:t>
            </w:r>
          </w:p>
        </w:tc>
        <w:tc>
          <w:tcPr>
            <w:tcW w:w="1980" w:type="dxa"/>
            <w:tcBorders/>
            <w:vAlign w:val="center"/>
          </w:tcPr>
          <w:p>
            <w:pPr>
              <w:jc w:val="right"/>
            </w:pPr>
            <w:r>
              <w:rPr>
                <w:rFonts w:ascii="宋体" w:eastAsia="宋体" w:hAnsi="宋体" w:cs="宋体"/>
                <w:b w:val="0"/>
                <w:i w:val="0"/>
                <w:color w:val="000000"/>
                <w:sz w:val="20"/>
              </w:rPr>
              <w:t xml:space="preserve">52.68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单位：辽宁省盘锦市大洼区教师进修学校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653.26</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14.37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285.89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3.06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122.57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0.77</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46.80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0.77</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66.04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1.76</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48.95</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1.50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28.86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1.48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2.08</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52.68</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2.12</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48.83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22.18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23.27</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2.95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2.78</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0.36</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702.09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15.14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单位：辽宁省盘锦市大洼区教师进修学校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单位：辽宁省盘锦市大洼区教师进修学校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单位：辽宁省盘锦市大洼区教师进修学校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026003盘锦市大洼区教师进修学校-211104000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713.82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713.82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560.786774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560.78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15.137857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0.908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37.304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37.3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1、保障学校教育教学正常运转</w:t>
            </w:r>
          </w:p>
          <w:p>
            <w:pPr>
              <w:snapToGrid w:val="0"/>
              <w:spacing w:before="0" w:beforeAutospacing="0" w:after="0" w:afterAutospacing="0" w:line="240" w:lineRule="auto"/>
              <w:jc w:val="center"/>
              <w:rPr/>
            </w:pPr>
            <w:r>
              <w:rPr>
                <w:rFonts w:ascii="宋体" w:eastAsia="宋体" w:hAnsi="宋体" w:cs="宋体"/>
                <w:b w:val="0"/>
                <w:i w:val="0"/>
                <w:color w:val="000000"/>
                <w:sz w:val="21"/>
              </w:rPr>
              <w:t xml:space="preserve">2、完成教育教学活动和其他日常工作任务等方面的支出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本年度已完成各项绩效目标，达到了预期效果。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9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培训乡村教师骨干培训者结业率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参训人员满意度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完成教学改革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项</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在今后的工作中，健全和完善财务预算管理组织结构，根据发展战略确定预算管理，提升预算执行率和效益。</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