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辽宁省盘锦市大洼区九年一贯制实验学校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辽宁省盘锦市大洼区九年一贯制实验学校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辽宁省盘锦市大洼区九年一贯制实验学校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辽宁省盘锦市大洼区九年一贯制实验学校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辽宁省盘锦市大洼区九年一贯制实验学校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辽宁省盘锦市大洼区九年一贯制实验学校概况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（一）贯彻执行党的教育方针和教育法律法规、政策规定，坚持依法治教、依法治学。</w:t>
        <w:br/>
        <w:t xml:space="preserve">    （二）组织编制和实施学校发展的长期规划、年度计划和学期计划。</w:t>
        <w:br/>
        <w:t xml:space="preserve">    （三）完成义务教育中小学阶段的教育教学任务。</w:t>
        <w:br/>
        <w:t xml:space="preserve">    （四）负责教育教学管理及教研教改工作，全面推进素质教育实施，不断提高教育教学质量和办学水平，培养德、智、体、美、劳等方面全面发展的合格学生。</w:t>
        <w:br/>
        <w:t xml:space="preserve">    （五）协助教育主管部门做好学校教师考核工作，负责教师培养、继续教育、考核考评、管理服务等工作。</w:t>
        <w:br/>
        <w:t xml:space="preserve">    （六）负责校园安全及周边社会治安综合治理等工作。</w:t>
        <w:br/>
        <w:t xml:space="preserve">    （七）完成上级交办的其它工作。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辽宁省盘锦市大洼区九年一贯制实验学校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2023年度，纳入本部门决算汇编范围的独立核算单位共1个，比上年增减0个。</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655.00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342.18</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52.24</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342.18</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310.23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47.36</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主要是课后服务费收入、利息收入等收入。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2.59</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0.40</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主要是上年名校长工作室资金结转等。</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增加433.07万元，增长195.14%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课后服务费收入增加；学生数增加导致公用经费增加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654.95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283.49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43.28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工资福利支出180.10万元；商品和服务支出100.11万元；对个人和家庭的补助0.45万元；资本性支出2.84万元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371.46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56.72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主要包括政府采购债券资金支出等业务支出。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增加435.61万元，增长198.60%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政府采购应付款支出增加，课后服务费支出增加，公用经费资金增加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0.06</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减少2.54万元，降低97.86%</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上年有名校长工作室资金结余本年使用</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342.18</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280.90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61.28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增加123.58万元，增长56.53%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学校学生人数不断增加，办学规模扩大，经费增加；政府采购按年支出比例增大</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129.06</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105.95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2023年度一般公共预算财政拨款支出342.18万元。按支出功能分类科目分，包括：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1.教育支出342.17万元，具体包括：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（1）教育支出（类）普通教育（款）小学教育（项）236.78万元,主要是小学工资福利支出和公用经费支出等支出，完成年初预算的112.8%，决算数与年初预算数存在差异的主要原因是新调入教师工资福利支出增加。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普通教育（款）初中教育（项）105.39万元,主要是小中学工资福利支出和公用经费支出等支出，完成年初预算的190.88%，决算数与年初预算数存在差异的主要原因是新调入教师工资福利支出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本单位无三公经费支出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280.91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180.55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100.36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本单位无机关运行经费</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 本部门组织对 2023 年度预算项目支出全面开展绩效自评，共涉及预算支出项目 1 个（其中：一般公共预算项目 1 个，自评覆盖率（开展绩效自评的项目数/年初批复绩效目标的项目数*100%） 达到 100%， 自评平均分 （开展绩效自评</w:t>
        <w:br/>
        <w:t xml:space="preserve">的项目分数总和/开展绩效自评的项目数）100 分。</w:t>
        <w:br/>
        <w:t xml:space="preserve">组织对 1 个单位开展整体绩效自评， 涉及资金 265.12 万元，自评平均分 100 分。《部门（单位）整体绩效自评表》见附件。</w:t>
        <w:br/>
        <w:t xml:space="preserve">本部门组织对“整体绩效目标”等 1 个项目开展了部门评价，涉及资金265.12 万元（其中： 一般公共预算资金 265.12万元，政府性基金预算资金 0 万元，国有资本经营预算资金 0 万元）。</w:t>
        <w:br/>
        <w:t xml:space="preserve">从评价情况来看，本年度绩效目标已完成，保障了盘锦市大洼区九年一贯制实验学校日常支出正常运转。</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16.教育支出（类）普通教育（款）初中教育（项）： 反映各</w:t>
        <w:br/>
        <w:t xml:space="preserve">部门举办的初中教育支出。政府各部门对社会组织等举办的初中</w:t>
        <w:br/>
        <w:t xml:space="preserve">资助，如捐赠、补贴等，也在本科目中反映。</w:t>
        <w:br/>
        <w:t xml:space="preserve">17. 社会保障和就业（类）行政事业单位养老支出（款）事</w:t>
        <w:br/>
        <w:t xml:space="preserve">业单位离退休（项）：反映事业单位开支的离退休经费。</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单位：辽宁省盘锦市大洼区九年一贯制实验学校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342.18</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654.95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310.23</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652.41</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654.95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2.59</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655.00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655.00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单位：辽宁省盘锦市大洼区九年一贯制实验学校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652.41</w:t>
            </w:r>
          </w:p>
        </w:tc>
        <w:tc>
          <w:tcPr>
            <w:tcW w:w="1160" w:type="dxa"/>
            <w:tcBorders/>
            <w:vAlign w:val="center"/>
          </w:tcPr>
          <w:p>
            <w:pPr>
              <w:jc w:val="right"/>
            </w:pPr>
            <w:r>
              <w:rPr>
                <w:rFonts w:ascii="宋体" w:eastAsia="宋体" w:hAnsi="宋体" w:cs="宋体"/>
                <w:b/>
                <w:i w:val="0"/>
                <w:color w:val="000000"/>
                <w:sz w:val="14"/>
              </w:rPr>
              <w:t xml:space="preserve">342.18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310.23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652.41</w:t>
            </w:r>
          </w:p>
        </w:tc>
        <w:tc>
          <w:tcPr>
            <w:tcW w:w="1160" w:type="dxa"/>
            <w:tcBorders/>
            <w:vAlign w:val="center"/>
          </w:tcPr>
          <w:p>
            <w:pPr>
              <w:jc w:val="right"/>
            </w:pPr>
            <w:r>
              <w:rPr>
                <w:rFonts w:ascii="宋体" w:eastAsia="宋体" w:hAnsi="宋体" w:cs="宋体"/>
                <w:b w:val="0"/>
                <w:i w:val="0"/>
                <w:color w:val="000000"/>
                <w:sz w:val="14"/>
              </w:rPr>
              <w:t xml:space="preserve">342.17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310.24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652.41</w:t>
            </w:r>
          </w:p>
        </w:tc>
        <w:tc>
          <w:tcPr>
            <w:tcW w:w="1160" w:type="dxa"/>
            <w:tcBorders/>
            <w:vAlign w:val="center"/>
          </w:tcPr>
          <w:p>
            <w:pPr>
              <w:jc w:val="right"/>
            </w:pPr>
            <w:r>
              <w:rPr>
                <w:rFonts w:ascii="宋体" w:eastAsia="宋体" w:hAnsi="宋体" w:cs="宋体"/>
                <w:b w:val="0"/>
                <w:i w:val="0"/>
                <w:color w:val="000000"/>
                <w:sz w:val="14"/>
              </w:rPr>
              <w:t xml:space="preserve">342.17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310.24</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474.33</w:t>
            </w:r>
          </w:p>
        </w:tc>
        <w:tc>
          <w:tcPr>
            <w:tcW w:w="1160" w:type="dxa"/>
            <w:tcBorders/>
            <w:vAlign w:val="center"/>
          </w:tcPr>
          <w:p>
            <w:pPr>
              <w:jc w:val="right"/>
            </w:pPr>
            <w:r>
              <w:rPr>
                <w:rFonts w:ascii="宋体" w:eastAsia="宋体" w:hAnsi="宋体" w:cs="宋体"/>
                <w:b w:val="0"/>
                <w:i w:val="0"/>
                <w:color w:val="000000"/>
                <w:sz w:val="14"/>
              </w:rPr>
              <w:t xml:space="preserve">236.78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237.55</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178.08</w:t>
            </w:r>
          </w:p>
        </w:tc>
        <w:tc>
          <w:tcPr>
            <w:tcW w:w="1160" w:type="dxa"/>
            <w:tcBorders/>
            <w:vAlign w:val="center"/>
          </w:tcPr>
          <w:p>
            <w:pPr>
              <w:jc w:val="right"/>
            </w:pPr>
            <w:r>
              <w:rPr>
                <w:rFonts w:ascii="宋体" w:eastAsia="宋体" w:hAnsi="宋体" w:cs="宋体"/>
                <w:b w:val="0"/>
                <w:i w:val="0"/>
                <w:color w:val="000000"/>
                <w:sz w:val="14"/>
              </w:rPr>
              <w:t xml:space="preserve">105.39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72.69</w:t>
            </w: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单位：辽宁省盘锦市大洼区九年一贯制实验学校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654.95</w:t>
            </w:r>
          </w:p>
        </w:tc>
        <w:tc>
          <w:tcPr>
            <w:tcW w:w="1120" w:type="dxa"/>
            <w:tcBorders/>
            <w:vAlign w:val="center"/>
          </w:tcPr>
          <w:p>
            <w:pPr>
              <w:jc w:val="right"/>
            </w:pPr>
            <w:r>
              <w:rPr>
                <w:rFonts w:ascii="宋体" w:eastAsia="宋体" w:hAnsi="宋体" w:cs="宋体"/>
                <w:b/>
                <w:i w:val="0"/>
                <w:color w:val="000000"/>
                <w:sz w:val="16"/>
              </w:rPr>
              <w:t xml:space="preserve">283.49</w:t>
            </w:r>
          </w:p>
        </w:tc>
        <w:tc>
          <w:tcPr>
            <w:tcW w:w="1120" w:type="dxa"/>
            <w:tcBorders/>
            <w:vAlign w:val="center"/>
          </w:tcPr>
          <w:p>
            <w:pPr>
              <w:jc w:val="right"/>
            </w:pPr>
            <w:r>
              <w:rPr>
                <w:rFonts w:ascii="宋体" w:eastAsia="宋体" w:hAnsi="宋体" w:cs="宋体"/>
                <w:b/>
                <w:i w:val="0"/>
                <w:color w:val="000000"/>
                <w:sz w:val="16"/>
              </w:rPr>
              <w:t xml:space="preserve">371.46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654.95</w:t>
            </w:r>
          </w:p>
        </w:tc>
        <w:tc>
          <w:tcPr>
            <w:tcW w:w="1120" w:type="dxa"/>
            <w:tcBorders/>
            <w:vAlign w:val="center"/>
          </w:tcPr>
          <w:p>
            <w:pPr>
              <w:jc w:val="right"/>
            </w:pPr>
            <w:r>
              <w:rPr>
                <w:rFonts w:ascii="宋体" w:eastAsia="宋体" w:hAnsi="宋体" w:cs="宋体"/>
                <w:b w:val="0"/>
                <w:i w:val="0"/>
                <w:color w:val="000000"/>
                <w:sz w:val="16"/>
              </w:rPr>
              <w:t xml:space="preserve">283.48</w:t>
            </w:r>
          </w:p>
        </w:tc>
        <w:tc>
          <w:tcPr>
            <w:tcW w:w="1120" w:type="dxa"/>
            <w:tcBorders/>
            <w:vAlign w:val="center"/>
          </w:tcPr>
          <w:p>
            <w:pPr>
              <w:jc w:val="right"/>
            </w:pPr>
            <w:r>
              <w:rPr>
                <w:rFonts w:ascii="宋体" w:eastAsia="宋体" w:hAnsi="宋体" w:cs="宋体"/>
                <w:b w:val="0"/>
                <w:i w:val="0"/>
                <w:color w:val="000000"/>
                <w:sz w:val="16"/>
              </w:rPr>
              <w:t xml:space="preserve">371.46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654.95</w:t>
            </w:r>
          </w:p>
        </w:tc>
        <w:tc>
          <w:tcPr>
            <w:tcW w:w="1120" w:type="dxa"/>
            <w:tcBorders/>
            <w:vAlign w:val="center"/>
          </w:tcPr>
          <w:p>
            <w:pPr>
              <w:jc w:val="right"/>
            </w:pPr>
            <w:r>
              <w:rPr>
                <w:rFonts w:ascii="宋体" w:eastAsia="宋体" w:hAnsi="宋体" w:cs="宋体"/>
                <w:b w:val="0"/>
                <w:i w:val="0"/>
                <w:color w:val="000000"/>
                <w:sz w:val="16"/>
              </w:rPr>
              <w:t xml:space="preserve">283.48</w:t>
            </w:r>
          </w:p>
        </w:tc>
        <w:tc>
          <w:tcPr>
            <w:tcW w:w="1120" w:type="dxa"/>
            <w:tcBorders/>
            <w:vAlign w:val="center"/>
          </w:tcPr>
          <w:p>
            <w:pPr>
              <w:jc w:val="right"/>
            </w:pPr>
            <w:r>
              <w:rPr>
                <w:rFonts w:ascii="宋体" w:eastAsia="宋体" w:hAnsi="宋体" w:cs="宋体"/>
                <w:b w:val="0"/>
                <w:i w:val="0"/>
                <w:color w:val="000000"/>
                <w:sz w:val="16"/>
              </w:rPr>
              <w:t xml:space="preserve">371.46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476.87</w:t>
            </w:r>
          </w:p>
        </w:tc>
        <w:tc>
          <w:tcPr>
            <w:tcW w:w="1120" w:type="dxa"/>
            <w:tcBorders/>
            <w:vAlign w:val="center"/>
          </w:tcPr>
          <w:p>
            <w:pPr>
              <w:jc w:val="right"/>
            </w:pPr>
            <w:r>
              <w:rPr>
                <w:rFonts w:ascii="宋体" w:eastAsia="宋体" w:hAnsi="宋体" w:cs="宋体"/>
                <w:b w:val="0"/>
                <w:i w:val="0"/>
                <w:color w:val="000000"/>
                <w:sz w:val="16"/>
              </w:rPr>
              <w:t xml:space="preserve">201.69</w:t>
            </w:r>
          </w:p>
        </w:tc>
        <w:tc>
          <w:tcPr>
            <w:tcW w:w="1120" w:type="dxa"/>
            <w:tcBorders/>
            <w:vAlign w:val="center"/>
          </w:tcPr>
          <w:p>
            <w:pPr>
              <w:jc w:val="right"/>
            </w:pPr>
            <w:r>
              <w:rPr>
                <w:rFonts w:ascii="宋体" w:eastAsia="宋体" w:hAnsi="宋体" w:cs="宋体"/>
                <w:b w:val="0"/>
                <w:i w:val="0"/>
                <w:color w:val="000000"/>
                <w:sz w:val="16"/>
              </w:rPr>
              <w:t xml:space="preserve">275.18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178.08</w:t>
            </w:r>
          </w:p>
        </w:tc>
        <w:tc>
          <w:tcPr>
            <w:tcW w:w="1120" w:type="dxa"/>
            <w:tcBorders/>
            <w:vAlign w:val="center"/>
          </w:tcPr>
          <w:p>
            <w:pPr>
              <w:jc w:val="right"/>
            </w:pPr>
            <w:r>
              <w:rPr>
                <w:rFonts w:ascii="宋体" w:eastAsia="宋体" w:hAnsi="宋体" w:cs="宋体"/>
                <w:b w:val="0"/>
                <w:i w:val="0"/>
                <w:color w:val="000000"/>
                <w:sz w:val="16"/>
              </w:rPr>
              <w:t xml:space="preserve">81.79</w:t>
            </w:r>
          </w:p>
        </w:tc>
        <w:tc>
          <w:tcPr>
            <w:tcW w:w="1120" w:type="dxa"/>
            <w:tcBorders/>
            <w:vAlign w:val="center"/>
          </w:tcPr>
          <w:p>
            <w:pPr>
              <w:jc w:val="right"/>
            </w:pPr>
            <w:r>
              <w:rPr>
                <w:rFonts w:ascii="宋体" w:eastAsia="宋体" w:hAnsi="宋体" w:cs="宋体"/>
                <w:b w:val="0"/>
                <w:i w:val="0"/>
                <w:color w:val="000000"/>
                <w:sz w:val="16"/>
              </w:rPr>
              <w:t xml:space="preserve">96.28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单位：辽宁省盘锦市大洼区九年一贯制实验学校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342.18</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342.18</w:t>
            </w:r>
          </w:p>
        </w:tc>
        <w:tc>
          <w:tcPr>
            <w:tcW w:w="1100" w:type="dxa"/>
            <w:tcBorders/>
            <w:vAlign w:val="center"/>
          </w:tcPr>
          <w:p>
            <w:pPr>
              <w:jc w:val="right"/>
            </w:pPr>
            <w:r>
              <w:rPr>
                <w:rFonts w:ascii="宋体" w:eastAsia="宋体" w:hAnsi="宋体" w:cs="宋体"/>
                <w:b w:val="0"/>
                <w:i w:val="0"/>
                <w:color w:val="000000"/>
                <w:sz w:val="14"/>
              </w:rPr>
              <w:t xml:space="preserve">342.18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342.18</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342.18</w:t>
            </w:r>
          </w:p>
        </w:tc>
        <w:tc>
          <w:tcPr>
            <w:tcW w:w="1100" w:type="dxa"/>
            <w:tcBorders/>
            <w:vAlign w:val="center"/>
          </w:tcPr>
          <w:p>
            <w:pPr>
              <w:jc w:val="right"/>
            </w:pPr>
            <w:r>
              <w:rPr>
                <w:rFonts w:ascii="宋体" w:eastAsia="宋体" w:hAnsi="宋体" w:cs="宋体"/>
                <w:b w:val="0"/>
                <w:i w:val="0"/>
                <w:color w:val="000000"/>
                <w:sz w:val="14"/>
              </w:rPr>
              <w:t xml:space="preserve">342.18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342.18</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342.18</w:t>
            </w:r>
          </w:p>
        </w:tc>
        <w:tc>
          <w:tcPr>
            <w:tcW w:w="1100" w:type="dxa"/>
            <w:tcBorders/>
            <w:vAlign w:val="center"/>
          </w:tcPr>
          <w:p>
            <w:pPr>
              <w:jc w:val="right"/>
            </w:pPr>
            <w:r>
              <w:rPr>
                <w:rFonts w:ascii="宋体" w:eastAsia="宋体" w:hAnsi="宋体" w:cs="宋体"/>
                <w:b w:val="0"/>
                <w:i w:val="0"/>
                <w:color w:val="000000"/>
                <w:sz w:val="14"/>
              </w:rPr>
              <w:t xml:space="preserve">342.18</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单位：辽宁省盘锦市大洼区九年一贯制实验学校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342.18</w:t>
            </w:r>
          </w:p>
        </w:tc>
        <w:tc>
          <w:tcPr>
            <w:tcW w:w="1980" w:type="dxa"/>
            <w:tcBorders/>
            <w:vAlign w:val="center"/>
          </w:tcPr>
          <w:p>
            <w:pPr>
              <w:jc w:val="right"/>
            </w:pPr>
            <w:r>
              <w:rPr>
                <w:rFonts w:ascii="宋体" w:eastAsia="宋体" w:hAnsi="宋体" w:cs="宋体"/>
                <w:b/>
                <w:i w:val="0"/>
                <w:color w:val="000000"/>
                <w:sz w:val="20"/>
              </w:rPr>
              <w:t xml:space="preserve">280.90</w:t>
            </w:r>
          </w:p>
        </w:tc>
        <w:tc>
          <w:tcPr>
            <w:tcW w:w="1952" w:type="dxa"/>
            <w:tcBorders/>
            <w:vAlign w:val="center"/>
          </w:tcPr>
          <w:p>
            <w:pPr>
              <w:jc w:val="right"/>
            </w:pPr>
            <w:r>
              <w:rPr>
                <w:rFonts w:ascii="宋体" w:eastAsia="宋体" w:hAnsi="宋体" w:cs="宋体"/>
                <w:b/>
                <w:i w:val="0"/>
                <w:color w:val="000000"/>
                <w:sz w:val="20"/>
              </w:rPr>
              <w:t xml:space="preserve">61.28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342.17</w:t>
            </w:r>
          </w:p>
        </w:tc>
        <w:tc>
          <w:tcPr>
            <w:tcW w:w="1980" w:type="dxa"/>
            <w:tcBorders/>
            <w:vAlign w:val="center"/>
          </w:tcPr>
          <w:p>
            <w:pPr>
              <w:jc w:val="right"/>
            </w:pPr>
            <w:r>
              <w:rPr>
                <w:rFonts w:ascii="宋体" w:eastAsia="宋体" w:hAnsi="宋体" w:cs="宋体"/>
                <w:b w:val="0"/>
                <w:i w:val="0"/>
                <w:color w:val="000000"/>
                <w:sz w:val="20"/>
              </w:rPr>
              <w:t xml:space="preserve">280.89</w:t>
            </w:r>
          </w:p>
        </w:tc>
        <w:tc>
          <w:tcPr>
            <w:tcW w:w="1952" w:type="dxa"/>
            <w:tcBorders/>
            <w:vAlign w:val="center"/>
          </w:tcPr>
          <w:p>
            <w:pPr>
              <w:jc w:val="right"/>
            </w:pPr>
            <w:r>
              <w:rPr>
                <w:rFonts w:ascii="宋体" w:eastAsia="宋体" w:hAnsi="宋体" w:cs="宋体"/>
                <w:b w:val="0"/>
                <w:i w:val="0"/>
                <w:color w:val="000000"/>
                <w:sz w:val="20"/>
              </w:rPr>
              <w:t xml:space="preserve">61.28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342.17</w:t>
            </w:r>
          </w:p>
        </w:tc>
        <w:tc>
          <w:tcPr>
            <w:tcW w:w="1980" w:type="dxa"/>
            <w:tcBorders/>
            <w:vAlign w:val="center"/>
          </w:tcPr>
          <w:p>
            <w:pPr>
              <w:jc w:val="right"/>
            </w:pPr>
            <w:r>
              <w:rPr>
                <w:rFonts w:ascii="宋体" w:eastAsia="宋体" w:hAnsi="宋体" w:cs="宋体"/>
                <w:b w:val="0"/>
                <w:i w:val="0"/>
                <w:color w:val="000000"/>
                <w:sz w:val="20"/>
              </w:rPr>
              <w:t xml:space="preserve">280.89</w:t>
            </w:r>
          </w:p>
        </w:tc>
        <w:tc>
          <w:tcPr>
            <w:tcW w:w="1952" w:type="dxa"/>
            <w:tcBorders/>
            <w:vAlign w:val="center"/>
          </w:tcPr>
          <w:p>
            <w:pPr>
              <w:jc w:val="right"/>
            </w:pPr>
            <w:r>
              <w:rPr>
                <w:rFonts w:ascii="宋体" w:eastAsia="宋体" w:hAnsi="宋体" w:cs="宋体"/>
                <w:b w:val="0"/>
                <w:i w:val="0"/>
                <w:color w:val="000000"/>
                <w:sz w:val="20"/>
              </w:rPr>
              <w:t xml:space="preserve">61.28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236.78</w:t>
            </w:r>
          </w:p>
        </w:tc>
        <w:tc>
          <w:tcPr>
            <w:tcW w:w="1980" w:type="dxa"/>
            <w:tcBorders/>
            <w:vAlign w:val="center"/>
          </w:tcPr>
          <w:p>
            <w:pPr>
              <w:jc w:val="right"/>
            </w:pPr>
            <w:r>
              <w:rPr>
                <w:rFonts w:ascii="宋体" w:eastAsia="宋体" w:hAnsi="宋体" w:cs="宋体"/>
                <w:b w:val="0"/>
                <w:i w:val="0"/>
                <w:color w:val="000000"/>
                <w:sz w:val="20"/>
              </w:rPr>
              <w:t xml:space="preserve">199.10</w:t>
            </w:r>
          </w:p>
        </w:tc>
        <w:tc>
          <w:tcPr>
            <w:tcW w:w="1952" w:type="dxa"/>
            <w:tcBorders/>
            <w:vAlign w:val="center"/>
          </w:tcPr>
          <w:p>
            <w:pPr>
              <w:jc w:val="right"/>
            </w:pPr>
            <w:r>
              <w:rPr>
                <w:rFonts w:ascii="宋体" w:eastAsia="宋体" w:hAnsi="宋体" w:cs="宋体"/>
                <w:b w:val="0"/>
                <w:i w:val="0"/>
                <w:color w:val="000000"/>
                <w:sz w:val="20"/>
              </w:rPr>
              <w:t xml:space="preserve">37.68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105.39</w:t>
            </w:r>
          </w:p>
        </w:tc>
        <w:tc>
          <w:tcPr>
            <w:tcW w:w="1980" w:type="dxa"/>
            <w:tcBorders/>
            <w:vAlign w:val="center"/>
          </w:tcPr>
          <w:p>
            <w:pPr>
              <w:jc w:val="right"/>
            </w:pPr>
            <w:r>
              <w:rPr>
                <w:rFonts w:ascii="宋体" w:eastAsia="宋体" w:hAnsi="宋体" w:cs="宋体"/>
                <w:b w:val="0"/>
                <w:i w:val="0"/>
                <w:color w:val="000000"/>
                <w:sz w:val="20"/>
              </w:rPr>
              <w:t xml:space="preserve">81.79</w:t>
            </w:r>
          </w:p>
        </w:tc>
        <w:tc>
          <w:tcPr>
            <w:tcW w:w="1952" w:type="dxa"/>
            <w:tcBorders/>
            <w:vAlign w:val="center"/>
          </w:tcPr>
          <w:p>
            <w:pPr>
              <w:jc w:val="right"/>
            </w:pPr>
            <w:r>
              <w:rPr>
                <w:rFonts w:ascii="宋体" w:eastAsia="宋体" w:hAnsi="宋体" w:cs="宋体"/>
                <w:b w:val="0"/>
                <w:i w:val="0"/>
                <w:color w:val="000000"/>
                <w:sz w:val="20"/>
              </w:rPr>
              <w:t xml:space="preserve">23.60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单位：辽宁省盘锦市大洼区九年一贯制实验学校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180.10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97.52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30.50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13.83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60.91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2.84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88.70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6.00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2.84</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12.00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56.43</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2.17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0.45</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0.50</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3.15</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0.45</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2.24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180.55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100.36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单位：辽宁省盘锦市大洼区九年一贯制实验学校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单位：辽宁省盘锦市大洼区九年一贯制实验学校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单位：辽宁省盘锦市大洼区九年一贯制实验学校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026029盘锦市大洼区九年一贯制实验学校-211104000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265.12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265.12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118.56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118.56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49.4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基本支出公用经费（保基本民生）</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50.951988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50.95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61.5345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61.53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保障学校教育教学任务顺利进行；改善办学条件；保障师生安全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基本保障了学校教育教学任务顺利进行；改善了办学条件；保障了师生安全</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教育培训参加人数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科学研究和社会服务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项</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建议严格按预算拨付资金，让资金计划落到实处，规范资金的使用，体现预算的计划性功能</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建议继续全额安排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建议进一步规范管理，强化预算的执行。</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