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中国共产主义青年团辽宁省盘锦市大洼区委员会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中国共产主义青年团辽宁省盘锦市大洼区委员会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中国共产主义青年团辽宁省盘锦市大洼区委员会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中国共产主义青年团辽宁省盘锦市大洼区委员会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中国共产主义青年团辽宁省盘锦市大洼区委员会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中国共产主义青年团辽宁省盘锦市大洼区委员会概况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1.贯彻党的有关方针政策，执行区委和上级团委的决定、决议和指示，领导全区青联、学联和少先队工作，指导和管理全区性青年社团组织。</w:t>
        <w:br/>
        <w:t xml:space="preserve">    2.参与制定全区青少年工作方针、政策和青少年事业发展规划，对青少年活动阵地、青少年服务机构的建设进行规划和管理。积极开辟网上青少年教育服务阵地，逐渐完善共青团的信息化建设。</w:t>
        <w:br/>
        <w:t xml:space="preserve">    3.参与有关青少年事物政策、规定的制定和实施，协助党和政府处理、协调与青少年权益相关事物。</w:t>
        <w:br/>
        <w:t xml:space="preserve">    4.负责组织各类型的学习、培训，提高全区青年的整体素质工作，协助有关部门开展青年人力资源开发工作。</w:t>
        <w:br/>
        <w:t xml:space="preserve">    5.调查青年思想动态和青年工作状态，研究青少年运动、青少年工作理论和青少年思想道德教育问题，提出相应对策，组织相应的实践活动。</w:t>
        <w:br/>
        <w:t xml:space="preserve">    6.指导基层团组织建设，协助政府教育部门做好中、小学生的教育管理工作，维护全区学校稳定和社会安定团结。</w:t>
        <w:br/>
        <w:t xml:space="preserve">    7.负责全区青少年外事和区内外青少年友好交流工作。</w:t>
        <w:br/>
        <w:t xml:space="preserve">    8.承担区委、区政府和团市委交办的其他事项。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中国共产主义青年团辽宁省盘锦市大洼区委员会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中国共产主义青年团辽宁省盘锦市大洼区委员会</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60.21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60.21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60.21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增加0.08万元，增长0.13%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利息收入</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60.21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53.23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88.40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工资福利支出46.67万元；商品和服务支出6.56万元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6.99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11.60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主要包括青少年活动等业务支出。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增加0.08万元，增长0.13%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利息支出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无变化</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60.21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53.23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6.99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增加0.58万元，增长0.97%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项目活动增加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105.06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120.28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53.49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2023年度一般公共预算财政拨款支出60.21万元。按支出功能分类科目分，包括：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1.一般公共服务支出48.21万元，具体包括：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（1）一般公共服务支出（类）群众团体事务（款）行政运行（项）41.22万元,主要是工资福利等支出，完成年初预算的100%，决算数与年初预算数存在差异的主要原因是无。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（2）一般公共服务支出（类）群众团体事务（款）一般行政管理事务（项）6.99万元,主要是项目活动等支出，完成年初预算的100%，决算数与年初预算数存在差异的主要原因是无。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（1）社会保障和就业支出（类）行政事业单位养老支出（款）机关事业单位基本养老保险缴费支出（项）5.35万元,主要是保险等支出，完成年初预算的100%，决算数与年初预算数存在差异的主要原因是无。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（2）社会保障和就业支出（类）其他社会保障和就业支出（款）其他社会保障和就业支出（项）0.09万元,主要是保险等支出，完成年初预算的100%，决算数与年初预算数存在差异的主要原因是无。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（1）卫生健康支出（类）行政事业单位医疗（款）行政单位医疗（项）2.01万元,主要是保险等支出，完成年初预算的100%，决算数与年初预算数存在差异的主要原因是无。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（1）住房保障支出（类）住房改革支出（款）住房公积金（项）4.56万元,主要是公积金等支出，完成年初预算的100%，决算数与年初预算数存在差异的主要原因是无。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53.23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46.67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6.56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6.56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比上年增加1.04万元，增长18.84%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1、预算编制的合理性：我单位预算目标明确、与团区委的工作重点和计划相匹配。</w:t>
        <w:br/>
        <w:t xml:space="preserve">    2、资金使用合规性：经过我单位自查，资金的支出符合相关财务规定和预算安排，不存在违规挪用、滥用资金的情况。</w:t>
        <w:br/>
        <w:t xml:space="preserve">    3、目标完成情况：对比预算设定的绩效目标团区委在组织青年活动、推动青年发展、加强团组织建设等方面的工作成果和符合预期目标。</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16、青少年活动经费：指为指导和引导青少年正确开展理解和开展各项与党的事业相关的活动。</w:t>
        <w:br/>
        <w:t xml:space="preserve">        17、推动基层团组织建设经费：指为了加强和改进几层团组织的工作、组织架构、活动开展等方面所专门申请的资金。通常包括组织建设、人员培训、活动开展、阵地建设、信息化建设、调研与评估、表彰奖励等。</w:t>
        <w:br/>
        <w:t xml:space="preserve">        18、一般公共服务支出（类）群众团体事物（款）行政运行（项）：反映行政单位（包括实行公务员管理的事业单位）的基本支出。</w:t>
        <w:br/>
        <w:t xml:space="preserve">        19.一般公共服务支出(类)群众团体事务(款)一般行政管理事务(项):反映行政单位(包括实行公务员管理的事业单位)未单独设置项级科目的其他项目支出。</w:t>
        <w:br/>
        <w:t xml:space="preserve">        20.社会保障就业支出(类)行政事业单位养老支出(款)行政单位离退休(项):反映行政单位(包括实行公务员管理的事业单位)开支的离退休经费。</w:t>
        <w:br/>
        <w:t xml:space="preserve">        21.社会保障就业支出(类)行政事业单位养老支出(款)机关事业单位基本养老(项):反映机关事业单位实施养老保险制度由单位缴纳的基本养老保险缴费支出。</w:t>
        <w:br/>
        <w:t xml:space="preserve">        22.社会保障就业支出(类)行政事业单位养老支出(款)机关事业单位职业年金(项):反映机关事业单位实施养老保险制度由单位实际缴纳的职业缴费支出</w:t>
        <w:tab/>
        <w:br/>
        <w:t xml:space="preserve">        23.卫生健康支出(类)公共卫生(款)重大公共卫生服务(项):反映重大疾病、重大传染病预防控制等重大公共卫生服务项目支出。</w:t>
        <w:br/>
        <w:t xml:space="preserve">        24.卫生健康支出(类)行政事业单位医疗(款)行政单位医疗(项):反映财政部门集中安排的行政单位基本医疗保险缴费经费，未参加医疗保险的事业单位的公费医疗经费，按国家规定享受离休人员待遇的医疗经费。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25.卫生健康支出(类)行政事业单位医疗(款)其他行政事业单位医疗支出(项):反映除上述项目以外的其他用于行政事业单位医疗方面的支出。</w:t>
        <w:br/>
        <w:t xml:space="preserve">        26.住房保障支出(类)住房改革支出(款)住房公积金(项):反映行政事业单位按人力资源和社会保障部、财政部规定的基本工资和津贴补贴以及规定比例为职工缴纳的住房公积金。19</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60.21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48.20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5.45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4.56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60.21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60.21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60.21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60.21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60.21</w:t>
            </w:r>
          </w:p>
        </w:tc>
        <w:tc>
          <w:tcPr>
            <w:tcW w:w="1160" w:type="dxa"/>
            <w:tcBorders/>
            <w:vAlign w:val="center"/>
          </w:tcPr>
          <w:p>
            <w:pPr>
              <w:jc w:val="right"/>
            </w:pPr>
            <w:r>
              <w:rPr>
                <w:rFonts w:ascii="宋体" w:eastAsia="宋体" w:hAnsi="宋体" w:cs="宋体"/>
                <w:b/>
                <w:i w:val="0"/>
                <w:color w:val="000000"/>
                <w:sz w:val="14"/>
              </w:rPr>
              <w:t xml:space="preserve">60.21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48.21</w:t>
            </w:r>
          </w:p>
        </w:tc>
        <w:tc>
          <w:tcPr>
            <w:tcW w:w="1160" w:type="dxa"/>
            <w:tcBorders/>
            <w:vAlign w:val="center"/>
          </w:tcPr>
          <w:p>
            <w:pPr>
              <w:jc w:val="right"/>
            </w:pPr>
            <w:r>
              <w:rPr>
                <w:rFonts w:ascii="宋体" w:eastAsia="宋体" w:hAnsi="宋体" w:cs="宋体"/>
                <w:b w:val="0"/>
                <w:i w:val="0"/>
                <w:color w:val="000000"/>
                <w:sz w:val="14"/>
              </w:rPr>
              <w:t xml:space="preserve">48.21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群众团体事务</w:t>
            </w:r>
          </w:p>
        </w:tc>
        <w:tc>
          <w:tcPr>
            <w:tcW w:w="1160" w:type="dxa"/>
            <w:tcBorders/>
            <w:vAlign w:val="center"/>
          </w:tcPr>
          <w:p>
            <w:pPr>
              <w:jc w:val="right"/>
            </w:pPr>
            <w:r>
              <w:rPr>
                <w:rFonts w:ascii="宋体" w:eastAsia="宋体" w:hAnsi="宋体" w:cs="宋体"/>
                <w:b w:val="0"/>
                <w:i w:val="0"/>
                <w:color w:val="000000"/>
                <w:sz w:val="14"/>
              </w:rPr>
              <w:t xml:space="preserve">48.21</w:t>
            </w:r>
          </w:p>
        </w:tc>
        <w:tc>
          <w:tcPr>
            <w:tcW w:w="1160" w:type="dxa"/>
            <w:tcBorders/>
            <w:vAlign w:val="center"/>
          </w:tcPr>
          <w:p>
            <w:pPr>
              <w:jc w:val="right"/>
            </w:pPr>
            <w:r>
              <w:rPr>
                <w:rFonts w:ascii="宋体" w:eastAsia="宋体" w:hAnsi="宋体" w:cs="宋体"/>
                <w:b w:val="0"/>
                <w:i w:val="0"/>
                <w:color w:val="000000"/>
                <w:sz w:val="14"/>
              </w:rPr>
              <w:t xml:space="preserve">48.21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41.22</w:t>
            </w:r>
          </w:p>
        </w:tc>
        <w:tc>
          <w:tcPr>
            <w:tcW w:w="1160" w:type="dxa"/>
            <w:tcBorders/>
            <w:vAlign w:val="center"/>
          </w:tcPr>
          <w:p>
            <w:pPr>
              <w:jc w:val="right"/>
            </w:pPr>
            <w:r>
              <w:rPr>
                <w:rFonts w:ascii="宋体" w:eastAsia="宋体" w:hAnsi="宋体" w:cs="宋体"/>
                <w:b w:val="0"/>
                <w:i w:val="0"/>
                <w:color w:val="000000"/>
                <w:sz w:val="14"/>
              </w:rPr>
              <w:t xml:space="preserve">41.22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6.99</w:t>
            </w:r>
          </w:p>
        </w:tc>
        <w:tc>
          <w:tcPr>
            <w:tcW w:w="1160" w:type="dxa"/>
            <w:tcBorders/>
            <w:vAlign w:val="center"/>
          </w:tcPr>
          <w:p>
            <w:pPr>
              <w:jc w:val="right"/>
            </w:pPr>
            <w:r>
              <w:rPr>
                <w:rFonts w:ascii="宋体" w:eastAsia="宋体" w:hAnsi="宋体" w:cs="宋体"/>
                <w:b w:val="0"/>
                <w:i w:val="0"/>
                <w:color w:val="000000"/>
                <w:sz w:val="14"/>
              </w:rPr>
              <w:t xml:space="preserve">6.99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5.35</w:t>
            </w:r>
          </w:p>
        </w:tc>
        <w:tc>
          <w:tcPr>
            <w:tcW w:w="1160" w:type="dxa"/>
            <w:tcBorders/>
            <w:vAlign w:val="center"/>
          </w:tcPr>
          <w:p>
            <w:pPr>
              <w:jc w:val="right"/>
            </w:pPr>
            <w:r>
              <w:rPr>
                <w:rFonts w:ascii="宋体" w:eastAsia="宋体" w:hAnsi="宋体" w:cs="宋体"/>
                <w:b w:val="0"/>
                <w:i w:val="0"/>
                <w:color w:val="000000"/>
                <w:sz w:val="14"/>
              </w:rPr>
              <w:t xml:space="preserve">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5.35</w:t>
            </w:r>
          </w:p>
        </w:tc>
        <w:tc>
          <w:tcPr>
            <w:tcW w:w="1160" w:type="dxa"/>
            <w:tcBorders/>
            <w:vAlign w:val="center"/>
          </w:tcPr>
          <w:p>
            <w:pPr>
              <w:jc w:val="right"/>
            </w:pPr>
            <w:r>
              <w:rPr>
                <w:rFonts w:ascii="宋体" w:eastAsia="宋体" w:hAnsi="宋体" w:cs="宋体"/>
                <w:b w:val="0"/>
                <w:i w:val="0"/>
                <w:color w:val="000000"/>
                <w:sz w:val="14"/>
              </w:rPr>
              <w:t xml:space="preserve">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4.56</w:t>
            </w:r>
          </w:p>
        </w:tc>
        <w:tc>
          <w:tcPr>
            <w:tcW w:w="1160" w:type="dxa"/>
            <w:tcBorders/>
            <w:vAlign w:val="center"/>
          </w:tcPr>
          <w:p>
            <w:pPr>
              <w:jc w:val="right"/>
            </w:pPr>
            <w:r>
              <w:rPr>
                <w:rFonts w:ascii="宋体" w:eastAsia="宋体" w:hAnsi="宋体" w:cs="宋体"/>
                <w:b w:val="0"/>
                <w:i w:val="0"/>
                <w:color w:val="000000"/>
                <w:sz w:val="14"/>
              </w:rPr>
              <w:t xml:space="preserve">4.56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4.56</w:t>
            </w:r>
          </w:p>
        </w:tc>
        <w:tc>
          <w:tcPr>
            <w:tcW w:w="1160" w:type="dxa"/>
            <w:tcBorders/>
            <w:vAlign w:val="center"/>
          </w:tcPr>
          <w:p>
            <w:pPr>
              <w:jc w:val="right"/>
            </w:pPr>
            <w:r>
              <w:rPr>
                <w:rFonts w:ascii="宋体" w:eastAsia="宋体" w:hAnsi="宋体" w:cs="宋体"/>
                <w:b w:val="0"/>
                <w:i w:val="0"/>
                <w:color w:val="000000"/>
                <w:sz w:val="14"/>
              </w:rPr>
              <w:t xml:space="preserve">4.56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4.56</w:t>
            </w:r>
          </w:p>
        </w:tc>
        <w:tc>
          <w:tcPr>
            <w:tcW w:w="1160" w:type="dxa"/>
            <w:tcBorders/>
            <w:vAlign w:val="center"/>
          </w:tcPr>
          <w:p>
            <w:pPr>
              <w:jc w:val="right"/>
            </w:pPr>
            <w:r>
              <w:rPr>
                <w:rFonts w:ascii="宋体" w:eastAsia="宋体" w:hAnsi="宋体" w:cs="宋体"/>
                <w:b w:val="0"/>
                <w:i w:val="0"/>
                <w:color w:val="000000"/>
                <w:sz w:val="14"/>
              </w:rPr>
              <w:t xml:space="preserve">4.56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60.21</w:t>
            </w:r>
          </w:p>
        </w:tc>
        <w:tc>
          <w:tcPr>
            <w:tcW w:w="1120" w:type="dxa"/>
            <w:tcBorders/>
            <w:vAlign w:val="center"/>
          </w:tcPr>
          <w:p>
            <w:pPr>
              <w:jc w:val="right"/>
            </w:pPr>
            <w:r>
              <w:rPr>
                <w:rFonts w:ascii="宋体" w:eastAsia="宋体" w:hAnsi="宋体" w:cs="宋体"/>
                <w:b/>
                <w:i w:val="0"/>
                <w:color w:val="000000"/>
                <w:sz w:val="16"/>
              </w:rPr>
              <w:t xml:space="preserve">53.23</w:t>
            </w:r>
          </w:p>
        </w:tc>
        <w:tc>
          <w:tcPr>
            <w:tcW w:w="1120" w:type="dxa"/>
            <w:tcBorders/>
            <w:vAlign w:val="center"/>
          </w:tcPr>
          <w:p>
            <w:pPr>
              <w:jc w:val="right"/>
            </w:pPr>
            <w:r>
              <w:rPr>
                <w:rFonts w:ascii="宋体" w:eastAsia="宋体" w:hAnsi="宋体" w:cs="宋体"/>
                <w:b/>
                <w:i w:val="0"/>
                <w:color w:val="000000"/>
                <w:sz w:val="16"/>
              </w:rPr>
              <w:t xml:space="preserve">6.99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48.21</w:t>
            </w:r>
          </w:p>
        </w:tc>
        <w:tc>
          <w:tcPr>
            <w:tcW w:w="1120" w:type="dxa"/>
            <w:tcBorders/>
            <w:vAlign w:val="center"/>
          </w:tcPr>
          <w:p>
            <w:pPr>
              <w:jc w:val="right"/>
            </w:pPr>
            <w:r>
              <w:rPr>
                <w:rFonts w:ascii="宋体" w:eastAsia="宋体" w:hAnsi="宋体" w:cs="宋体"/>
                <w:b w:val="0"/>
                <w:i w:val="0"/>
                <w:color w:val="000000"/>
                <w:sz w:val="16"/>
              </w:rPr>
              <w:t xml:space="preserve">41.22</w:t>
            </w:r>
          </w:p>
        </w:tc>
        <w:tc>
          <w:tcPr>
            <w:tcW w:w="1120" w:type="dxa"/>
            <w:tcBorders/>
            <w:vAlign w:val="center"/>
          </w:tcPr>
          <w:p>
            <w:pPr>
              <w:jc w:val="right"/>
            </w:pPr>
            <w:r>
              <w:rPr>
                <w:rFonts w:ascii="宋体" w:eastAsia="宋体" w:hAnsi="宋体" w:cs="宋体"/>
                <w:b w:val="0"/>
                <w:i w:val="0"/>
                <w:color w:val="000000"/>
                <w:sz w:val="16"/>
              </w:rPr>
              <w:t xml:space="preserve">6.99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群众团体事务</w:t>
            </w:r>
          </w:p>
        </w:tc>
        <w:tc>
          <w:tcPr>
            <w:tcW w:w="1120" w:type="dxa"/>
            <w:tcBorders/>
            <w:vAlign w:val="center"/>
          </w:tcPr>
          <w:p>
            <w:pPr>
              <w:jc w:val="right"/>
            </w:pPr>
            <w:r>
              <w:rPr>
                <w:rFonts w:ascii="宋体" w:eastAsia="宋体" w:hAnsi="宋体" w:cs="宋体"/>
                <w:b w:val="0"/>
                <w:i w:val="0"/>
                <w:color w:val="000000"/>
                <w:sz w:val="16"/>
              </w:rPr>
              <w:t xml:space="preserve">48.21</w:t>
            </w:r>
          </w:p>
        </w:tc>
        <w:tc>
          <w:tcPr>
            <w:tcW w:w="1120" w:type="dxa"/>
            <w:tcBorders/>
            <w:vAlign w:val="center"/>
          </w:tcPr>
          <w:p>
            <w:pPr>
              <w:jc w:val="right"/>
            </w:pPr>
            <w:r>
              <w:rPr>
                <w:rFonts w:ascii="宋体" w:eastAsia="宋体" w:hAnsi="宋体" w:cs="宋体"/>
                <w:b w:val="0"/>
                <w:i w:val="0"/>
                <w:color w:val="000000"/>
                <w:sz w:val="16"/>
              </w:rPr>
              <w:t xml:space="preserve">41.22</w:t>
            </w:r>
          </w:p>
        </w:tc>
        <w:tc>
          <w:tcPr>
            <w:tcW w:w="1120" w:type="dxa"/>
            <w:tcBorders/>
            <w:vAlign w:val="center"/>
          </w:tcPr>
          <w:p>
            <w:pPr>
              <w:jc w:val="right"/>
            </w:pPr>
            <w:r>
              <w:rPr>
                <w:rFonts w:ascii="宋体" w:eastAsia="宋体" w:hAnsi="宋体" w:cs="宋体"/>
                <w:b w:val="0"/>
                <w:i w:val="0"/>
                <w:color w:val="000000"/>
                <w:sz w:val="16"/>
              </w:rPr>
              <w:t xml:space="preserve">6.99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41.22</w:t>
            </w:r>
          </w:p>
        </w:tc>
        <w:tc>
          <w:tcPr>
            <w:tcW w:w="1120" w:type="dxa"/>
            <w:tcBorders/>
            <w:vAlign w:val="center"/>
          </w:tcPr>
          <w:p>
            <w:pPr>
              <w:jc w:val="right"/>
            </w:pPr>
            <w:r>
              <w:rPr>
                <w:rFonts w:ascii="宋体" w:eastAsia="宋体" w:hAnsi="宋体" w:cs="宋体"/>
                <w:b w:val="0"/>
                <w:i w:val="0"/>
                <w:color w:val="000000"/>
                <w:sz w:val="16"/>
              </w:rPr>
              <w:t xml:space="preserve">41.22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6.99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5.35</w:t>
            </w:r>
          </w:p>
        </w:tc>
        <w:tc>
          <w:tcPr>
            <w:tcW w:w="1120" w:type="dxa"/>
            <w:tcBorders/>
            <w:vAlign w:val="center"/>
          </w:tcPr>
          <w:p>
            <w:pPr>
              <w:jc w:val="right"/>
            </w:pPr>
            <w:r>
              <w:rPr>
                <w:rFonts w:ascii="宋体" w:eastAsia="宋体" w:hAnsi="宋体" w:cs="宋体"/>
                <w:b w:val="0"/>
                <w:i w:val="0"/>
                <w:color w:val="000000"/>
                <w:sz w:val="16"/>
              </w:rPr>
              <w:t xml:space="preserve">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5.35</w:t>
            </w:r>
          </w:p>
        </w:tc>
        <w:tc>
          <w:tcPr>
            <w:tcW w:w="1120" w:type="dxa"/>
            <w:tcBorders/>
            <w:vAlign w:val="center"/>
          </w:tcPr>
          <w:p>
            <w:pPr>
              <w:jc w:val="right"/>
            </w:pPr>
            <w:r>
              <w:rPr>
                <w:rFonts w:ascii="宋体" w:eastAsia="宋体" w:hAnsi="宋体" w:cs="宋体"/>
                <w:b w:val="0"/>
                <w:i w:val="0"/>
                <w:color w:val="000000"/>
                <w:sz w:val="16"/>
              </w:rPr>
              <w:t xml:space="preserve">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4.56</w:t>
            </w:r>
          </w:p>
        </w:tc>
        <w:tc>
          <w:tcPr>
            <w:tcW w:w="1120" w:type="dxa"/>
            <w:tcBorders/>
            <w:vAlign w:val="center"/>
          </w:tcPr>
          <w:p>
            <w:pPr>
              <w:jc w:val="right"/>
            </w:pPr>
            <w:r>
              <w:rPr>
                <w:rFonts w:ascii="宋体" w:eastAsia="宋体" w:hAnsi="宋体" w:cs="宋体"/>
                <w:b w:val="0"/>
                <w:i w:val="0"/>
                <w:color w:val="000000"/>
                <w:sz w:val="16"/>
              </w:rPr>
              <w:t xml:space="preserve">4.56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4.56</w:t>
            </w:r>
          </w:p>
        </w:tc>
        <w:tc>
          <w:tcPr>
            <w:tcW w:w="1120" w:type="dxa"/>
            <w:tcBorders/>
            <w:vAlign w:val="center"/>
          </w:tcPr>
          <w:p>
            <w:pPr>
              <w:jc w:val="right"/>
            </w:pPr>
            <w:r>
              <w:rPr>
                <w:rFonts w:ascii="宋体" w:eastAsia="宋体" w:hAnsi="宋体" w:cs="宋体"/>
                <w:b w:val="0"/>
                <w:i w:val="0"/>
                <w:color w:val="000000"/>
                <w:sz w:val="16"/>
              </w:rPr>
              <w:t xml:space="preserve">4.56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4.56</w:t>
            </w:r>
          </w:p>
        </w:tc>
        <w:tc>
          <w:tcPr>
            <w:tcW w:w="1120" w:type="dxa"/>
            <w:tcBorders/>
            <w:vAlign w:val="center"/>
          </w:tcPr>
          <w:p>
            <w:pPr>
              <w:jc w:val="right"/>
            </w:pPr>
            <w:r>
              <w:rPr>
                <w:rFonts w:ascii="宋体" w:eastAsia="宋体" w:hAnsi="宋体" w:cs="宋体"/>
                <w:b w:val="0"/>
                <w:i w:val="0"/>
                <w:color w:val="000000"/>
                <w:sz w:val="16"/>
              </w:rPr>
              <w:t xml:space="preserve">4.56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60.21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48.20</w:t>
            </w:r>
          </w:p>
        </w:tc>
        <w:tc>
          <w:tcPr>
            <w:tcW w:w="1100" w:type="dxa"/>
            <w:tcBorders/>
            <w:vAlign w:val="center"/>
          </w:tcPr>
          <w:p>
            <w:pPr>
              <w:jc w:val="right"/>
            </w:pPr>
            <w:r>
              <w:rPr>
                <w:rFonts w:ascii="宋体" w:eastAsia="宋体" w:hAnsi="宋体" w:cs="宋体"/>
                <w:b w:val="0"/>
                <w:i w:val="0"/>
                <w:color w:val="000000"/>
                <w:sz w:val="14"/>
              </w:rPr>
              <w:t xml:space="preserve">48.20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5.45</w:t>
            </w:r>
          </w:p>
        </w:tc>
        <w:tc>
          <w:tcPr>
            <w:tcW w:w="1100" w:type="dxa"/>
            <w:tcBorders/>
            <w:vAlign w:val="center"/>
          </w:tcPr>
          <w:p>
            <w:pPr>
              <w:jc w:val="right"/>
            </w:pPr>
            <w:r>
              <w:rPr>
                <w:rFonts w:ascii="宋体" w:eastAsia="宋体" w:hAnsi="宋体" w:cs="宋体"/>
                <w:b w:val="0"/>
                <w:i w:val="0"/>
                <w:color w:val="000000"/>
                <w:sz w:val="14"/>
              </w:rPr>
              <w:t xml:space="preserve">5.45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2.01</w:t>
            </w:r>
          </w:p>
        </w:tc>
        <w:tc>
          <w:tcPr>
            <w:tcW w:w="1100" w:type="dxa"/>
            <w:tcBorders/>
            <w:vAlign w:val="center"/>
          </w:tcPr>
          <w:p>
            <w:pPr>
              <w:jc w:val="right"/>
            </w:pPr>
            <w:r>
              <w:rPr>
                <w:rFonts w:ascii="宋体" w:eastAsia="宋体" w:hAnsi="宋体" w:cs="宋体"/>
                <w:b w:val="0"/>
                <w:i w:val="0"/>
                <w:color w:val="000000"/>
                <w:sz w:val="14"/>
              </w:rPr>
              <w:t xml:space="preserve">2.01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4.56</w:t>
            </w:r>
          </w:p>
        </w:tc>
        <w:tc>
          <w:tcPr>
            <w:tcW w:w="1100" w:type="dxa"/>
            <w:tcBorders/>
            <w:vAlign w:val="center"/>
          </w:tcPr>
          <w:p>
            <w:pPr>
              <w:jc w:val="right"/>
            </w:pPr>
            <w:r>
              <w:rPr>
                <w:rFonts w:ascii="宋体" w:eastAsia="宋体" w:hAnsi="宋体" w:cs="宋体"/>
                <w:b w:val="0"/>
                <w:i w:val="0"/>
                <w:color w:val="000000"/>
                <w:sz w:val="14"/>
              </w:rPr>
              <w:t xml:space="preserve">4.56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60.21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60.21</w:t>
            </w:r>
          </w:p>
        </w:tc>
        <w:tc>
          <w:tcPr>
            <w:tcW w:w="1100" w:type="dxa"/>
            <w:tcBorders/>
            <w:vAlign w:val="center"/>
          </w:tcPr>
          <w:p>
            <w:pPr>
              <w:jc w:val="right"/>
            </w:pPr>
            <w:r>
              <w:rPr>
                <w:rFonts w:ascii="宋体" w:eastAsia="宋体" w:hAnsi="宋体" w:cs="宋体"/>
                <w:b w:val="0"/>
                <w:i w:val="0"/>
                <w:color w:val="000000"/>
                <w:sz w:val="14"/>
              </w:rPr>
              <w:t xml:space="preserve">60.21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60.21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60.21</w:t>
            </w:r>
          </w:p>
        </w:tc>
        <w:tc>
          <w:tcPr>
            <w:tcW w:w="1100" w:type="dxa"/>
            <w:tcBorders/>
            <w:vAlign w:val="center"/>
          </w:tcPr>
          <w:p>
            <w:pPr>
              <w:jc w:val="right"/>
            </w:pPr>
            <w:r>
              <w:rPr>
                <w:rFonts w:ascii="宋体" w:eastAsia="宋体" w:hAnsi="宋体" w:cs="宋体"/>
                <w:b w:val="0"/>
                <w:i w:val="0"/>
                <w:color w:val="000000"/>
                <w:sz w:val="14"/>
              </w:rPr>
              <w:t xml:space="preserve">60.21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60.21</w:t>
            </w:r>
          </w:p>
        </w:tc>
        <w:tc>
          <w:tcPr>
            <w:tcW w:w="1980" w:type="dxa"/>
            <w:tcBorders/>
            <w:vAlign w:val="center"/>
          </w:tcPr>
          <w:p>
            <w:pPr>
              <w:jc w:val="right"/>
            </w:pPr>
            <w:r>
              <w:rPr>
                <w:rFonts w:ascii="宋体" w:eastAsia="宋体" w:hAnsi="宋体" w:cs="宋体"/>
                <w:b/>
                <w:i w:val="0"/>
                <w:color w:val="000000"/>
                <w:sz w:val="20"/>
              </w:rPr>
              <w:t xml:space="preserve">53.23</w:t>
            </w:r>
          </w:p>
        </w:tc>
        <w:tc>
          <w:tcPr>
            <w:tcW w:w="1952" w:type="dxa"/>
            <w:tcBorders/>
            <w:vAlign w:val="center"/>
          </w:tcPr>
          <w:p>
            <w:pPr>
              <w:jc w:val="right"/>
            </w:pPr>
            <w:r>
              <w:rPr>
                <w:rFonts w:ascii="宋体" w:eastAsia="宋体" w:hAnsi="宋体" w:cs="宋体"/>
                <w:b/>
                <w:i w:val="0"/>
                <w:color w:val="000000"/>
                <w:sz w:val="20"/>
              </w:rPr>
              <w:t xml:space="preserve">6.99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48.21</w:t>
            </w:r>
          </w:p>
        </w:tc>
        <w:tc>
          <w:tcPr>
            <w:tcW w:w="1980" w:type="dxa"/>
            <w:tcBorders/>
            <w:vAlign w:val="center"/>
          </w:tcPr>
          <w:p>
            <w:pPr>
              <w:jc w:val="right"/>
            </w:pPr>
            <w:r>
              <w:rPr>
                <w:rFonts w:ascii="宋体" w:eastAsia="宋体" w:hAnsi="宋体" w:cs="宋体"/>
                <w:b w:val="0"/>
                <w:i w:val="0"/>
                <w:color w:val="000000"/>
                <w:sz w:val="20"/>
              </w:rPr>
              <w:t xml:space="preserve">41.22</w:t>
            </w:r>
          </w:p>
        </w:tc>
        <w:tc>
          <w:tcPr>
            <w:tcW w:w="1952" w:type="dxa"/>
            <w:tcBorders/>
            <w:vAlign w:val="center"/>
          </w:tcPr>
          <w:p>
            <w:pPr>
              <w:jc w:val="right"/>
            </w:pPr>
            <w:r>
              <w:rPr>
                <w:rFonts w:ascii="宋体" w:eastAsia="宋体" w:hAnsi="宋体" w:cs="宋体"/>
                <w:b w:val="0"/>
                <w:i w:val="0"/>
                <w:color w:val="000000"/>
                <w:sz w:val="20"/>
              </w:rPr>
              <w:t xml:space="preserve">6.99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群众团体事务</w:t>
            </w:r>
          </w:p>
        </w:tc>
        <w:tc>
          <w:tcPr>
            <w:tcW w:w="1980" w:type="dxa"/>
            <w:tcBorders/>
            <w:vAlign w:val="center"/>
          </w:tcPr>
          <w:p>
            <w:pPr>
              <w:jc w:val="right"/>
            </w:pPr>
            <w:r>
              <w:rPr>
                <w:rFonts w:ascii="宋体" w:eastAsia="宋体" w:hAnsi="宋体" w:cs="宋体"/>
                <w:b w:val="0"/>
                <w:i w:val="0"/>
                <w:color w:val="000000"/>
                <w:sz w:val="20"/>
              </w:rPr>
              <w:t xml:space="preserve">48.21</w:t>
            </w:r>
          </w:p>
        </w:tc>
        <w:tc>
          <w:tcPr>
            <w:tcW w:w="1980" w:type="dxa"/>
            <w:tcBorders/>
            <w:vAlign w:val="center"/>
          </w:tcPr>
          <w:p>
            <w:pPr>
              <w:jc w:val="right"/>
            </w:pPr>
            <w:r>
              <w:rPr>
                <w:rFonts w:ascii="宋体" w:eastAsia="宋体" w:hAnsi="宋体" w:cs="宋体"/>
                <w:b w:val="0"/>
                <w:i w:val="0"/>
                <w:color w:val="000000"/>
                <w:sz w:val="20"/>
              </w:rPr>
              <w:t xml:space="preserve">41.22</w:t>
            </w:r>
          </w:p>
        </w:tc>
        <w:tc>
          <w:tcPr>
            <w:tcW w:w="1952" w:type="dxa"/>
            <w:tcBorders/>
            <w:vAlign w:val="center"/>
          </w:tcPr>
          <w:p>
            <w:pPr>
              <w:jc w:val="right"/>
            </w:pPr>
            <w:r>
              <w:rPr>
                <w:rFonts w:ascii="宋体" w:eastAsia="宋体" w:hAnsi="宋体" w:cs="宋体"/>
                <w:b w:val="0"/>
                <w:i w:val="0"/>
                <w:color w:val="000000"/>
                <w:sz w:val="20"/>
              </w:rPr>
              <w:t xml:space="preserve">6.99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41.22</w:t>
            </w:r>
          </w:p>
        </w:tc>
        <w:tc>
          <w:tcPr>
            <w:tcW w:w="1980" w:type="dxa"/>
            <w:tcBorders/>
            <w:vAlign w:val="center"/>
          </w:tcPr>
          <w:p>
            <w:pPr>
              <w:jc w:val="right"/>
            </w:pPr>
            <w:r>
              <w:rPr>
                <w:rFonts w:ascii="宋体" w:eastAsia="宋体" w:hAnsi="宋体" w:cs="宋体"/>
                <w:b w:val="0"/>
                <w:i w:val="0"/>
                <w:color w:val="000000"/>
                <w:sz w:val="20"/>
              </w:rPr>
              <w:t xml:space="preserve">41.22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6.99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5.35</w:t>
            </w:r>
          </w:p>
        </w:tc>
        <w:tc>
          <w:tcPr>
            <w:tcW w:w="1980" w:type="dxa"/>
            <w:tcBorders/>
            <w:vAlign w:val="center"/>
          </w:tcPr>
          <w:p>
            <w:pPr>
              <w:jc w:val="right"/>
            </w:pPr>
            <w:r>
              <w:rPr>
                <w:rFonts w:ascii="宋体" w:eastAsia="宋体" w:hAnsi="宋体" w:cs="宋体"/>
                <w:b w:val="0"/>
                <w:i w:val="0"/>
                <w:color w:val="000000"/>
                <w:sz w:val="20"/>
              </w:rPr>
              <w:t xml:space="preserve">5.35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5.35</w:t>
            </w:r>
          </w:p>
        </w:tc>
        <w:tc>
          <w:tcPr>
            <w:tcW w:w="1980" w:type="dxa"/>
            <w:tcBorders/>
            <w:vAlign w:val="center"/>
          </w:tcPr>
          <w:p>
            <w:pPr>
              <w:jc w:val="right"/>
            </w:pPr>
            <w:r>
              <w:rPr>
                <w:rFonts w:ascii="宋体" w:eastAsia="宋体" w:hAnsi="宋体" w:cs="宋体"/>
                <w:b w:val="0"/>
                <w:i w:val="0"/>
                <w:color w:val="000000"/>
                <w:sz w:val="20"/>
              </w:rPr>
              <w:t xml:space="preserve">5.35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4.56</w:t>
            </w:r>
          </w:p>
        </w:tc>
        <w:tc>
          <w:tcPr>
            <w:tcW w:w="1980" w:type="dxa"/>
            <w:tcBorders/>
            <w:vAlign w:val="center"/>
          </w:tcPr>
          <w:p>
            <w:pPr>
              <w:jc w:val="right"/>
            </w:pPr>
            <w:r>
              <w:rPr>
                <w:rFonts w:ascii="宋体" w:eastAsia="宋体" w:hAnsi="宋体" w:cs="宋体"/>
                <w:b w:val="0"/>
                <w:i w:val="0"/>
                <w:color w:val="000000"/>
                <w:sz w:val="20"/>
              </w:rPr>
              <w:t xml:space="preserve">4.56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4.56</w:t>
            </w:r>
          </w:p>
        </w:tc>
        <w:tc>
          <w:tcPr>
            <w:tcW w:w="1980" w:type="dxa"/>
            <w:tcBorders/>
            <w:vAlign w:val="center"/>
          </w:tcPr>
          <w:p>
            <w:pPr>
              <w:jc w:val="right"/>
            </w:pPr>
            <w:r>
              <w:rPr>
                <w:rFonts w:ascii="宋体" w:eastAsia="宋体" w:hAnsi="宋体" w:cs="宋体"/>
                <w:b w:val="0"/>
                <w:i w:val="0"/>
                <w:color w:val="000000"/>
                <w:sz w:val="20"/>
              </w:rPr>
              <w:t xml:space="preserve">4.56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4.56</w:t>
            </w:r>
          </w:p>
        </w:tc>
        <w:tc>
          <w:tcPr>
            <w:tcW w:w="1980" w:type="dxa"/>
            <w:tcBorders/>
            <w:vAlign w:val="center"/>
          </w:tcPr>
          <w:p>
            <w:pPr>
              <w:jc w:val="right"/>
            </w:pPr>
            <w:r>
              <w:rPr>
                <w:rFonts w:ascii="宋体" w:eastAsia="宋体" w:hAnsi="宋体" w:cs="宋体"/>
                <w:b w:val="0"/>
                <w:i w:val="0"/>
                <w:color w:val="000000"/>
                <w:sz w:val="20"/>
              </w:rPr>
              <w:t xml:space="preserve">4.56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46.67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6.56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16.70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2.38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11.16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6.81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5.35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2.01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4.56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3.66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46.67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6.56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群众团体事务专项业务经费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盘锦市大洼区科学技术协会-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盘锦市大洼区科学技术协会本级-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确保单位正常运转，正常开展各类科普活动等</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未完成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开展科普活动场次数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学术交流、理论研究完成率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推动基层团组织建设经费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中国共产主义青年团盘锦市大洼区委员会-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中国共产主义青年团盘锦市大洼区委员会本级-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根据中青发[2022]17号《共青团中央印发〈关于推进县域共青团基层组织改革的指导意见〉的通知》文件，围绕地方党委中心任务和青少年需求，推动基层团组织在乡村振兴、志愿服务、济困助学、就业创业、人才培养、实践育人等领域，打造常态开展、长期坚持5的项目品牌，切实帮助青少年解决实际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完成了围绕地方党委中心任务和青少年需求，推动几层团组织在乡村振兴、志愿服务济困助学、就业创业、人才培养、实践育人等领域，切实帮助青少年解决实际问题。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组织基层社团和学校开展对外交流次数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青年就业创业见习基地建设数量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“青年之家”建设和活跃度增长率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群众来信签收核对率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举办创业大讲堂及时率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各项活动计划完成时间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主流青年社会组织发展健康规范性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资助贫困学生完成学业</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受助学生满意度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资助对象满意度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根据具体时间具体情况，应具体安排绩效自评相关工作，在条件允许的情况下，适当增加或减少指标完成情况。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增加2022年青年活动经费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中国共产主义青年团盘锦市大洼区委员会-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中国共产主义青年团盘锦市大洼区委员会本级-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4.23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92.85%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加强全区共青团系统工作，促进青少年成长成才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有效加强全区共青团系统工作，促进青少年成长成才。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困难职工子女助学帮扶人数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帮扶生活困难人次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“青年之家”建设和活跃度增长率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群众来信签收核对率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举办创业大讲堂及时率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各项活动计划完成时间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主流青年社会组织发展健康规范性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促进青少年发展问题研究深入</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子女助学帮扶对象满意度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帮扶对象满意度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99.29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根据每年具体工作安排，应适当减少任务指标完成率所占分数比例，提高主要业务指标率。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