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中共辽宁省盘锦市大洼区委宣传部</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中共辽宁省盘锦市大洼区委宣传部</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中共辽宁省盘锦市大洼区委宣传部</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中共辽宁省盘锦市大洼区委宣传部</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中共辽宁省盘锦市大洼区委宣传部</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中共辽宁省盘锦市大洼区委宣传部概况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 贯彻落实中央、省委和市委关于宣传思想文化工作重大方针政策和事业发展总体规划，拟订全区宣传思想文化工作重大政策和事业发展规划，统筹协调推进宣传思想文化领域法治建设，按照区委统一部署，协调宣传思想文化系统各部门之间的工作。</w:t>
        <w:br/>
        <w:t xml:space="preserve">    （二）统筹协调党的意识形态工作，贯彻落实中央、省委和市委关于意识形态工作决策部署及区委具体要求，组织协调意识形态工作责任制落实和日常监督检查，结合巡视巡察工作开展专项检查。</w:t>
        <w:br/>
        <w:t xml:space="preserve">    （三）统筹指导协调全区理论研究、理论学习、理论宣传工作，组织推动理论武装工作，组织实施马克思主义理论研究和建设工程。</w:t>
        <w:br/>
        <w:t xml:space="preserve">    （四）负责组织实施重大主题宣讲，对全区党员干部群众进行经常性的形势政策教育工作。</w:t>
        <w:br/>
        <w:t xml:space="preserve">    （五）负责规划组织全局性思想政治工作，配合区委组织部做好党员教育工作,指导协调编写党员教育教材,会同有关部门研究和改进群众思想教育工作。</w:t>
        <w:br/>
        <w:t xml:space="preserve">    （六）拟订全区基层宣传思想文化工作规划并组织实施，指导督查基层宣传思想文化工作，指导加强基层宣传思想文化队伍建设。</w:t>
        <w:br/>
        <w:t xml:space="preserve">    （七）统筹分析研判和引导社会舆论，指导协调区融媒体发展中心工作，组织全区突发公共事件应急新闻工作。</w:t>
        <w:br/>
        <w:t xml:space="preserve">    （八）贯彻落实国家和省市新闻出版业管理政策和法律法规，管理新闻出版行政事务，组织协调有关行政审批工作，统筹规划和指导协调新闻出版事业、产业发展，监督管理出版物内容和质量，监督管理印刷业，管理著作权，管理出版物进出口，组织指导协调全区“扫黄打非”工作。</w:t>
        <w:br/>
        <w:t xml:space="preserve">    （九）从宏观上统筹指导协调推动精神文化产品的创作和生产，协调组织全区中华优秀传统文化传承发展有关工作，指导协调推动群众文化建设。</w:t>
        <w:br/>
        <w:t xml:space="preserve">    （十）负责管理电影行政事务，指导监管电影制片、发行、放映工作，组织对电影内容进行审查，指导协调全区性重大电影活动。</w:t>
        <w:br/>
        <w:t xml:space="preserve">    (十一) 对新闻出版、广播影视、文化艺术业改革发展研究提出政策性建议，统筹指导协调文化体制改革和文化事业、文化产业及旅游业发展，指导协调国有文化资产监管工作。</w:t>
        <w:br/>
        <w:t xml:space="preserve">    （十二）统筹指导舆情信息工作，组织协调开展相关舆情信息收集分析研判工作，跟踪了解、研究掌握宣传舆情动态。</w:t>
        <w:br/>
        <w:t xml:space="preserve">    （十三）统筹协调对外宣传工作，指导协调有关部门研究拟订全区对外宣传工作战略、重大政策和对外宣传事业发展总体规划，统筹组织对外传播能力建设，指导对外文化交流工作，协调推动地域文化走出去工作。</w:t>
        <w:br/>
        <w:t xml:space="preserve">    (十四）跟踪研究港澳台舆情，组织协调涉及港澳新闻宣传和舆论工作，协同有关部门开展涉台问题的宣传工作。</w:t>
        <w:br/>
        <w:t xml:space="preserve">    （十五）统筹协调组织开展新闻发布工作，承担区委新闻发布有关组织协调工作，负责区政府新闻发布组织实施工作，指导协调区政府各部门和街镇的新闻发布工作，推动新闻发言人制度建设。拟订区重大问题对外宣传口径。</w:t>
        <w:br/>
        <w:t xml:space="preserve">    （十六）负责联系域外新闻管理机构、主要媒体和智库，会同有关部门做好域外来访记者采访事务方面的工作，负责组织开展新闻领域对外交流和合作。</w:t>
        <w:br/>
        <w:t xml:space="preserve">    (十七)负责人权宣传工作的组织协调，会同有关部门组织涉及西藏、新疆及反邪教等方面对外宣传和舆论斗争工作。</w:t>
        <w:br/>
        <w:t xml:space="preserve">    （十八）负责落实中央和省、市精神文明建设指导委员会的工作部署及区具体要求，拟订全区精神文明建设工作规划并组织实施，承担区精神文明建设指导委员会的日常工作。</w:t>
        <w:br/>
        <w:t xml:space="preserve">    (十九) 按干部管理权限，协同区委组织部管理区宣传文化系统领导干部，对镇（街）党（工）委党委宣传委员的任免提出意见，负责有关重要宣传舆论阵地和重要岗位领导干部管理,负责组织开展宣传思想文化系统干部教育培训和人才工作。</w:t>
        <w:br/>
        <w:t xml:space="preserve">    （二十）贯彻落实中央和省、市、区委关于网络安全和信息化工作的决策部署，承担区委网信办日常工作。</w:t>
        <w:br/>
        <w:t xml:space="preserve">    (二十一)归口领导区文化旅游和广播电视局、区融媒体发展中心。</w:t>
        <w:br/>
        <w:t xml:space="preserve">    (二十二) 完成区委交办的其他任务。</w:t>
        <w:br/>
        <w:t xml:space="preserve">    (二十三)与区知识产权局有关职责分工。有关著作权管理工作，按照党中央、国务院关于版权管理职能的规定分工执行。</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中共辽宁省盘锦市大洼区委宣传部</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1.中共盘锦市大洼区委宣传部本级</w:t>
        <w:br/>
        <w:t xml:space="preserve">    2.盘锦市大洼区互联网舆情监测中心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513.46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513.46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513.46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增加67.87万元，增长15.23%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513.46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312.68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60.90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工资福利支出267.27万元；商品和服务支出32.29万元；对个人和家庭的补助13.11万元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200.78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39.10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主要包括2023年度重点党报党刊及其他重点报刊、新闻综合频道《新闻直通车》节目宣传经费等业务支出。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增加67.87万元，增长15.23%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无结转和结余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513.46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312.68</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200.78</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增加67.87万元，增长15.23%</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项目支出增加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140.82</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116.83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206.99</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2023年度一般公共预算财政拨款支出513.46万元。按支出功能分类科目分，包括：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1.一般公共服务支出426.53万元，具体包括：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（1）一般公共服务支出（类）宣传事务（款）行政运行（项）145.77万元,主要是行政人员工资等支出，完成年初预算的113.6%，决算数与年初预算数存在差异的主要原因是人员经费增加。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宣传事务（款）一般行政管理事务（项）200.78万元,主要是“记录小康”数据识库建设和技术服务费、2023年度重点党报党刊及其他重点报刊、新闻综合频道《新闻直通车》节目宣传经费等支出，完成年初预算的254.2%，决算数与年初预算数存在差异的主要原因是项目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（3）一般公共服务支出（类）宣传事务（款）事业运行（项）79.98万元,主要是事业单位人员工资等支出，完成年初预算的123.29%，决算数与年初预算数存在差异的主要原因是日常公用经费和人员经费增加。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2.社会保障和就业支出52.81万元，具体包括：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13.51万元,主要是离休人员的离休费等支出，完成年初预算的84.2%，决算数与年初预算数存在差异的主要原因是离休人员的护理费预算多申请了。</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28.93万元,主要是本单位工作人员缴纳的养老保险等支出，完成年初预算的111.44%，决算数与年初预算数存在差异的主要原因是在职人员保险基数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9.87万元,主要是单位工作人员缴纳的职业年金等支出，完成年初预算的100%，决算数与年初预算数存在差异的主要原因是1人退休和1人转出的职业年金单位缴纳部分。</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0.50万元,主要是本单位工作人员缴纳的工伤保险等支出，完成年初预算的151.52%，决算数与年初预算数存在差异的主要原因是在职人员保险基数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3.卫生健康支出11.25万元，具体包括：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（1）卫生健康支出（类）行政事业单位医疗（款）行政单位医疗（项）6.42万元,主要是本单位工作人员缴纳的医疗保险等支出，完成年初预算的88.3%，决算数与年初预算数存在差异的主要原因是1人退休。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4.67万元,主要是本单位工作人员缴纳的医疗保险等支出，完成年初预算的114.18%，决算数与年初预算数存在差异的主要原因是在职人员保险基数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0.16万元,主要是本单位工作人员缴纳的医疗保险的高额医疗保险等支出，完成年初预算的106.67%，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4.住房保障支出22.87万元，具体包括：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（1）住房保障支出（类）住房改革支出（款）住房公积金（项）22.87万元,主要是本单位人员缴纳的住房公积金等支出，完成年初预算的110.91%，决算数与年初预算数存在差异的主要原因是在职人员保险基数增加。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2.94</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84.00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节约运行成本</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2.94</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2.94</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84.00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节约运行成本</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比上年增加1.82万元，增长162.50%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公车运行维护费有所增加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2.94</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主要用于公车运行等，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312.67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280.38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32.29</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29.27</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比上年增加15.06万元，增长105.98%</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本年有追加支出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，其他用车主要是信息报送</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预算绩效管理要求，中共大洼区委宣传部本级本部门组织对2023年度预算项目支出全面开展绩效自评，共涉及预算支出项目5个（其中：一般公共预算项目5个，政府性基金预算项目0个，国有资本经营预算项目0个），涉及资金182.13万元（其中：一般公共预算资金182.13万元，政府性基金预算资金0万元，国有资本经营预算资金0万元），自评覆盖率达到100%，自评平均分100分。</w:t>
        <w:br/>
        <w:t xml:space="preserve">    中共大洼区委宣传部本级组织对单位开展整体绩效自评，涉及资金182.13万元。自评覆盖率达到100%，自评平均分100分。《部门（单位）整体绩效自评表》见附件。</w:t>
        <w:br/>
        <w:t xml:space="preserve">    根据预算绩效管理要求，中共大洼区委宣传部本级本部门组织对2023年度预算项目支出全面开展绩效自评，共涉及预算支出项目7个（其中：一般公共预算项目7个，政府性基金预算项目0个，国有资本经营预算项目0个），涉及资金200.78万元（其中：一般公共预算资金200.78万元，政府性基金预算资金0万元，国有资本经营预算资金0万元），自评覆盖率达到100%，自评平均分100分。</w:t>
        <w:br/>
        <w:t xml:space="preserve">    根据预算绩效管理要求，盘锦市大洼区互联网舆情监测中心本部门组织对2023年度预算项目支出全面开展绩效自评，共涉及预算支出项目4个（其中：一般公共预算项目4个，政府性基金预算项目0个，国有资本经营预算项目0个），涉及资金85.5万元（其中：一般公共预算资金0万元，政府性基金预算资金0万元，国有资本经营预算资金0万元），自评覆盖率达到100%，自评平均分100分。</w:t>
        <w:br/>
        <w:t xml:space="preserve">    盘锦市大洼区互联网舆情监测中心组织对单位开展整体绩效自评，涉及资金85.5万元，自评平均分100分。《部门（单位）整体绩效自评表》见附件。</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16.社会保障和就业（类）行政事业单位养老支出（款）机关事业单位基本养老保险缴费支出（项）：反映机关事业单位实施养老保险制度由单位缴纳的基本养老保险费用的支出。</w:t>
        <w:br/>
        <w:t xml:space="preserve">    17.医疗卫生与计划生育（类）行政事业单位医疗（款）事业单位医疗（项）：反应财政部门集中安排的行政事业单位基本医疗保险缴费经费、未参加医疗保险的行政事业单位的公费医疗经费。</w:t>
        <w:br/>
        <w:t xml:space="preserve">     18.医疗卫生与计划生育（类）行政事业单位医疗（款）其他行政事业单位医疗支出（项）：反映除上述项目以外的其他用于行政事业单位医疗方面的支出。</w:t>
        <w:br/>
        <w:t xml:space="preserve">     19.住房保障支出（类）住房改革支出（款）住房公积金（项）：反映行政事业单位按人力资源与社会保障部、财政部规定的基本工资和津贴补贴以及规定比例为职工缴纳的住房公积金。住房公积金、养老保险、医疗保险等。</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部门：中共辽宁省盘锦市大洼区委宣传部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513.46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426.52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52.82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11.25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22.87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513.46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513.46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513.46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513.46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部门：中共辽宁省盘锦市大洼区委宣传部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513.46</w:t>
            </w:r>
          </w:p>
        </w:tc>
        <w:tc>
          <w:tcPr>
            <w:tcW w:w="1160" w:type="dxa"/>
            <w:tcBorders/>
            <w:vAlign w:val="center"/>
          </w:tcPr>
          <w:p>
            <w:pPr>
              <w:jc w:val="right"/>
            </w:pPr>
            <w:r>
              <w:rPr>
                <w:rFonts w:ascii="宋体" w:eastAsia="宋体" w:hAnsi="宋体" w:cs="宋体"/>
                <w:b/>
                <w:i w:val="0"/>
                <w:color w:val="000000"/>
                <w:sz w:val="14"/>
              </w:rPr>
              <w:t xml:space="preserve">513.46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426.53</w:t>
            </w:r>
          </w:p>
        </w:tc>
        <w:tc>
          <w:tcPr>
            <w:tcW w:w="1160" w:type="dxa"/>
            <w:tcBorders/>
            <w:vAlign w:val="center"/>
          </w:tcPr>
          <w:p>
            <w:pPr>
              <w:jc w:val="right"/>
            </w:pPr>
            <w:r>
              <w:rPr>
                <w:rFonts w:ascii="宋体" w:eastAsia="宋体" w:hAnsi="宋体" w:cs="宋体"/>
                <w:b w:val="0"/>
                <w:i w:val="0"/>
                <w:color w:val="000000"/>
                <w:sz w:val="14"/>
              </w:rPr>
              <w:t xml:space="preserve">426.53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宣传事务</w:t>
            </w:r>
          </w:p>
        </w:tc>
        <w:tc>
          <w:tcPr>
            <w:tcW w:w="1160" w:type="dxa"/>
            <w:tcBorders/>
            <w:vAlign w:val="center"/>
          </w:tcPr>
          <w:p>
            <w:pPr>
              <w:jc w:val="right"/>
            </w:pPr>
            <w:r>
              <w:rPr>
                <w:rFonts w:ascii="宋体" w:eastAsia="宋体" w:hAnsi="宋体" w:cs="宋体"/>
                <w:b w:val="0"/>
                <w:i w:val="0"/>
                <w:color w:val="000000"/>
                <w:sz w:val="14"/>
              </w:rPr>
              <w:t xml:space="preserve">426.53</w:t>
            </w:r>
          </w:p>
        </w:tc>
        <w:tc>
          <w:tcPr>
            <w:tcW w:w="1160" w:type="dxa"/>
            <w:tcBorders/>
            <w:vAlign w:val="center"/>
          </w:tcPr>
          <w:p>
            <w:pPr>
              <w:jc w:val="right"/>
            </w:pPr>
            <w:r>
              <w:rPr>
                <w:rFonts w:ascii="宋体" w:eastAsia="宋体" w:hAnsi="宋体" w:cs="宋体"/>
                <w:b w:val="0"/>
                <w:i w:val="0"/>
                <w:color w:val="000000"/>
                <w:sz w:val="14"/>
              </w:rPr>
              <w:t xml:space="preserve">426.53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145.77</w:t>
            </w:r>
          </w:p>
        </w:tc>
        <w:tc>
          <w:tcPr>
            <w:tcW w:w="1160" w:type="dxa"/>
            <w:tcBorders/>
            <w:vAlign w:val="center"/>
          </w:tcPr>
          <w:p>
            <w:pPr>
              <w:jc w:val="right"/>
            </w:pPr>
            <w:r>
              <w:rPr>
                <w:rFonts w:ascii="宋体" w:eastAsia="宋体" w:hAnsi="宋体" w:cs="宋体"/>
                <w:b w:val="0"/>
                <w:i w:val="0"/>
                <w:color w:val="000000"/>
                <w:sz w:val="14"/>
              </w:rPr>
              <w:t xml:space="preserve">145.77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200.78</w:t>
            </w:r>
          </w:p>
        </w:tc>
        <w:tc>
          <w:tcPr>
            <w:tcW w:w="1160" w:type="dxa"/>
            <w:tcBorders/>
            <w:vAlign w:val="center"/>
          </w:tcPr>
          <w:p>
            <w:pPr>
              <w:jc w:val="right"/>
            </w:pPr>
            <w:r>
              <w:rPr>
                <w:rFonts w:ascii="宋体" w:eastAsia="宋体" w:hAnsi="宋体" w:cs="宋体"/>
                <w:b w:val="0"/>
                <w:i w:val="0"/>
                <w:color w:val="000000"/>
                <w:sz w:val="14"/>
              </w:rPr>
              <w:t xml:space="preserve">200.78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79.98</w:t>
            </w:r>
          </w:p>
        </w:tc>
        <w:tc>
          <w:tcPr>
            <w:tcW w:w="1160" w:type="dxa"/>
            <w:tcBorders/>
            <w:vAlign w:val="center"/>
          </w:tcPr>
          <w:p>
            <w:pPr>
              <w:jc w:val="right"/>
            </w:pPr>
            <w:r>
              <w:rPr>
                <w:rFonts w:ascii="宋体" w:eastAsia="宋体" w:hAnsi="宋体" w:cs="宋体"/>
                <w:b w:val="0"/>
                <w:i w:val="0"/>
                <w:color w:val="000000"/>
                <w:sz w:val="14"/>
              </w:rPr>
              <w:t xml:space="preserve">79.98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52.81</w:t>
            </w:r>
          </w:p>
        </w:tc>
        <w:tc>
          <w:tcPr>
            <w:tcW w:w="1160" w:type="dxa"/>
            <w:tcBorders/>
            <w:vAlign w:val="center"/>
          </w:tcPr>
          <w:p>
            <w:pPr>
              <w:jc w:val="right"/>
            </w:pPr>
            <w:r>
              <w:rPr>
                <w:rFonts w:ascii="宋体" w:eastAsia="宋体" w:hAnsi="宋体" w:cs="宋体"/>
                <w:b w:val="0"/>
                <w:i w:val="0"/>
                <w:color w:val="000000"/>
                <w:sz w:val="14"/>
              </w:rPr>
              <w:t xml:space="preserve">52.81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52.31</w:t>
            </w:r>
          </w:p>
        </w:tc>
        <w:tc>
          <w:tcPr>
            <w:tcW w:w="1160" w:type="dxa"/>
            <w:tcBorders/>
            <w:vAlign w:val="center"/>
          </w:tcPr>
          <w:p>
            <w:pPr>
              <w:jc w:val="right"/>
            </w:pPr>
            <w:r>
              <w:rPr>
                <w:rFonts w:ascii="宋体" w:eastAsia="宋体" w:hAnsi="宋体" w:cs="宋体"/>
                <w:b w:val="0"/>
                <w:i w:val="0"/>
                <w:color w:val="000000"/>
                <w:sz w:val="14"/>
              </w:rPr>
              <w:t xml:space="preserve">52.31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13.51</w:t>
            </w:r>
          </w:p>
        </w:tc>
        <w:tc>
          <w:tcPr>
            <w:tcW w:w="1160" w:type="dxa"/>
            <w:tcBorders/>
            <w:vAlign w:val="center"/>
          </w:tcPr>
          <w:p>
            <w:pPr>
              <w:jc w:val="right"/>
            </w:pPr>
            <w:r>
              <w:rPr>
                <w:rFonts w:ascii="宋体" w:eastAsia="宋体" w:hAnsi="宋体" w:cs="宋体"/>
                <w:b w:val="0"/>
                <w:i w:val="0"/>
                <w:color w:val="000000"/>
                <w:sz w:val="14"/>
              </w:rPr>
              <w:t xml:space="preserve">13.51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28.93</w:t>
            </w:r>
          </w:p>
        </w:tc>
        <w:tc>
          <w:tcPr>
            <w:tcW w:w="1160" w:type="dxa"/>
            <w:tcBorders/>
            <w:vAlign w:val="center"/>
          </w:tcPr>
          <w:p>
            <w:pPr>
              <w:jc w:val="right"/>
            </w:pPr>
            <w:r>
              <w:rPr>
                <w:rFonts w:ascii="宋体" w:eastAsia="宋体" w:hAnsi="宋体" w:cs="宋体"/>
                <w:b w:val="0"/>
                <w:i w:val="0"/>
                <w:color w:val="000000"/>
                <w:sz w:val="14"/>
              </w:rPr>
              <w:t xml:space="preserve">28.93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9.87</w:t>
            </w:r>
          </w:p>
        </w:tc>
        <w:tc>
          <w:tcPr>
            <w:tcW w:w="1160" w:type="dxa"/>
            <w:tcBorders/>
            <w:vAlign w:val="center"/>
          </w:tcPr>
          <w:p>
            <w:pPr>
              <w:jc w:val="right"/>
            </w:pPr>
            <w:r>
              <w:rPr>
                <w:rFonts w:ascii="宋体" w:eastAsia="宋体" w:hAnsi="宋体" w:cs="宋体"/>
                <w:b w:val="0"/>
                <w:i w:val="0"/>
                <w:color w:val="000000"/>
                <w:sz w:val="14"/>
              </w:rPr>
              <w:t xml:space="preserve">9.87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0.50</w:t>
            </w:r>
          </w:p>
        </w:tc>
        <w:tc>
          <w:tcPr>
            <w:tcW w:w="1160" w:type="dxa"/>
            <w:tcBorders/>
            <w:vAlign w:val="center"/>
          </w:tcPr>
          <w:p>
            <w:pPr>
              <w:jc w:val="right"/>
            </w:pPr>
            <w:r>
              <w:rPr>
                <w:rFonts w:ascii="宋体" w:eastAsia="宋体" w:hAnsi="宋体" w:cs="宋体"/>
                <w:b w:val="0"/>
                <w:i w:val="0"/>
                <w:color w:val="000000"/>
                <w:sz w:val="14"/>
              </w:rPr>
              <w:t xml:space="preserve">0.50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0.50</w:t>
            </w:r>
          </w:p>
        </w:tc>
        <w:tc>
          <w:tcPr>
            <w:tcW w:w="1160" w:type="dxa"/>
            <w:tcBorders/>
            <w:vAlign w:val="center"/>
          </w:tcPr>
          <w:p>
            <w:pPr>
              <w:jc w:val="right"/>
            </w:pPr>
            <w:r>
              <w:rPr>
                <w:rFonts w:ascii="宋体" w:eastAsia="宋体" w:hAnsi="宋体" w:cs="宋体"/>
                <w:b w:val="0"/>
                <w:i w:val="0"/>
                <w:color w:val="000000"/>
                <w:sz w:val="14"/>
              </w:rPr>
              <w:t xml:space="preserve">0.50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11.25</w:t>
            </w:r>
          </w:p>
        </w:tc>
        <w:tc>
          <w:tcPr>
            <w:tcW w:w="1160" w:type="dxa"/>
            <w:tcBorders/>
            <w:vAlign w:val="center"/>
          </w:tcPr>
          <w:p>
            <w:pPr>
              <w:jc w:val="right"/>
            </w:pPr>
            <w:r>
              <w:rPr>
                <w:rFonts w:ascii="宋体" w:eastAsia="宋体" w:hAnsi="宋体" w:cs="宋体"/>
                <w:b w:val="0"/>
                <w:i w:val="0"/>
                <w:color w:val="000000"/>
                <w:sz w:val="14"/>
              </w:rPr>
              <w:t xml:space="preserve">11.25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11.25</w:t>
            </w:r>
          </w:p>
        </w:tc>
        <w:tc>
          <w:tcPr>
            <w:tcW w:w="1160" w:type="dxa"/>
            <w:tcBorders/>
            <w:vAlign w:val="center"/>
          </w:tcPr>
          <w:p>
            <w:pPr>
              <w:jc w:val="right"/>
            </w:pPr>
            <w:r>
              <w:rPr>
                <w:rFonts w:ascii="宋体" w:eastAsia="宋体" w:hAnsi="宋体" w:cs="宋体"/>
                <w:b w:val="0"/>
                <w:i w:val="0"/>
                <w:color w:val="000000"/>
                <w:sz w:val="14"/>
              </w:rPr>
              <w:t xml:space="preserve">11.25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6.42</w:t>
            </w:r>
          </w:p>
        </w:tc>
        <w:tc>
          <w:tcPr>
            <w:tcW w:w="1160" w:type="dxa"/>
            <w:tcBorders/>
            <w:vAlign w:val="center"/>
          </w:tcPr>
          <w:p>
            <w:pPr>
              <w:jc w:val="right"/>
            </w:pPr>
            <w:r>
              <w:rPr>
                <w:rFonts w:ascii="宋体" w:eastAsia="宋体" w:hAnsi="宋体" w:cs="宋体"/>
                <w:b w:val="0"/>
                <w:i w:val="0"/>
                <w:color w:val="000000"/>
                <w:sz w:val="14"/>
              </w:rPr>
              <w:t xml:space="preserve">6.42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4.67</w:t>
            </w:r>
          </w:p>
        </w:tc>
        <w:tc>
          <w:tcPr>
            <w:tcW w:w="1160" w:type="dxa"/>
            <w:tcBorders/>
            <w:vAlign w:val="center"/>
          </w:tcPr>
          <w:p>
            <w:pPr>
              <w:jc w:val="right"/>
            </w:pPr>
            <w:r>
              <w:rPr>
                <w:rFonts w:ascii="宋体" w:eastAsia="宋体" w:hAnsi="宋体" w:cs="宋体"/>
                <w:b w:val="0"/>
                <w:i w:val="0"/>
                <w:color w:val="000000"/>
                <w:sz w:val="14"/>
              </w:rPr>
              <w:t xml:space="preserve">4.67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0.16</w:t>
            </w:r>
          </w:p>
        </w:tc>
        <w:tc>
          <w:tcPr>
            <w:tcW w:w="1160" w:type="dxa"/>
            <w:tcBorders/>
            <w:vAlign w:val="center"/>
          </w:tcPr>
          <w:p>
            <w:pPr>
              <w:jc w:val="right"/>
            </w:pPr>
            <w:r>
              <w:rPr>
                <w:rFonts w:ascii="宋体" w:eastAsia="宋体" w:hAnsi="宋体" w:cs="宋体"/>
                <w:b w:val="0"/>
                <w:i w:val="0"/>
                <w:color w:val="000000"/>
                <w:sz w:val="14"/>
              </w:rPr>
              <w:t xml:space="preserve">0.16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22.87</w:t>
            </w:r>
          </w:p>
        </w:tc>
        <w:tc>
          <w:tcPr>
            <w:tcW w:w="1160" w:type="dxa"/>
            <w:tcBorders/>
            <w:vAlign w:val="center"/>
          </w:tcPr>
          <w:p>
            <w:pPr>
              <w:jc w:val="right"/>
            </w:pPr>
            <w:r>
              <w:rPr>
                <w:rFonts w:ascii="宋体" w:eastAsia="宋体" w:hAnsi="宋体" w:cs="宋体"/>
                <w:b w:val="0"/>
                <w:i w:val="0"/>
                <w:color w:val="000000"/>
                <w:sz w:val="14"/>
              </w:rPr>
              <w:t xml:space="preserve">22.87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22.87</w:t>
            </w:r>
          </w:p>
        </w:tc>
        <w:tc>
          <w:tcPr>
            <w:tcW w:w="1160" w:type="dxa"/>
            <w:tcBorders/>
            <w:vAlign w:val="center"/>
          </w:tcPr>
          <w:p>
            <w:pPr>
              <w:jc w:val="right"/>
            </w:pPr>
            <w:r>
              <w:rPr>
                <w:rFonts w:ascii="宋体" w:eastAsia="宋体" w:hAnsi="宋体" w:cs="宋体"/>
                <w:b w:val="0"/>
                <w:i w:val="0"/>
                <w:color w:val="000000"/>
                <w:sz w:val="14"/>
              </w:rPr>
              <w:t xml:space="preserve">22.87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22.87</w:t>
            </w:r>
          </w:p>
        </w:tc>
        <w:tc>
          <w:tcPr>
            <w:tcW w:w="1160" w:type="dxa"/>
            <w:tcBorders/>
            <w:vAlign w:val="center"/>
          </w:tcPr>
          <w:p>
            <w:pPr>
              <w:jc w:val="right"/>
            </w:pPr>
            <w:r>
              <w:rPr>
                <w:rFonts w:ascii="宋体" w:eastAsia="宋体" w:hAnsi="宋体" w:cs="宋体"/>
                <w:b w:val="0"/>
                <w:i w:val="0"/>
                <w:color w:val="000000"/>
                <w:sz w:val="14"/>
              </w:rPr>
              <w:t xml:space="preserve">22.87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部门：中共辽宁省盘锦市大洼区委宣传部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513.46</w:t>
            </w:r>
          </w:p>
        </w:tc>
        <w:tc>
          <w:tcPr>
            <w:tcW w:w="1120" w:type="dxa"/>
            <w:tcBorders/>
            <w:vAlign w:val="center"/>
          </w:tcPr>
          <w:p>
            <w:pPr>
              <w:jc w:val="right"/>
            </w:pPr>
            <w:r>
              <w:rPr>
                <w:rFonts w:ascii="宋体" w:eastAsia="宋体" w:hAnsi="宋体" w:cs="宋体"/>
                <w:b/>
                <w:i w:val="0"/>
                <w:color w:val="000000"/>
                <w:sz w:val="16"/>
              </w:rPr>
              <w:t xml:space="preserve">312.68</w:t>
            </w:r>
          </w:p>
        </w:tc>
        <w:tc>
          <w:tcPr>
            <w:tcW w:w="1120" w:type="dxa"/>
            <w:tcBorders/>
            <w:vAlign w:val="center"/>
          </w:tcPr>
          <w:p>
            <w:pPr>
              <w:jc w:val="right"/>
            </w:pPr>
            <w:r>
              <w:rPr>
                <w:rFonts w:ascii="宋体" w:eastAsia="宋体" w:hAnsi="宋体" w:cs="宋体"/>
                <w:b/>
                <w:i w:val="0"/>
                <w:color w:val="000000"/>
                <w:sz w:val="16"/>
              </w:rPr>
              <w:t xml:space="preserve">200.78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426.53</w:t>
            </w:r>
          </w:p>
        </w:tc>
        <w:tc>
          <w:tcPr>
            <w:tcW w:w="1120" w:type="dxa"/>
            <w:tcBorders/>
            <w:vAlign w:val="center"/>
          </w:tcPr>
          <w:p>
            <w:pPr>
              <w:jc w:val="right"/>
            </w:pPr>
            <w:r>
              <w:rPr>
                <w:rFonts w:ascii="宋体" w:eastAsia="宋体" w:hAnsi="宋体" w:cs="宋体"/>
                <w:b w:val="0"/>
                <w:i w:val="0"/>
                <w:color w:val="000000"/>
                <w:sz w:val="16"/>
              </w:rPr>
              <w:t xml:space="preserve">225.75</w:t>
            </w:r>
          </w:p>
        </w:tc>
        <w:tc>
          <w:tcPr>
            <w:tcW w:w="1120" w:type="dxa"/>
            <w:tcBorders/>
            <w:vAlign w:val="center"/>
          </w:tcPr>
          <w:p>
            <w:pPr>
              <w:jc w:val="right"/>
            </w:pPr>
            <w:r>
              <w:rPr>
                <w:rFonts w:ascii="宋体" w:eastAsia="宋体" w:hAnsi="宋体" w:cs="宋体"/>
                <w:b w:val="0"/>
                <w:i w:val="0"/>
                <w:color w:val="000000"/>
                <w:sz w:val="16"/>
              </w:rPr>
              <w:t xml:space="preserve">200.78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宣传事务</w:t>
            </w:r>
          </w:p>
        </w:tc>
        <w:tc>
          <w:tcPr>
            <w:tcW w:w="1120" w:type="dxa"/>
            <w:tcBorders/>
            <w:vAlign w:val="center"/>
          </w:tcPr>
          <w:p>
            <w:pPr>
              <w:jc w:val="right"/>
            </w:pPr>
            <w:r>
              <w:rPr>
                <w:rFonts w:ascii="宋体" w:eastAsia="宋体" w:hAnsi="宋体" w:cs="宋体"/>
                <w:b w:val="0"/>
                <w:i w:val="0"/>
                <w:color w:val="000000"/>
                <w:sz w:val="16"/>
              </w:rPr>
              <w:t xml:space="preserve">426.53</w:t>
            </w:r>
          </w:p>
        </w:tc>
        <w:tc>
          <w:tcPr>
            <w:tcW w:w="1120" w:type="dxa"/>
            <w:tcBorders/>
            <w:vAlign w:val="center"/>
          </w:tcPr>
          <w:p>
            <w:pPr>
              <w:jc w:val="right"/>
            </w:pPr>
            <w:r>
              <w:rPr>
                <w:rFonts w:ascii="宋体" w:eastAsia="宋体" w:hAnsi="宋体" w:cs="宋体"/>
                <w:b w:val="0"/>
                <w:i w:val="0"/>
                <w:color w:val="000000"/>
                <w:sz w:val="16"/>
              </w:rPr>
              <w:t xml:space="preserve">225.75</w:t>
            </w:r>
          </w:p>
        </w:tc>
        <w:tc>
          <w:tcPr>
            <w:tcW w:w="1120" w:type="dxa"/>
            <w:tcBorders/>
            <w:vAlign w:val="center"/>
          </w:tcPr>
          <w:p>
            <w:pPr>
              <w:jc w:val="right"/>
            </w:pPr>
            <w:r>
              <w:rPr>
                <w:rFonts w:ascii="宋体" w:eastAsia="宋体" w:hAnsi="宋体" w:cs="宋体"/>
                <w:b w:val="0"/>
                <w:i w:val="0"/>
                <w:color w:val="000000"/>
                <w:sz w:val="16"/>
              </w:rPr>
              <w:t xml:space="preserve">200.78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145.77</w:t>
            </w:r>
          </w:p>
        </w:tc>
        <w:tc>
          <w:tcPr>
            <w:tcW w:w="1120" w:type="dxa"/>
            <w:tcBorders/>
            <w:vAlign w:val="center"/>
          </w:tcPr>
          <w:p>
            <w:pPr>
              <w:jc w:val="right"/>
            </w:pPr>
            <w:r>
              <w:rPr>
                <w:rFonts w:ascii="宋体" w:eastAsia="宋体" w:hAnsi="宋体" w:cs="宋体"/>
                <w:b w:val="0"/>
                <w:i w:val="0"/>
                <w:color w:val="000000"/>
                <w:sz w:val="16"/>
              </w:rPr>
              <w:t xml:space="preserve">145.77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200.78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200.78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79.98</w:t>
            </w:r>
          </w:p>
        </w:tc>
        <w:tc>
          <w:tcPr>
            <w:tcW w:w="1120" w:type="dxa"/>
            <w:tcBorders/>
            <w:vAlign w:val="center"/>
          </w:tcPr>
          <w:p>
            <w:pPr>
              <w:jc w:val="right"/>
            </w:pPr>
            <w:r>
              <w:rPr>
                <w:rFonts w:ascii="宋体" w:eastAsia="宋体" w:hAnsi="宋体" w:cs="宋体"/>
                <w:b w:val="0"/>
                <w:i w:val="0"/>
                <w:color w:val="000000"/>
                <w:sz w:val="16"/>
              </w:rPr>
              <w:t xml:space="preserve">79.98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52.81</w:t>
            </w:r>
          </w:p>
        </w:tc>
        <w:tc>
          <w:tcPr>
            <w:tcW w:w="1120" w:type="dxa"/>
            <w:tcBorders/>
            <w:vAlign w:val="center"/>
          </w:tcPr>
          <w:p>
            <w:pPr>
              <w:jc w:val="right"/>
            </w:pPr>
            <w:r>
              <w:rPr>
                <w:rFonts w:ascii="宋体" w:eastAsia="宋体" w:hAnsi="宋体" w:cs="宋体"/>
                <w:b w:val="0"/>
                <w:i w:val="0"/>
                <w:color w:val="000000"/>
                <w:sz w:val="16"/>
              </w:rPr>
              <w:t xml:space="preserve">52.81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52.31</w:t>
            </w:r>
          </w:p>
        </w:tc>
        <w:tc>
          <w:tcPr>
            <w:tcW w:w="1120" w:type="dxa"/>
            <w:tcBorders/>
            <w:vAlign w:val="center"/>
          </w:tcPr>
          <w:p>
            <w:pPr>
              <w:jc w:val="right"/>
            </w:pPr>
            <w:r>
              <w:rPr>
                <w:rFonts w:ascii="宋体" w:eastAsia="宋体" w:hAnsi="宋体" w:cs="宋体"/>
                <w:b w:val="0"/>
                <w:i w:val="0"/>
                <w:color w:val="000000"/>
                <w:sz w:val="16"/>
              </w:rPr>
              <w:t xml:space="preserve">52.31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13.51</w:t>
            </w:r>
          </w:p>
        </w:tc>
        <w:tc>
          <w:tcPr>
            <w:tcW w:w="1120" w:type="dxa"/>
            <w:tcBorders/>
            <w:vAlign w:val="center"/>
          </w:tcPr>
          <w:p>
            <w:pPr>
              <w:jc w:val="right"/>
            </w:pPr>
            <w:r>
              <w:rPr>
                <w:rFonts w:ascii="宋体" w:eastAsia="宋体" w:hAnsi="宋体" w:cs="宋体"/>
                <w:b w:val="0"/>
                <w:i w:val="0"/>
                <w:color w:val="000000"/>
                <w:sz w:val="16"/>
              </w:rPr>
              <w:t xml:space="preserve">13.51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28.93</w:t>
            </w:r>
          </w:p>
        </w:tc>
        <w:tc>
          <w:tcPr>
            <w:tcW w:w="1120" w:type="dxa"/>
            <w:tcBorders/>
            <w:vAlign w:val="center"/>
          </w:tcPr>
          <w:p>
            <w:pPr>
              <w:jc w:val="right"/>
            </w:pPr>
            <w:r>
              <w:rPr>
                <w:rFonts w:ascii="宋体" w:eastAsia="宋体" w:hAnsi="宋体" w:cs="宋体"/>
                <w:b w:val="0"/>
                <w:i w:val="0"/>
                <w:color w:val="000000"/>
                <w:sz w:val="16"/>
              </w:rPr>
              <w:t xml:space="preserve">28.93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9.87</w:t>
            </w:r>
          </w:p>
        </w:tc>
        <w:tc>
          <w:tcPr>
            <w:tcW w:w="1120" w:type="dxa"/>
            <w:tcBorders/>
            <w:vAlign w:val="center"/>
          </w:tcPr>
          <w:p>
            <w:pPr>
              <w:jc w:val="right"/>
            </w:pPr>
            <w:r>
              <w:rPr>
                <w:rFonts w:ascii="宋体" w:eastAsia="宋体" w:hAnsi="宋体" w:cs="宋体"/>
                <w:b w:val="0"/>
                <w:i w:val="0"/>
                <w:color w:val="000000"/>
                <w:sz w:val="16"/>
              </w:rPr>
              <w:t xml:space="preserve">9.87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0.50</w:t>
            </w:r>
          </w:p>
        </w:tc>
        <w:tc>
          <w:tcPr>
            <w:tcW w:w="1120" w:type="dxa"/>
            <w:tcBorders/>
            <w:vAlign w:val="center"/>
          </w:tcPr>
          <w:p>
            <w:pPr>
              <w:jc w:val="right"/>
            </w:pPr>
            <w:r>
              <w:rPr>
                <w:rFonts w:ascii="宋体" w:eastAsia="宋体" w:hAnsi="宋体" w:cs="宋体"/>
                <w:b w:val="0"/>
                <w:i w:val="0"/>
                <w:color w:val="000000"/>
                <w:sz w:val="16"/>
              </w:rPr>
              <w:t xml:space="preserve">0.50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0.50</w:t>
            </w:r>
          </w:p>
        </w:tc>
        <w:tc>
          <w:tcPr>
            <w:tcW w:w="1120" w:type="dxa"/>
            <w:tcBorders/>
            <w:vAlign w:val="center"/>
          </w:tcPr>
          <w:p>
            <w:pPr>
              <w:jc w:val="right"/>
            </w:pPr>
            <w:r>
              <w:rPr>
                <w:rFonts w:ascii="宋体" w:eastAsia="宋体" w:hAnsi="宋体" w:cs="宋体"/>
                <w:b w:val="0"/>
                <w:i w:val="0"/>
                <w:color w:val="000000"/>
                <w:sz w:val="16"/>
              </w:rPr>
              <w:t xml:space="preserve">0.50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11.25</w:t>
            </w:r>
          </w:p>
        </w:tc>
        <w:tc>
          <w:tcPr>
            <w:tcW w:w="1120" w:type="dxa"/>
            <w:tcBorders/>
            <w:vAlign w:val="center"/>
          </w:tcPr>
          <w:p>
            <w:pPr>
              <w:jc w:val="right"/>
            </w:pPr>
            <w:r>
              <w:rPr>
                <w:rFonts w:ascii="宋体" w:eastAsia="宋体" w:hAnsi="宋体" w:cs="宋体"/>
                <w:b w:val="0"/>
                <w:i w:val="0"/>
                <w:color w:val="000000"/>
                <w:sz w:val="16"/>
              </w:rPr>
              <w:t xml:space="preserve">11.25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11.25</w:t>
            </w:r>
          </w:p>
        </w:tc>
        <w:tc>
          <w:tcPr>
            <w:tcW w:w="1120" w:type="dxa"/>
            <w:tcBorders/>
            <w:vAlign w:val="center"/>
          </w:tcPr>
          <w:p>
            <w:pPr>
              <w:jc w:val="right"/>
            </w:pPr>
            <w:r>
              <w:rPr>
                <w:rFonts w:ascii="宋体" w:eastAsia="宋体" w:hAnsi="宋体" w:cs="宋体"/>
                <w:b w:val="0"/>
                <w:i w:val="0"/>
                <w:color w:val="000000"/>
                <w:sz w:val="16"/>
              </w:rPr>
              <w:t xml:space="preserve">11.25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6.42</w:t>
            </w:r>
          </w:p>
        </w:tc>
        <w:tc>
          <w:tcPr>
            <w:tcW w:w="1120" w:type="dxa"/>
            <w:tcBorders/>
            <w:vAlign w:val="center"/>
          </w:tcPr>
          <w:p>
            <w:pPr>
              <w:jc w:val="right"/>
            </w:pPr>
            <w:r>
              <w:rPr>
                <w:rFonts w:ascii="宋体" w:eastAsia="宋体" w:hAnsi="宋体" w:cs="宋体"/>
                <w:b w:val="0"/>
                <w:i w:val="0"/>
                <w:color w:val="000000"/>
                <w:sz w:val="16"/>
              </w:rPr>
              <w:t xml:space="preserve">6.42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4.67</w:t>
            </w:r>
          </w:p>
        </w:tc>
        <w:tc>
          <w:tcPr>
            <w:tcW w:w="1120" w:type="dxa"/>
            <w:tcBorders/>
            <w:vAlign w:val="center"/>
          </w:tcPr>
          <w:p>
            <w:pPr>
              <w:jc w:val="right"/>
            </w:pPr>
            <w:r>
              <w:rPr>
                <w:rFonts w:ascii="宋体" w:eastAsia="宋体" w:hAnsi="宋体" w:cs="宋体"/>
                <w:b w:val="0"/>
                <w:i w:val="0"/>
                <w:color w:val="000000"/>
                <w:sz w:val="16"/>
              </w:rPr>
              <w:t xml:space="preserve">4.67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0.16</w:t>
            </w:r>
          </w:p>
        </w:tc>
        <w:tc>
          <w:tcPr>
            <w:tcW w:w="1120" w:type="dxa"/>
            <w:tcBorders/>
            <w:vAlign w:val="center"/>
          </w:tcPr>
          <w:p>
            <w:pPr>
              <w:jc w:val="right"/>
            </w:pPr>
            <w:r>
              <w:rPr>
                <w:rFonts w:ascii="宋体" w:eastAsia="宋体" w:hAnsi="宋体" w:cs="宋体"/>
                <w:b w:val="0"/>
                <w:i w:val="0"/>
                <w:color w:val="000000"/>
                <w:sz w:val="16"/>
              </w:rPr>
              <w:t xml:space="preserve">0.16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22.87</w:t>
            </w:r>
          </w:p>
        </w:tc>
        <w:tc>
          <w:tcPr>
            <w:tcW w:w="1120" w:type="dxa"/>
            <w:tcBorders/>
            <w:vAlign w:val="center"/>
          </w:tcPr>
          <w:p>
            <w:pPr>
              <w:jc w:val="right"/>
            </w:pPr>
            <w:r>
              <w:rPr>
                <w:rFonts w:ascii="宋体" w:eastAsia="宋体" w:hAnsi="宋体" w:cs="宋体"/>
                <w:b w:val="0"/>
                <w:i w:val="0"/>
                <w:color w:val="000000"/>
                <w:sz w:val="16"/>
              </w:rPr>
              <w:t xml:space="preserve">22.87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22.87</w:t>
            </w:r>
          </w:p>
        </w:tc>
        <w:tc>
          <w:tcPr>
            <w:tcW w:w="1120" w:type="dxa"/>
            <w:tcBorders/>
            <w:vAlign w:val="center"/>
          </w:tcPr>
          <w:p>
            <w:pPr>
              <w:jc w:val="right"/>
            </w:pPr>
            <w:r>
              <w:rPr>
                <w:rFonts w:ascii="宋体" w:eastAsia="宋体" w:hAnsi="宋体" w:cs="宋体"/>
                <w:b w:val="0"/>
                <w:i w:val="0"/>
                <w:color w:val="000000"/>
                <w:sz w:val="16"/>
              </w:rPr>
              <w:t xml:space="preserve">22.87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22.87</w:t>
            </w:r>
          </w:p>
        </w:tc>
        <w:tc>
          <w:tcPr>
            <w:tcW w:w="1120" w:type="dxa"/>
            <w:tcBorders/>
            <w:vAlign w:val="center"/>
          </w:tcPr>
          <w:p>
            <w:pPr>
              <w:jc w:val="right"/>
            </w:pPr>
            <w:r>
              <w:rPr>
                <w:rFonts w:ascii="宋体" w:eastAsia="宋体" w:hAnsi="宋体" w:cs="宋体"/>
                <w:b w:val="0"/>
                <w:i w:val="0"/>
                <w:color w:val="000000"/>
                <w:sz w:val="16"/>
              </w:rPr>
              <w:t xml:space="preserve">22.87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部门：中共辽宁省盘锦市大洼区委宣传部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513.46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426.52</w:t>
            </w:r>
          </w:p>
        </w:tc>
        <w:tc>
          <w:tcPr>
            <w:tcW w:w="1100" w:type="dxa"/>
            <w:tcBorders/>
            <w:vAlign w:val="center"/>
          </w:tcPr>
          <w:p>
            <w:pPr>
              <w:jc w:val="right"/>
            </w:pPr>
            <w:r>
              <w:rPr>
                <w:rFonts w:ascii="宋体" w:eastAsia="宋体" w:hAnsi="宋体" w:cs="宋体"/>
                <w:b w:val="0"/>
                <w:i w:val="0"/>
                <w:color w:val="000000"/>
                <w:sz w:val="14"/>
              </w:rPr>
              <w:t xml:space="preserve">426.52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52.82</w:t>
            </w:r>
          </w:p>
        </w:tc>
        <w:tc>
          <w:tcPr>
            <w:tcW w:w="1100" w:type="dxa"/>
            <w:tcBorders/>
            <w:vAlign w:val="center"/>
          </w:tcPr>
          <w:p>
            <w:pPr>
              <w:jc w:val="right"/>
            </w:pPr>
            <w:r>
              <w:rPr>
                <w:rFonts w:ascii="宋体" w:eastAsia="宋体" w:hAnsi="宋体" w:cs="宋体"/>
                <w:b w:val="0"/>
                <w:i w:val="0"/>
                <w:color w:val="000000"/>
                <w:sz w:val="14"/>
              </w:rPr>
              <w:t xml:space="preserve">52.82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11.25</w:t>
            </w:r>
          </w:p>
        </w:tc>
        <w:tc>
          <w:tcPr>
            <w:tcW w:w="1100" w:type="dxa"/>
            <w:tcBorders/>
            <w:vAlign w:val="center"/>
          </w:tcPr>
          <w:p>
            <w:pPr>
              <w:jc w:val="right"/>
            </w:pPr>
            <w:r>
              <w:rPr>
                <w:rFonts w:ascii="宋体" w:eastAsia="宋体" w:hAnsi="宋体" w:cs="宋体"/>
                <w:b w:val="0"/>
                <w:i w:val="0"/>
                <w:color w:val="000000"/>
                <w:sz w:val="14"/>
              </w:rPr>
              <w:t xml:space="preserve">11.25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22.87</w:t>
            </w:r>
          </w:p>
        </w:tc>
        <w:tc>
          <w:tcPr>
            <w:tcW w:w="1100" w:type="dxa"/>
            <w:tcBorders/>
            <w:vAlign w:val="center"/>
          </w:tcPr>
          <w:p>
            <w:pPr>
              <w:jc w:val="right"/>
            </w:pPr>
            <w:r>
              <w:rPr>
                <w:rFonts w:ascii="宋体" w:eastAsia="宋体" w:hAnsi="宋体" w:cs="宋体"/>
                <w:b w:val="0"/>
                <w:i w:val="0"/>
                <w:color w:val="000000"/>
                <w:sz w:val="14"/>
              </w:rPr>
              <w:t xml:space="preserve">22.87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513.46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513.46</w:t>
            </w:r>
          </w:p>
        </w:tc>
        <w:tc>
          <w:tcPr>
            <w:tcW w:w="1100" w:type="dxa"/>
            <w:tcBorders/>
            <w:vAlign w:val="center"/>
          </w:tcPr>
          <w:p>
            <w:pPr>
              <w:jc w:val="right"/>
            </w:pPr>
            <w:r>
              <w:rPr>
                <w:rFonts w:ascii="宋体" w:eastAsia="宋体" w:hAnsi="宋体" w:cs="宋体"/>
                <w:b w:val="0"/>
                <w:i w:val="0"/>
                <w:color w:val="000000"/>
                <w:sz w:val="14"/>
              </w:rPr>
              <w:t xml:space="preserve">513.46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513.46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513.46</w:t>
            </w:r>
          </w:p>
        </w:tc>
        <w:tc>
          <w:tcPr>
            <w:tcW w:w="1100" w:type="dxa"/>
            <w:tcBorders/>
            <w:vAlign w:val="center"/>
          </w:tcPr>
          <w:p>
            <w:pPr>
              <w:jc w:val="right"/>
            </w:pPr>
            <w:r>
              <w:rPr>
                <w:rFonts w:ascii="宋体" w:eastAsia="宋体" w:hAnsi="宋体" w:cs="宋体"/>
                <w:b w:val="0"/>
                <w:i w:val="0"/>
                <w:color w:val="000000"/>
                <w:sz w:val="14"/>
              </w:rPr>
              <w:t xml:space="preserve">513.46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部门：中共辽宁省盘锦市大洼区委宣传部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513.46</w:t>
            </w:r>
          </w:p>
        </w:tc>
        <w:tc>
          <w:tcPr>
            <w:tcW w:w="1980" w:type="dxa"/>
            <w:tcBorders/>
            <w:vAlign w:val="center"/>
          </w:tcPr>
          <w:p>
            <w:pPr>
              <w:jc w:val="right"/>
            </w:pPr>
            <w:r>
              <w:rPr>
                <w:rFonts w:ascii="宋体" w:eastAsia="宋体" w:hAnsi="宋体" w:cs="宋体"/>
                <w:b/>
                <w:i w:val="0"/>
                <w:color w:val="000000"/>
                <w:sz w:val="20"/>
              </w:rPr>
              <w:t xml:space="preserve">312.68</w:t>
            </w:r>
          </w:p>
        </w:tc>
        <w:tc>
          <w:tcPr>
            <w:tcW w:w="1952" w:type="dxa"/>
            <w:tcBorders/>
            <w:vAlign w:val="center"/>
          </w:tcPr>
          <w:p>
            <w:pPr>
              <w:jc w:val="right"/>
            </w:pPr>
            <w:r>
              <w:rPr>
                <w:rFonts w:ascii="宋体" w:eastAsia="宋体" w:hAnsi="宋体" w:cs="宋体"/>
                <w:b/>
                <w:i w:val="0"/>
                <w:color w:val="000000"/>
                <w:sz w:val="20"/>
              </w:rPr>
              <w:t xml:space="preserve">200.78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426.53</w:t>
            </w:r>
          </w:p>
        </w:tc>
        <w:tc>
          <w:tcPr>
            <w:tcW w:w="1980" w:type="dxa"/>
            <w:tcBorders/>
            <w:vAlign w:val="center"/>
          </w:tcPr>
          <w:p>
            <w:pPr>
              <w:jc w:val="right"/>
            </w:pPr>
            <w:r>
              <w:rPr>
                <w:rFonts w:ascii="宋体" w:eastAsia="宋体" w:hAnsi="宋体" w:cs="宋体"/>
                <w:b w:val="0"/>
                <w:i w:val="0"/>
                <w:color w:val="000000"/>
                <w:sz w:val="20"/>
              </w:rPr>
              <w:t xml:space="preserve">225.75</w:t>
            </w:r>
          </w:p>
        </w:tc>
        <w:tc>
          <w:tcPr>
            <w:tcW w:w="1952" w:type="dxa"/>
            <w:tcBorders/>
            <w:vAlign w:val="center"/>
          </w:tcPr>
          <w:p>
            <w:pPr>
              <w:jc w:val="right"/>
            </w:pPr>
            <w:r>
              <w:rPr>
                <w:rFonts w:ascii="宋体" w:eastAsia="宋体" w:hAnsi="宋体" w:cs="宋体"/>
                <w:b w:val="0"/>
                <w:i w:val="0"/>
                <w:color w:val="000000"/>
                <w:sz w:val="20"/>
              </w:rPr>
              <w:t xml:space="preserve">200.78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宣传事务</w:t>
            </w:r>
          </w:p>
        </w:tc>
        <w:tc>
          <w:tcPr>
            <w:tcW w:w="1980" w:type="dxa"/>
            <w:tcBorders/>
            <w:vAlign w:val="center"/>
          </w:tcPr>
          <w:p>
            <w:pPr>
              <w:jc w:val="right"/>
            </w:pPr>
            <w:r>
              <w:rPr>
                <w:rFonts w:ascii="宋体" w:eastAsia="宋体" w:hAnsi="宋体" w:cs="宋体"/>
                <w:b w:val="0"/>
                <w:i w:val="0"/>
                <w:color w:val="000000"/>
                <w:sz w:val="20"/>
              </w:rPr>
              <w:t xml:space="preserve">426.53</w:t>
            </w:r>
          </w:p>
        </w:tc>
        <w:tc>
          <w:tcPr>
            <w:tcW w:w="1980" w:type="dxa"/>
            <w:tcBorders/>
            <w:vAlign w:val="center"/>
          </w:tcPr>
          <w:p>
            <w:pPr>
              <w:jc w:val="right"/>
            </w:pPr>
            <w:r>
              <w:rPr>
                <w:rFonts w:ascii="宋体" w:eastAsia="宋体" w:hAnsi="宋体" w:cs="宋体"/>
                <w:b w:val="0"/>
                <w:i w:val="0"/>
                <w:color w:val="000000"/>
                <w:sz w:val="20"/>
              </w:rPr>
              <w:t xml:space="preserve">225.75</w:t>
            </w:r>
          </w:p>
        </w:tc>
        <w:tc>
          <w:tcPr>
            <w:tcW w:w="1952" w:type="dxa"/>
            <w:tcBorders/>
            <w:vAlign w:val="center"/>
          </w:tcPr>
          <w:p>
            <w:pPr>
              <w:jc w:val="right"/>
            </w:pPr>
            <w:r>
              <w:rPr>
                <w:rFonts w:ascii="宋体" w:eastAsia="宋体" w:hAnsi="宋体" w:cs="宋体"/>
                <w:b w:val="0"/>
                <w:i w:val="0"/>
                <w:color w:val="000000"/>
                <w:sz w:val="20"/>
              </w:rPr>
              <w:t xml:space="preserve">200.78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145.77</w:t>
            </w:r>
          </w:p>
        </w:tc>
        <w:tc>
          <w:tcPr>
            <w:tcW w:w="1980" w:type="dxa"/>
            <w:tcBorders/>
            <w:vAlign w:val="center"/>
          </w:tcPr>
          <w:p>
            <w:pPr>
              <w:jc w:val="right"/>
            </w:pPr>
            <w:r>
              <w:rPr>
                <w:rFonts w:ascii="宋体" w:eastAsia="宋体" w:hAnsi="宋体" w:cs="宋体"/>
                <w:b w:val="0"/>
                <w:i w:val="0"/>
                <w:color w:val="000000"/>
                <w:sz w:val="20"/>
              </w:rPr>
              <w:t xml:space="preserve">145.77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200.78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200.78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79.98</w:t>
            </w:r>
          </w:p>
        </w:tc>
        <w:tc>
          <w:tcPr>
            <w:tcW w:w="1980" w:type="dxa"/>
            <w:tcBorders/>
            <w:vAlign w:val="center"/>
          </w:tcPr>
          <w:p>
            <w:pPr>
              <w:jc w:val="right"/>
            </w:pPr>
            <w:r>
              <w:rPr>
                <w:rFonts w:ascii="宋体" w:eastAsia="宋体" w:hAnsi="宋体" w:cs="宋体"/>
                <w:b w:val="0"/>
                <w:i w:val="0"/>
                <w:color w:val="000000"/>
                <w:sz w:val="20"/>
              </w:rPr>
              <w:t xml:space="preserve">79.98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52.81</w:t>
            </w:r>
          </w:p>
        </w:tc>
        <w:tc>
          <w:tcPr>
            <w:tcW w:w="1980" w:type="dxa"/>
            <w:tcBorders/>
            <w:vAlign w:val="center"/>
          </w:tcPr>
          <w:p>
            <w:pPr>
              <w:jc w:val="right"/>
            </w:pPr>
            <w:r>
              <w:rPr>
                <w:rFonts w:ascii="宋体" w:eastAsia="宋体" w:hAnsi="宋体" w:cs="宋体"/>
                <w:b w:val="0"/>
                <w:i w:val="0"/>
                <w:color w:val="000000"/>
                <w:sz w:val="20"/>
              </w:rPr>
              <w:t xml:space="preserve">52.81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52.31</w:t>
            </w:r>
          </w:p>
        </w:tc>
        <w:tc>
          <w:tcPr>
            <w:tcW w:w="1980" w:type="dxa"/>
            <w:tcBorders/>
            <w:vAlign w:val="center"/>
          </w:tcPr>
          <w:p>
            <w:pPr>
              <w:jc w:val="right"/>
            </w:pPr>
            <w:r>
              <w:rPr>
                <w:rFonts w:ascii="宋体" w:eastAsia="宋体" w:hAnsi="宋体" w:cs="宋体"/>
                <w:b w:val="0"/>
                <w:i w:val="0"/>
                <w:color w:val="000000"/>
                <w:sz w:val="20"/>
              </w:rPr>
              <w:t xml:space="preserve">52.31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13.51</w:t>
            </w:r>
          </w:p>
        </w:tc>
        <w:tc>
          <w:tcPr>
            <w:tcW w:w="1980" w:type="dxa"/>
            <w:tcBorders/>
            <w:vAlign w:val="center"/>
          </w:tcPr>
          <w:p>
            <w:pPr>
              <w:jc w:val="right"/>
            </w:pPr>
            <w:r>
              <w:rPr>
                <w:rFonts w:ascii="宋体" w:eastAsia="宋体" w:hAnsi="宋体" w:cs="宋体"/>
                <w:b w:val="0"/>
                <w:i w:val="0"/>
                <w:color w:val="000000"/>
                <w:sz w:val="20"/>
              </w:rPr>
              <w:t xml:space="preserve">13.51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28.93</w:t>
            </w:r>
          </w:p>
        </w:tc>
        <w:tc>
          <w:tcPr>
            <w:tcW w:w="1980" w:type="dxa"/>
            <w:tcBorders/>
            <w:vAlign w:val="center"/>
          </w:tcPr>
          <w:p>
            <w:pPr>
              <w:jc w:val="right"/>
            </w:pPr>
            <w:r>
              <w:rPr>
                <w:rFonts w:ascii="宋体" w:eastAsia="宋体" w:hAnsi="宋体" w:cs="宋体"/>
                <w:b w:val="0"/>
                <w:i w:val="0"/>
                <w:color w:val="000000"/>
                <w:sz w:val="20"/>
              </w:rPr>
              <w:t xml:space="preserve">28.93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9.87</w:t>
            </w:r>
          </w:p>
        </w:tc>
        <w:tc>
          <w:tcPr>
            <w:tcW w:w="1980" w:type="dxa"/>
            <w:tcBorders/>
            <w:vAlign w:val="center"/>
          </w:tcPr>
          <w:p>
            <w:pPr>
              <w:jc w:val="right"/>
            </w:pPr>
            <w:r>
              <w:rPr>
                <w:rFonts w:ascii="宋体" w:eastAsia="宋体" w:hAnsi="宋体" w:cs="宋体"/>
                <w:b w:val="0"/>
                <w:i w:val="0"/>
                <w:color w:val="000000"/>
                <w:sz w:val="20"/>
              </w:rPr>
              <w:t xml:space="preserve">9.87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0.50</w:t>
            </w:r>
          </w:p>
        </w:tc>
        <w:tc>
          <w:tcPr>
            <w:tcW w:w="1980" w:type="dxa"/>
            <w:tcBorders/>
            <w:vAlign w:val="center"/>
          </w:tcPr>
          <w:p>
            <w:pPr>
              <w:jc w:val="right"/>
            </w:pPr>
            <w:r>
              <w:rPr>
                <w:rFonts w:ascii="宋体" w:eastAsia="宋体" w:hAnsi="宋体" w:cs="宋体"/>
                <w:b w:val="0"/>
                <w:i w:val="0"/>
                <w:color w:val="000000"/>
                <w:sz w:val="20"/>
              </w:rPr>
              <w:t xml:space="preserve">0.50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0.50</w:t>
            </w:r>
          </w:p>
        </w:tc>
        <w:tc>
          <w:tcPr>
            <w:tcW w:w="1980" w:type="dxa"/>
            <w:tcBorders/>
            <w:vAlign w:val="center"/>
          </w:tcPr>
          <w:p>
            <w:pPr>
              <w:jc w:val="right"/>
            </w:pPr>
            <w:r>
              <w:rPr>
                <w:rFonts w:ascii="宋体" w:eastAsia="宋体" w:hAnsi="宋体" w:cs="宋体"/>
                <w:b w:val="0"/>
                <w:i w:val="0"/>
                <w:color w:val="000000"/>
                <w:sz w:val="20"/>
              </w:rPr>
              <w:t xml:space="preserve">0.50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11.25</w:t>
            </w:r>
          </w:p>
        </w:tc>
        <w:tc>
          <w:tcPr>
            <w:tcW w:w="1980" w:type="dxa"/>
            <w:tcBorders/>
            <w:vAlign w:val="center"/>
          </w:tcPr>
          <w:p>
            <w:pPr>
              <w:jc w:val="right"/>
            </w:pPr>
            <w:r>
              <w:rPr>
                <w:rFonts w:ascii="宋体" w:eastAsia="宋体" w:hAnsi="宋体" w:cs="宋体"/>
                <w:b w:val="0"/>
                <w:i w:val="0"/>
                <w:color w:val="000000"/>
                <w:sz w:val="20"/>
              </w:rPr>
              <w:t xml:space="preserve">11.25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11.25</w:t>
            </w:r>
          </w:p>
        </w:tc>
        <w:tc>
          <w:tcPr>
            <w:tcW w:w="1980" w:type="dxa"/>
            <w:tcBorders/>
            <w:vAlign w:val="center"/>
          </w:tcPr>
          <w:p>
            <w:pPr>
              <w:jc w:val="right"/>
            </w:pPr>
            <w:r>
              <w:rPr>
                <w:rFonts w:ascii="宋体" w:eastAsia="宋体" w:hAnsi="宋体" w:cs="宋体"/>
                <w:b w:val="0"/>
                <w:i w:val="0"/>
                <w:color w:val="000000"/>
                <w:sz w:val="20"/>
              </w:rPr>
              <w:t xml:space="preserve">11.25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6.42</w:t>
            </w:r>
          </w:p>
        </w:tc>
        <w:tc>
          <w:tcPr>
            <w:tcW w:w="1980" w:type="dxa"/>
            <w:tcBorders/>
            <w:vAlign w:val="center"/>
          </w:tcPr>
          <w:p>
            <w:pPr>
              <w:jc w:val="right"/>
            </w:pPr>
            <w:r>
              <w:rPr>
                <w:rFonts w:ascii="宋体" w:eastAsia="宋体" w:hAnsi="宋体" w:cs="宋体"/>
                <w:b w:val="0"/>
                <w:i w:val="0"/>
                <w:color w:val="000000"/>
                <w:sz w:val="20"/>
              </w:rPr>
              <w:t xml:space="preserve">6.42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4.67</w:t>
            </w:r>
          </w:p>
        </w:tc>
        <w:tc>
          <w:tcPr>
            <w:tcW w:w="1980" w:type="dxa"/>
            <w:tcBorders/>
            <w:vAlign w:val="center"/>
          </w:tcPr>
          <w:p>
            <w:pPr>
              <w:jc w:val="right"/>
            </w:pPr>
            <w:r>
              <w:rPr>
                <w:rFonts w:ascii="宋体" w:eastAsia="宋体" w:hAnsi="宋体" w:cs="宋体"/>
                <w:b w:val="0"/>
                <w:i w:val="0"/>
                <w:color w:val="000000"/>
                <w:sz w:val="20"/>
              </w:rPr>
              <w:t xml:space="preserve">4.67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0.16</w:t>
            </w:r>
          </w:p>
        </w:tc>
        <w:tc>
          <w:tcPr>
            <w:tcW w:w="1980" w:type="dxa"/>
            <w:tcBorders/>
            <w:vAlign w:val="center"/>
          </w:tcPr>
          <w:p>
            <w:pPr>
              <w:jc w:val="right"/>
            </w:pPr>
            <w:r>
              <w:rPr>
                <w:rFonts w:ascii="宋体" w:eastAsia="宋体" w:hAnsi="宋体" w:cs="宋体"/>
                <w:b w:val="0"/>
                <w:i w:val="0"/>
                <w:color w:val="000000"/>
                <w:sz w:val="20"/>
              </w:rPr>
              <w:t xml:space="preserve">0.16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22.87</w:t>
            </w:r>
          </w:p>
        </w:tc>
        <w:tc>
          <w:tcPr>
            <w:tcW w:w="1980" w:type="dxa"/>
            <w:tcBorders/>
            <w:vAlign w:val="center"/>
          </w:tcPr>
          <w:p>
            <w:pPr>
              <w:jc w:val="right"/>
            </w:pPr>
            <w:r>
              <w:rPr>
                <w:rFonts w:ascii="宋体" w:eastAsia="宋体" w:hAnsi="宋体" w:cs="宋体"/>
                <w:b w:val="0"/>
                <w:i w:val="0"/>
                <w:color w:val="000000"/>
                <w:sz w:val="20"/>
              </w:rPr>
              <w:t xml:space="preserve">22.87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22.87</w:t>
            </w:r>
          </w:p>
        </w:tc>
        <w:tc>
          <w:tcPr>
            <w:tcW w:w="1980" w:type="dxa"/>
            <w:tcBorders/>
            <w:vAlign w:val="center"/>
          </w:tcPr>
          <w:p>
            <w:pPr>
              <w:jc w:val="right"/>
            </w:pPr>
            <w:r>
              <w:rPr>
                <w:rFonts w:ascii="宋体" w:eastAsia="宋体" w:hAnsi="宋体" w:cs="宋体"/>
                <w:b w:val="0"/>
                <w:i w:val="0"/>
                <w:color w:val="000000"/>
                <w:sz w:val="20"/>
              </w:rPr>
              <w:t xml:space="preserve">22.87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22.87</w:t>
            </w:r>
          </w:p>
        </w:tc>
        <w:tc>
          <w:tcPr>
            <w:tcW w:w="1980" w:type="dxa"/>
            <w:tcBorders/>
            <w:vAlign w:val="center"/>
          </w:tcPr>
          <w:p>
            <w:pPr>
              <w:jc w:val="right"/>
            </w:pPr>
            <w:r>
              <w:rPr>
                <w:rFonts w:ascii="宋体" w:eastAsia="宋体" w:hAnsi="宋体" w:cs="宋体"/>
                <w:b w:val="0"/>
                <w:i w:val="0"/>
                <w:color w:val="000000"/>
                <w:sz w:val="20"/>
              </w:rPr>
              <w:t xml:space="preserve">22.87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部门：中共辽宁省盘锦市大洼区委宣传部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267.27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32.29</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98.51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14.45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61.17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1.28</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25.63</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0.00</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8.55</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28.93</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9.87</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11.09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0.66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0.67</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22.87</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0.80</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13.11</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jc w:val="right"/>
            </w:pPr>
            <w:r>
              <w:rPr>
                <w:rFonts w:ascii="宋体" w:eastAsia="宋体" w:hAnsi="宋体" w:cs="宋体"/>
                <w:b w:val="0"/>
                <w:i w:val="0"/>
                <w:color w:val="000000"/>
                <w:sz w:val="14"/>
              </w:rPr>
              <w:t xml:space="preserve">11.54</w:t>
            </w: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1.48</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0.01</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2.94</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11.67</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0.07</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0.48</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280.38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32.29</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部门：中共辽宁省盘锦市大洼区委宣传部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3.50</w:t>
            </w:r>
          </w:p>
        </w:tc>
        <w:tc>
          <w:tcPr>
            <w:tcW w:w="3092" w:type="dxa"/>
            <w:tcBorders/>
            <w:vAlign w:val="center"/>
          </w:tcPr>
          <w:p>
            <w:pPr>
              <w:jc w:val="right"/>
            </w:pPr>
            <w:r>
              <w:rPr>
                <w:rFonts w:ascii="宋体" w:eastAsia="宋体" w:hAnsi="宋体" w:cs="宋体"/>
                <w:b w:val="0"/>
                <w:i w:val="0"/>
                <w:color w:val="000000"/>
                <w:sz w:val="23"/>
              </w:rPr>
              <w:t xml:space="preserve">2.94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3.50</w:t>
            </w:r>
          </w:p>
        </w:tc>
        <w:tc>
          <w:tcPr>
            <w:tcW w:w="3092" w:type="dxa"/>
            <w:tcBorders/>
            <w:vAlign w:val="center"/>
          </w:tcPr>
          <w:p>
            <w:pPr>
              <w:jc w:val="right"/>
            </w:pPr>
            <w:r>
              <w:rPr>
                <w:rFonts w:ascii="宋体" w:eastAsia="宋体" w:hAnsi="宋体" w:cs="宋体"/>
                <w:b w:val="0"/>
                <w:i w:val="0"/>
                <w:color w:val="000000"/>
                <w:sz w:val="23"/>
              </w:rPr>
              <w:t xml:space="preserve">2.94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3.50</w:t>
            </w:r>
          </w:p>
        </w:tc>
        <w:tc>
          <w:tcPr>
            <w:tcW w:w="3092" w:type="dxa"/>
            <w:tcBorders/>
            <w:vAlign w:val="center"/>
          </w:tcPr>
          <w:p>
            <w:pPr>
              <w:jc w:val="right"/>
            </w:pPr>
            <w:r>
              <w:rPr>
                <w:rFonts w:ascii="宋体" w:eastAsia="宋体" w:hAnsi="宋体" w:cs="宋体"/>
                <w:b w:val="0"/>
                <w:i w:val="0"/>
                <w:color w:val="000000"/>
                <w:sz w:val="23"/>
              </w:rPr>
              <w:t xml:space="preserve">2.94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部门：中共辽宁省盘锦市大洼区委宣传部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部门：中共辽宁省盘锦市大洼区委宣传部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003001中共盘锦市大洼区委宣传部本级-211104000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182.13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182.13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18.241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18.24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9.267774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9.26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137.725159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137.72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0.048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积极打造宣传阵地，传播好上级宣传思想，宣传思想文化工作的建设、培训、推广完善体系，加强思想文化宣传力度。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536"/>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政治效益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主题宣传、重点工作宣传量</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不出现负面报道</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负面报道</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建立预算绩效管理机制</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绩效管理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92</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进一步加强软件系统的稳定性和操作性、功能性，希望能够更加方便快捷的使用软件系统。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2022年对外宣传支出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15.35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87.86%</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进一步加大我区对外宣传工作力度，切实提升我区知名度和美誉度，邀请多家上级媒体对我区经济发展、乡村振兴、全域旅游等大力宣传。</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媒体宣传次数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平面宣传报道区域覆盖率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宣传质量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网上重大主题宣传省内主要新闻网站覆盖率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宣传完成时间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宣传活动及时率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宣传成本</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宣传资料印刷成本节约度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依量而订</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网络宣传报道订阅用户增长率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平面宣传报道正确引导舆论导向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引导导向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活动宣传报道正确引导舆论导向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引导导向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环境保护</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节约环保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媒体宣传次数增长率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平面宣传报道公众（读者）满意度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纸媒宣传报道公众（读者）满意度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地方宣传部门满意度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8.79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98.79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进一步加强软件系统的稳定性和操作性、功能性，希望能够更加方便快捷的使用软件系统。</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2022年文明创建经费支出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28.56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28.23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98.85%</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顺利通过2022年创城检查</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专题宣传活动次数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组织宣传活动次数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场次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宣传质量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网上重大主题宣传省内主要新闻网站覆盖率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宣传完成时间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宣传活动及时率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印制宣传用品费用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宣传活动用品购置支出</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网络宣传报道订阅用户增长率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平面宣传报道正确引导舆论导向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引导导向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活动宣传报道正确引导舆论导向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引导导向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节能环保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节约环保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媒体宣传次数增长率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平面宣传报道公众（读者）满意度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地方宣传部门满意度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99.89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进一步加强软件系统的稳定性和操作性、功能性，希望能够更加方便快捷的使用软件系统。</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盘海营高速盘锦南站立交桥两侧广告牌维护费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5.68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94.63%</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做好宣传广告的维护</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组织宣传活动数量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场次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组织新闻发布工作数量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场次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加强群众理论素养培养</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完成培训</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宣传教育作品完成率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舆情信息调研完成率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项目成本支出</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丰富人民群众精神文化生活</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人民满意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深入推进培育和践行社会主义核心价值观，提升城市形象和影响力</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完成迎检</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人民群众满意度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9.46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99.46</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进一步加强软件系统的稳定性和操作性、功能性，希望能够更加方便快捷的使用软件系统。</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数据库建设和技术服务经费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数据库建设和技术服务经费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媒体宣传次数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宣传片小时数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小时</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公益宣传完成率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网上重大主题宣传省内主要新闻网站覆盖率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宣传完成时间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宣传活动及时率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宣传成本</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网络宣传报道订阅用户增长率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平面宣传报道正确引导舆论导向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引导导向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网络宣传报道正确引导舆论导向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引导导向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节能环保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节能环保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媒体宣传次数增长率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平面宣传报道公众（读者）满意度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地方宣传部门满意度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26</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进一步加强软件系统的稳定性和操作性、功能性，希望能够更加方便快捷的使用软件系统。</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文化活动经费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积极开展文化及意识形态相关宣传活动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组织宣传活动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场次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组织宣传活动数量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场次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宣传质量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网上重大主题宣传省内主要新闻网站覆盖率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宣传完成时间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宣传活动及时率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印制宣传用品费用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宣传活动用品购置支出</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网络宣传报道订阅用户增长率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活动宣传报道正确引导舆论导向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引导导向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节能环保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节能环保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媒体宣传次数增长率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纸媒宣传报道公众（读者）满意度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地方宣传部门满意度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进一步加强软件系统的稳定性、功能性和操作性，希望能够更加方便快捷的使用软件系统。</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新时代文明实践活动经费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97.99%</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新时代文明实践活动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媒体宣传次数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组织宣传活动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场次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宣传质量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网上重大主题宣传省内主要新闻网站覆盖率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宣传完成时间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宣传活动及时率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印制宣传用品费用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宣传活动用品购置支出</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网络宣传报道订阅用户增长率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网络宣传报道正确引导舆论导向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引导导向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节能环保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节能环保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媒体宣传次数增长率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平面宣传报道公众（读者）满意度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地方宣传部门满意度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99.8</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进一步加强软件系统的稳定性和操作性、功能性，希望能够更加方便快捷的使用软件系统。</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新闻综合频道《新闻直通车》宣传合作经费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进一步丰富新闻内容，加大宣传力度。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扶持文艺精品项目数量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组织宣传活动数量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场次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宣传教育作品完成率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舆情信息调研完成率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完成项目活动及时性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项目成本控制率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项目成本支出</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丰富人民群众精神文化生活</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调查问卷</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持续加强基础宣传队伍建设</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定期培训</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人民群众满意度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进一步加强软件系统的稳定性、功能性和操作性，希望能够更多加方便快捷的使用软件系统。</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003002盘锦市大洼区互联网舆情监测中心-211104000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85.5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85.5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2.38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2.38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76.260931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76.26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2.3774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2.37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0.036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积极打造宣传阵地，加强思想文化宣传力度，营造良好社会舆情。</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536"/>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政治效益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主题宣传、重点工作宣传量</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不出现负面报道</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负面报道</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建立预算绩效管理机制</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绩效管理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进一步加强软件系统的稳定性、功能性和操作性，更加方便快捷的保用和操作软件系统，完成各项工作任务。</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网络安全监测处置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盘锦市大洼区互联网舆情监测中心-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加强网络负面舆情监管及正确网络安全传播引导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未完成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网络宣传报道区域覆盖率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通报网络安全风险和事件数量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件</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保证网络和信息安全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保证网络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保障正常网络运行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保证网络系统正常运行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报送网络舆情时间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小时</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宣传活动用品购置支出</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网络安全现场检查平均成本</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网络宣传报道订阅用户增长率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宽带网络覆盖增长率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节能环保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节能环保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提高单位信息化网络安全指标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网络安全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网络安全检查应急工作满程度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地方宣传部门满意度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进一步加强软件系统的稳定性和操作性、功能性，希望能够更加方便快捷的使用软件系统。</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网络传播引导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盘锦市大洼区互联网舆情监测中心-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加强网络负面舆情监管及正确网络安全传播引导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未完成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完成年度舆情监测任务数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舆情监测时长</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小时</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网络系统正常运行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网络系统运行故障率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报送网络舆情时间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小时</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网络故障排除及时率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印制宣传用品费用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宣传活动用品购置支出</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网络宣传报道订阅用户增长率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纸媒宣传报道正确引导舆论导向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引导导向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节能环保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节能环保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纸媒宣传报道突发事件处置率（%）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纸媒宣传报道公众（读者）满意度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地方宣传部门满意度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进一步加强软件系统的稳定性和操作性、功能性，希望能够更加方便快捷的使用软件系统。</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舆情监测平台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盘锦市大洼区互联网舆情监测中心-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加强网络负面舆情监管及正确网络安全传播引导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未完成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完成年度舆情监测任务数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舆情监测时长</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小时</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完成年度舆情监测任务数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年度舆情监测工作完成率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报送网络舆情时间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小时</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舆情监测报告按时完成率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宣传成本</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宣传活动用品购置支出</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网络宣传报道订阅用户增长率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重大负面舆情和事件次数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节能环保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节能环保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媒体宣传次数增长率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纸媒宣传报道公众（读者）满意度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地方宣传部门满意度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进一步加强软件系统的稳定性和操作性、功能性，希望能够更加方便快捷的使用软件系统。</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