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中共辽宁省盘锦市大洼区委政法委员会（本级）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中共辽宁省盘锦市大洼区委政法委员会（本级）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中共辽宁省盘锦市大洼区委政法委员会（本级）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中共辽宁省盘锦市大洼区委政法委员会（本级）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中共辽宁省盘锦市大洼区委政法委员会（本级）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中共辽宁省盘锦市大洼区委政法委员会（本级）概况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此内容涉密</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中共辽宁省盘锦市大洼区委政法委员会（本级）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中共盘锦市大洼区委政法委员会</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267.98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261.49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97.58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261.49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6.47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2.41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主要是银行存款等。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减少24.53万元，降低8.39%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3人退休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261.50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217.22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83.07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工资福利支出170.02万元；商品和服务支出17.11万元；对个人和家庭的补助30.09万元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44.28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16.93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主要包括平安创建、涉疆反邪教、扫黑专项、严重精神障碍患者看护补助、见义勇为专项、政法培训等业务支出。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减少24.54万元，降低8.58%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退休3人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6.48</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主要是上级部门及区委组织部拨付的经费等原因形成的结余。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增加0.00万元，增长0.07%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利息收入</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261.49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217.21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44.28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减少22.86万元，降低8.04%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退休3人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85.15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106.86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42.64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2023年度一般公共预算财政拨款支出261.49万元。按支出功能分类科目分，包括：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1.一般公共服务支出183.43万元，具体包括：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行政运行（项）139.15万元,主要是人员工资福利、保险、公务员奖励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一般行政管理事务（项）44.28万元,主要是平安创建、涉疆反邪教、扫黑专项、严重精神障碍患者看护补助、见义勇为专项、政法培训等支出，完成年初预算的42.63%，决算数与年初预算数存在差异的主要原因是见义勇为的基金只用于节日走访。</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2.社会保障和就业支出55.85万元，具体包括：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（1）社会保障和就业支出（类）行政事业单位养老支出（款）行政单位离退休（项）4.66万元,主要是退休人员取暖费等支出，完成年初预算的100%，决算数与年初预算数存在差异的主要原因是无差异。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18.47万元,主要是用于单位养老保险保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（3）社会保障和就业支出（类）行政事业单位养老支出（款）机关事业单位职业年金缴费支出（项）6.88万元,主要是职业年金等支出，完成年初预算的0%，决算数与年初预算数存在差异的主要原因是无年初预算。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（4）社会保障和就业支出（类）抚恤（款）死亡抚恤（项）25.43万元,主要是退休人员死亡丧葬费等支出，完成年初预算的0%，决算数与年初预算数存在差异的主要原因是无年初预算。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（5）社会保障和就业支出（类）其他社会保障和就业支出（款）其他社会保障和就业支出（项）0.41万元,主要是工伤保险等支出，完成年初预算的100%，决算数与年初预算数存在差异的主要原因是无差异。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（1）卫生健康支出（类）行政事业单位医疗（款）行政单位医疗（项）7.11万元,主要是医疗保险等支出，完成年初预算的100%，决算数与年初预算数存在差异的主要原因是无差异。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（2）卫生健康支出（类）行政事业单位医疗（款）其他行政事业单位医疗支出（项）0.14万元,主要是医疗大额保险等支出，完成年初预算的100%，决算数与年初预算数存在差异的主要原因是无差异。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4.住房保障支出14.96万元，具体包括：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（1）住房保障支出（类）住房改革支出（款）住房公积金（项）14.96万元,主要是单位住房公积金等支出，完成年初预算的100%，决算数与年初预算数存在差异的主要原因是无差异。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0.92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26.29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0.92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无此情况</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无此情况</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无此情况</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无此情况</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0.92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26.29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控制车辆使用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比上年减少0.45万元，降低32.85%</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减少车辆使用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0.92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主要用于车辆燃油等日常维护保养等，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217.21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200.11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17.10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17.10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比上年减少5.15万元，降低23.15%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退休3人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0.20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0.20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0.20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0.20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2023年度预算项目支出全面开展绩效自评，共涉及预算支出项目7个，涉及资金44.27万元，自评覆盖率（开展绩效自评的项目数/年初批复绩效目标的项目数）达到100%，自评平均分（开展绩效自评的项目分数总和/开展绩效自评的项目数）100分。</w:t>
        <w:br/>
        <w:t xml:space="preserve">    （2）部门评价情况。我部门组织对“平安创建、扫黑除恶、反邪教涉疆、严重精神障碍患者看护补助、政法干警培训、网络专线”7个项目开展了部门评价，涉及资金44.27万元。</w:t>
        <w:br/>
        <w:t xml:space="preserve">    2.部门决算中项目绩效自评结果。</w:t>
        <w:br/>
        <w:t xml:space="preserve">    （1）“平安创建、扫黑除恶、反邪教涉疆、严重精神障碍患者看护补助、政法干警培训、网络专线”项目自评综述：根据年初设定的绩效目标，项目自评得分100分。项目年初预算数为103.84万元，执行数为44.27万元，完成预算的42.63%。项目绩效目标完成情况：一是提高财务系统的日常应用稳定性;二是确保各预算单位日常进行财务运作;三是确保各预算单位进行预决算分析与运行。</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16.一般公共服务支出（类）党委办公厅（室）行政运行（项）：反映行政单位（包括实行公务员管理的事业单位）的基本支出。</w:t>
        <w:br/>
        <w:t xml:space="preserve">    17.一般公共服务支出（类）党委办公厅（室）一般行政管理事务（项）：反映行政单位（包括实行公务员管理的事业单位）未单独设置项级科目的其他项目支出。</w:t>
        <w:br/>
        <w:t xml:space="preserve">    18.社会保障和就业支出（类）行政事业单位离退休（款）行政单位离退休（项）：反映实行归口管理的行政单位开支的离退休经费。</w:t>
        <w:br/>
        <w:t xml:space="preserve">    19.社会保障和就业支出（类）行政事业单位养老支出（款）机关事业单位基本养老保险缴费支出（项）：反映机关事业单位实施养老保险制度由于单位缴纳的基本养老保险费用的支出</w:t>
        <w:br/>
        <w:t xml:space="preserve">    20.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21.卫生健康支出（类）行政事业单位医疗（款）其他行政事业单位医疗支出（项）：反映除上述项目以外的其他用于行政事业单位医疗方面的支出。</w:t>
        <w:br/>
        <w:t xml:space="preserve">    22.住房保障支出（类）住房改革支出（款）住房公积金（项）：反映行政事业单位按人力资源和社会保障部、财政部规定的基本工资和津贴补贴以及规定比例为职工缴纳的住房公积金。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261.49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183.43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55.86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14.96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261.50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261.50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6.47</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6.48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267.98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267.98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261.50</w:t>
            </w:r>
          </w:p>
        </w:tc>
        <w:tc>
          <w:tcPr>
            <w:tcW w:w="1160" w:type="dxa"/>
            <w:tcBorders/>
            <w:vAlign w:val="center"/>
          </w:tcPr>
          <w:p>
            <w:pPr>
              <w:jc w:val="right"/>
            </w:pPr>
            <w:r>
              <w:rPr>
                <w:rFonts w:ascii="宋体" w:eastAsia="宋体" w:hAnsi="宋体" w:cs="宋体"/>
                <w:b/>
                <w:i w:val="0"/>
                <w:color w:val="000000"/>
                <w:sz w:val="14"/>
              </w:rPr>
              <w:t xml:space="preserve">261.49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183.44</w:t>
            </w:r>
          </w:p>
        </w:tc>
        <w:tc>
          <w:tcPr>
            <w:tcW w:w="1160" w:type="dxa"/>
            <w:tcBorders/>
            <w:vAlign w:val="center"/>
          </w:tcPr>
          <w:p>
            <w:pPr>
              <w:jc w:val="right"/>
            </w:pPr>
            <w:r>
              <w:rPr>
                <w:rFonts w:ascii="宋体" w:eastAsia="宋体" w:hAnsi="宋体" w:cs="宋体"/>
                <w:b w:val="0"/>
                <w:i w:val="0"/>
                <w:color w:val="000000"/>
                <w:sz w:val="14"/>
              </w:rPr>
              <w:t xml:space="preserve">183.43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183.44</w:t>
            </w:r>
          </w:p>
        </w:tc>
        <w:tc>
          <w:tcPr>
            <w:tcW w:w="1160" w:type="dxa"/>
            <w:tcBorders/>
            <w:vAlign w:val="center"/>
          </w:tcPr>
          <w:p>
            <w:pPr>
              <w:jc w:val="right"/>
            </w:pPr>
            <w:r>
              <w:rPr>
                <w:rFonts w:ascii="宋体" w:eastAsia="宋体" w:hAnsi="宋体" w:cs="宋体"/>
                <w:b w:val="0"/>
                <w:i w:val="0"/>
                <w:color w:val="000000"/>
                <w:sz w:val="14"/>
              </w:rPr>
              <w:t xml:space="preserve">183.43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139.16</w:t>
            </w:r>
          </w:p>
        </w:tc>
        <w:tc>
          <w:tcPr>
            <w:tcW w:w="1160" w:type="dxa"/>
            <w:tcBorders/>
            <w:vAlign w:val="center"/>
          </w:tcPr>
          <w:p>
            <w:pPr>
              <w:jc w:val="right"/>
            </w:pPr>
            <w:r>
              <w:rPr>
                <w:rFonts w:ascii="宋体" w:eastAsia="宋体" w:hAnsi="宋体" w:cs="宋体"/>
                <w:b w:val="0"/>
                <w:i w:val="0"/>
                <w:color w:val="000000"/>
                <w:sz w:val="14"/>
              </w:rPr>
              <w:t xml:space="preserve">139.15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44.28</w:t>
            </w:r>
          </w:p>
        </w:tc>
        <w:tc>
          <w:tcPr>
            <w:tcW w:w="1160" w:type="dxa"/>
            <w:tcBorders/>
            <w:vAlign w:val="center"/>
          </w:tcPr>
          <w:p>
            <w:pPr>
              <w:jc w:val="right"/>
            </w:pPr>
            <w:r>
              <w:rPr>
                <w:rFonts w:ascii="宋体" w:eastAsia="宋体" w:hAnsi="宋体" w:cs="宋体"/>
                <w:b w:val="0"/>
                <w:i w:val="0"/>
                <w:color w:val="000000"/>
                <w:sz w:val="14"/>
              </w:rPr>
              <w:t xml:space="preserve">44.28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55.85</w:t>
            </w:r>
          </w:p>
        </w:tc>
        <w:tc>
          <w:tcPr>
            <w:tcW w:w="1160" w:type="dxa"/>
            <w:tcBorders/>
            <w:vAlign w:val="center"/>
          </w:tcPr>
          <w:p>
            <w:pPr>
              <w:jc w:val="right"/>
            </w:pPr>
            <w:r>
              <w:rPr>
                <w:rFonts w:ascii="宋体" w:eastAsia="宋体" w:hAnsi="宋体" w:cs="宋体"/>
                <w:b w:val="0"/>
                <w:i w:val="0"/>
                <w:color w:val="000000"/>
                <w:sz w:val="14"/>
              </w:rPr>
              <w:t xml:space="preserve">55.85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30.01</w:t>
            </w:r>
          </w:p>
        </w:tc>
        <w:tc>
          <w:tcPr>
            <w:tcW w:w="1160" w:type="dxa"/>
            <w:tcBorders/>
            <w:vAlign w:val="center"/>
          </w:tcPr>
          <w:p>
            <w:pPr>
              <w:jc w:val="right"/>
            </w:pPr>
            <w:r>
              <w:rPr>
                <w:rFonts w:ascii="宋体" w:eastAsia="宋体" w:hAnsi="宋体" w:cs="宋体"/>
                <w:b w:val="0"/>
                <w:i w:val="0"/>
                <w:color w:val="000000"/>
                <w:sz w:val="14"/>
              </w:rPr>
              <w:t xml:space="preserve">30.01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4.66</w:t>
            </w:r>
          </w:p>
        </w:tc>
        <w:tc>
          <w:tcPr>
            <w:tcW w:w="1160" w:type="dxa"/>
            <w:tcBorders/>
            <w:vAlign w:val="center"/>
          </w:tcPr>
          <w:p>
            <w:pPr>
              <w:jc w:val="right"/>
            </w:pPr>
            <w:r>
              <w:rPr>
                <w:rFonts w:ascii="宋体" w:eastAsia="宋体" w:hAnsi="宋体" w:cs="宋体"/>
                <w:b w:val="0"/>
                <w:i w:val="0"/>
                <w:color w:val="000000"/>
                <w:sz w:val="14"/>
              </w:rPr>
              <w:t xml:space="preserve">4.66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18.47</w:t>
            </w:r>
          </w:p>
        </w:tc>
        <w:tc>
          <w:tcPr>
            <w:tcW w:w="1160" w:type="dxa"/>
            <w:tcBorders/>
            <w:vAlign w:val="center"/>
          </w:tcPr>
          <w:p>
            <w:pPr>
              <w:jc w:val="right"/>
            </w:pPr>
            <w:r>
              <w:rPr>
                <w:rFonts w:ascii="宋体" w:eastAsia="宋体" w:hAnsi="宋体" w:cs="宋体"/>
                <w:b w:val="0"/>
                <w:i w:val="0"/>
                <w:color w:val="000000"/>
                <w:sz w:val="14"/>
              </w:rPr>
              <w:t xml:space="preserve">18.47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6.88</w:t>
            </w:r>
          </w:p>
        </w:tc>
        <w:tc>
          <w:tcPr>
            <w:tcW w:w="1160" w:type="dxa"/>
            <w:tcBorders/>
            <w:vAlign w:val="center"/>
          </w:tcPr>
          <w:p>
            <w:pPr>
              <w:jc w:val="right"/>
            </w:pPr>
            <w:r>
              <w:rPr>
                <w:rFonts w:ascii="宋体" w:eastAsia="宋体" w:hAnsi="宋体" w:cs="宋体"/>
                <w:b w:val="0"/>
                <w:i w:val="0"/>
                <w:color w:val="000000"/>
                <w:sz w:val="14"/>
              </w:rPr>
              <w:t xml:space="preserve">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7.11</w:t>
            </w:r>
          </w:p>
        </w:tc>
        <w:tc>
          <w:tcPr>
            <w:tcW w:w="1160" w:type="dxa"/>
            <w:tcBorders/>
            <w:vAlign w:val="center"/>
          </w:tcPr>
          <w:p>
            <w:pPr>
              <w:jc w:val="right"/>
            </w:pPr>
            <w:r>
              <w:rPr>
                <w:rFonts w:ascii="宋体" w:eastAsia="宋体" w:hAnsi="宋体" w:cs="宋体"/>
                <w:b w:val="0"/>
                <w:i w:val="0"/>
                <w:color w:val="000000"/>
                <w:sz w:val="14"/>
              </w:rPr>
              <w:t xml:space="preserve">7.11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14.96</w:t>
            </w:r>
          </w:p>
        </w:tc>
        <w:tc>
          <w:tcPr>
            <w:tcW w:w="1160" w:type="dxa"/>
            <w:tcBorders/>
            <w:vAlign w:val="center"/>
          </w:tcPr>
          <w:p>
            <w:pPr>
              <w:jc w:val="right"/>
            </w:pPr>
            <w:r>
              <w:rPr>
                <w:rFonts w:ascii="宋体" w:eastAsia="宋体" w:hAnsi="宋体" w:cs="宋体"/>
                <w:b w:val="0"/>
                <w:i w:val="0"/>
                <w:color w:val="000000"/>
                <w:sz w:val="14"/>
              </w:rPr>
              <w:t xml:space="preserve">14.96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14.96</w:t>
            </w:r>
          </w:p>
        </w:tc>
        <w:tc>
          <w:tcPr>
            <w:tcW w:w="1160" w:type="dxa"/>
            <w:tcBorders/>
            <w:vAlign w:val="center"/>
          </w:tcPr>
          <w:p>
            <w:pPr>
              <w:jc w:val="right"/>
            </w:pPr>
            <w:r>
              <w:rPr>
                <w:rFonts w:ascii="宋体" w:eastAsia="宋体" w:hAnsi="宋体" w:cs="宋体"/>
                <w:b w:val="0"/>
                <w:i w:val="0"/>
                <w:color w:val="000000"/>
                <w:sz w:val="14"/>
              </w:rPr>
              <w:t xml:space="preserve">14.96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14.96</w:t>
            </w:r>
          </w:p>
        </w:tc>
        <w:tc>
          <w:tcPr>
            <w:tcW w:w="1160" w:type="dxa"/>
            <w:tcBorders/>
            <w:vAlign w:val="center"/>
          </w:tcPr>
          <w:p>
            <w:pPr>
              <w:jc w:val="right"/>
            </w:pPr>
            <w:r>
              <w:rPr>
                <w:rFonts w:ascii="宋体" w:eastAsia="宋体" w:hAnsi="宋体" w:cs="宋体"/>
                <w:b w:val="0"/>
                <w:i w:val="0"/>
                <w:color w:val="000000"/>
                <w:sz w:val="14"/>
              </w:rPr>
              <w:t xml:space="preserve">14.96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261.50</w:t>
            </w:r>
          </w:p>
        </w:tc>
        <w:tc>
          <w:tcPr>
            <w:tcW w:w="1120" w:type="dxa"/>
            <w:tcBorders/>
            <w:vAlign w:val="center"/>
          </w:tcPr>
          <w:p>
            <w:pPr>
              <w:jc w:val="right"/>
            </w:pPr>
            <w:r>
              <w:rPr>
                <w:rFonts w:ascii="宋体" w:eastAsia="宋体" w:hAnsi="宋体" w:cs="宋体"/>
                <w:b/>
                <w:i w:val="0"/>
                <w:color w:val="000000"/>
                <w:sz w:val="16"/>
              </w:rPr>
              <w:t xml:space="preserve">217.22</w:t>
            </w:r>
          </w:p>
        </w:tc>
        <w:tc>
          <w:tcPr>
            <w:tcW w:w="1120" w:type="dxa"/>
            <w:tcBorders/>
            <w:vAlign w:val="center"/>
          </w:tcPr>
          <w:p>
            <w:pPr>
              <w:jc w:val="right"/>
            </w:pPr>
            <w:r>
              <w:rPr>
                <w:rFonts w:ascii="宋体" w:eastAsia="宋体" w:hAnsi="宋体" w:cs="宋体"/>
                <w:b/>
                <w:i w:val="0"/>
                <w:color w:val="000000"/>
                <w:sz w:val="16"/>
              </w:rPr>
              <w:t xml:space="preserve">44.28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183.44</w:t>
            </w:r>
          </w:p>
        </w:tc>
        <w:tc>
          <w:tcPr>
            <w:tcW w:w="1120" w:type="dxa"/>
            <w:tcBorders/>
            <w:vAlign w:val="center"/>
          </w:tcPr>
          <w:p>
            <w:pPr>
              <w:jc w:val="right"/>
            </w:pPr>
            <w:r>
              <w:rPr>
                <w:rFonts w:ascii="宋体" w:eastAsia="宋体" w:hAnsi="宋体" w:cs="宋体"/>
                <w:b w:val="0"/>
                <w:i w:val="0"/>
                <w:color w:val="000000"/>
                <w:sz w:val="16"/>
              </w:rPr>
              <w:t xml:space="preserve">139.16</w:t>
            </w:r>
          </w:p>
        </w:tc>
        <w:tc>
          <w:tcPr>
            <w:tcW w:w="1120" w:type="dxa"/>
            <w:tcBorders/>
            <w:vAlign w:val="center"/>
          </w:tcPr>
          <w:p>
            <w:pPr>
              <w:jc w:val="right"/>
            </w:pPr>
            <w:r>
              <w:rPr>
                <w:rFonts w:ascii="宋体" w:eastAsia="宋体" w:hAnsi="宋体" w:cs="宋体"/>
                <w:b w:val="0"/>
                <w:i w:val="0"/>
                <w:color w:val="000000"/>
                <w:sz w:val="16"/>
              </w:rPr>
              <w:t xml:space="preserve">44.28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183.44</w:t>
            </w:r>
          </w:p>
        </w:tc>
        <w:tc>
          <w:tcPr>
            <w:tcW w:w="1120" w:type="dxa"/>
            <w:tcBorders/>
            <w:vAlign w:val="center"/>
          </w:tcPr>
          <w:p>
            <w:pPr>
              <w:jc w:val="right"/>
            </w:pPr>
            <w:r>
              <w:rPr>
                <w:rFonts w:ascii="宋体" w:eastAsia="宋体" w:hAnsi="宋体" w:cs="宋体"/>
                <w:b w:val="0"/>
                <w:i w:val="0"/>
                <w:color w:val="000000"/>
                <w:sz w:val="16"/>
              </w:rPr>
              <w:t xml:space="preserve">139.16</w:t>
            </w:r>
          </w:p>
        </w:tc>
        <w:tc>
          <w:tcPr>
            <w:tcW w:w="1120" w:type="dxa"/>
            <w:tcBorders/>
            <w:vAlign w:val="center"/>
          </w:tcPr>
          <w:p>
            <w:pPr>
              <w:jc w:val="right"/>
            </w:pPr>
            <w:r>
              <w:rPr>
                <w:rFonts w:ascii="宋体" w:eastAsia="宋体" w:hAnsi="宋体" w:cs="宋体"/>
                <w:b w:val="0"/>
                <w:i w:val="0"/>
                <w:color w:val="000000"/>
                <w:sz w:val="16"/>
              </w:rPr>
              <w:t xml:space="preserve">44.28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139.16</w:t>
            </w:r>
          </w:p>
        </w:tc>
        <w:tc>
          <w:tcPr>
            <w:tcW w:w="1120" w:type="dxa"/>
            <w:tcBorders/>
            <w:vAlign w:val="center"/>
          </w:tcPr>
          <w:p>
            <w:pPr>
              <w:jc w:val="right"/>
            </w:pPr>
            <w:r>
              <w:rPr>
                <w:rFonts w:ascii="宋体" w:eastAsia="宋体" w:hAnsi="宋体" w:cs="宋体"/>
                <w:b w:val="0"/>
                <w:i w:val="0"/>
                <w:color w:val="000000"/>
                <w:sz w:val="16"/>
              </w:rPr>
              <w:t xml:space="preserve">139.16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44.28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44.28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55.85</w:t>
            </w:r>
          </w:p>
        </w:tc>
        <w:tc>
          <w:tcPr>
            <w:tcW w:w="1120" w:type="dxa"/>
            <w:tcBorders/>
            <w:vAlign w:val="center"/>
          </w:tcPr>
          <w:p>
            <w:pPr>
              <w:jc w:val="right"/>
            </w:pPr>
            <w:r>
              <w:rPr>
                <w:rFonts w:ascii="宋体" w:eastAsia="宋体" w:hAnsi="宋体" w:cs="宋体"/>
                <w:b w:val="0"/>
                <w:i w:val="0"/>
                <w:color w:val="000000"/>
                <w:sz w:val="16"/>
              </w:rPr>
              <w:t xml:space="preserve">55.85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30.01</w:t>
            </w:r>
          </w:p>
        </w:tc>
        <w:tc>
          <w:tcPr>
            <w:tcW w:w="1120" w:type="dxa"/>
            <w:tcBorders/>
            <w:vAlign w:val="center"/>
          </w:tcPr>
          <w:p>
            <w:pPr>
              <w:jc w:val="right"/>
            </w:pPr>
            <w:r>
              <w:rPr>
                <w:rFonts w:ascii="宋体" w:eastAsia="宋体" w:hAnsi="宋体" w:cs="宋体"/>
                <w:b w:val="0"/>
                <w:i w:val="0"/>
                <w:color w:val="000000"/>
                <w:sz w:val="16"/>
              </w:rPr>
              <w:t xml:space="preserve">30.01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4.66</w:t>
            </w:r>
          </w:p>
        </w:tc>
        <w:tc>
          <w:tcPr>
            <w:tcW w:w="1120" w:type="dxa"/>
            <w:tcBorders/>
            <w:vAlign w:val="center"/>
          </w:tcPr>
          <w:p>
            <w:pPr>
              <w:jc w:val="right"/>
            </w:pPr>
            <w:r>
              <w:rPr>
                <w:rFonts w:ascii="宋体" w:eastAsia="宋体" w:hAnsi="宋体" w:cs="宋体"/>
                <w:b w:val="0"/>
                <w:i w:val="0"/>
                <w:color w:val="000000"/>
                <w:sz w:val="16"/>
              </w:rPr>
              <w:t xml:space="preserve">4.66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18.47</w:t>
            </w:r>
          </w:p>
        </w:tc>
        <w:tc>
          <w:tcPr>
            <w:tcW w:w="1120" w:type="dxa"/>
            <w:tcBorders/>
            <w:vAlign w:val="center"/>
          </w:tcPr>
          <w:p>
            <w:pPr>
              <w:jc w:val="right"/>
            </w:pPr>
            <w:r>
              <w:rPr>
                <w:rFonts w:ascii="宋体" w:eastAsia="宋体" w:hAnsi="宋体" w:cs="宋体"/>
                <w:b w:val="0"/>
                <w:i w:val="0"/>
                <w:color w:val="000000"/>
                <w:sz w:val="16"/>
              </w:rPr>
              <w:t xml:space="preserve">18.47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6.88</w:t>
            </w:r>
          </w:p>
        </w:tc>
        <w:tc>
          <w:tcPr>
            <w:tcW w:w="1120" w:type="dxa"/>
            <w:tcBorders/>
            <w:vAlign w:val="center"/>
          </w:tcPr>
          <w:p>
            <w:pPr>
              <w:jc w:val="right"/>
            </w:pPr>
            <w:r>
              <w:rPr>
                <w:rFonts w:ascii="宋体" w:eastAsia="宋体" w:hAnsi="宋体" w:cs="宋体"/>
                <w:b w:val="0"/>
                <w:i w:val="0"/>
                <w:color w:val="000000"/>
                <w:sz w:val="16"/>
              </w:rPr>
              <w:t xml:space="preserve">6.88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7.11</w:t>
            </w:r>
          </w:p>
        </w:tc>
        <w:tc>
          <w:tcPr>
            <w:tcW w:w="1120" w:type="dxa"/>
            <w:tcBorders/>
            <w:vAlign w:val="center"/>
          </w:tcPr>
          <w:p>
            <w:pPr>
              <w:jc w:val="right"/>
            </w:pPr>
            <w:r>
              <w:rPr>
                <w:rFonts w:ascii="宋体" w:eastAsia="宋体" w:hAnsi="宋体" w:cs="宋体"/>
                <w:b w:val="0"/>
                <w:i w:val="0"/>
                <w:color w:val="000000"/>
                <w:sz w:val="16"/>
              </w:rPr>
              <w:t xml:space="preserve">7.11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14.96</w:t>
            </w:r>
          </w:p>
        </w:tc>
        <w:tc>
          <w:tcPr>
            <w:tcW w:w="1120" w:type="dxa"/>
            <w:tcBorders/>
            <w:vAlign w:val="center"/>
          </w:tcPr>
          <w:p>
            <w:pPr>
              <w:jc w:val="right"/>
            </w:pPr>
            <w:r>
              <w:rPr>
                <w:rFonts w:ascii="宋体" w:eastAsia="宋体" w:hAnsi="宋体" w:cs="宋体"/>
                <w:b w:val="0"/>
                <w:i w:val="0"/>
                <w:color w:val="000000"/>
                <w:sz w:val="16"/>
              </w:rPr>
              <w:t xml:space="preserve">14.96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14.96</w:t>
            </w:r>
          </w:p>
        </w:tc>
        <w:tc>
          <w:tcPr>
            <w:tcW w:w="1120" w:type="dxa"/>
            <w:tcBorders/>
            <w:vAlign w:val="center"/>
          </w:tcPr>
          <w:p>
            <w:pPr>
              <w:jc w:val="right"/>
            </w:pPr>
            <w:r>
              <w:rPr>
                <w:rFonts w:ascii="宋体" w:eastAsia="宋体" w:hAnsi="宋体" w:cs="宋体"/>
                <w:b w:val="0"/>
                <w:i w:val="0"/>
                <w:color w:val="000000"/>
                <w:sz w:val="16"/>
              </w:rPr>
              <w:t xml:space="preserve">14.96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14.96</w:t>
            </w:r>
          </w:p>
        </w:tc>
        <w:tc>
          <w:tcPr>
            <w:tcW w:w="1120" w:type="dxa"/>
            <w:tcBorders/>
            <w:vAlign w:val="center"/>
          </w:tcPr>
          <w:p>
            <w:pPr>
              <w:jc w:val="right"/>
            </w:pPr>
            <w:r>
              <w:rPr>
                <w:rFonts w:ascii="宋体" w:eastAsia="宋体" w:hAnsi="宋体" w:cs="宋体"/>
                <w:b w:val="0"/>
                <w:i w:val="0"/>
                <w:color w:val="000000"/>
                <w:sz w:val="16"/>
              </w:rPr>
              <w:t xml:space="preserve">14.96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261.49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183.42</w:t>
            </w:r>
          </w:p>
        </w:tc>
        <w:tc>
          <w:tcPr>
            <w:tcW w:w="1100" w:type="dxa"/>
            <w:tcBorders/>
            <w:vAlign w:val="center"/>
          </w:tcPr>
          <w:p>
            <w:pPr>
              <w:jc w:val="right"/>
            </w:pPr>
            <w:r>
              <w:rPr>
                <w:rFonts w:ascii="宋体" w:eastAsia="宋体" w:hAnsi="宋体" w:cs="宋体"/>
                <w:b w:val="0"/>
                <w:i w:val="0"/>
                <w:color w:val="000000"/>
                <w:sz w:val="14"/>
              </w:rPr>
              <w:t xml:space="preserve">183.42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55.86</w:t>
            </w:r>
          </w:p>
        </w:tc>
        <w:tc>
          <w:tcPr>
            <w:tcW w:w="1100" w:type="dxa"/>
            <w:tcBorders/>
            <w:vAlign w:val="center"/>
          </w:tcPr>
          <w:p>
            <w:pPr>
              <w:jc w:val="right"/>
            </w:pPr>
            <w:r>
              <w:rPr>
                <w:rFonts w:ascii="宋体" w:eastAsia="宋体" w:hAnsi="宋体" w:cs="宋体"/>
                <w:b w:val="0"/>
                <w:i w:val="0"/>
                <w:color w:val="000000"/>
                <w:sz w:val="14"/>
              </w:rPr>
              <w:t xml:space="preserve">55.86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7.25</w:t>
            </w:r>
          </w:p>
        </w:tc>
        <w:tc>
          <w:tcPr>
            <w:tcW w:w="1100" w:type="dxa"/>
            <w:tcBorders/>
            <w:vAlign w:val="center"/>
          </w:tcPr>
          <w:p>
            <w:pPr>
              <w:jc w:val="right"/>
            </w:pPr>
            <w:r>
              <w:rPr>
                <w:rFonts w:ascii="宋体" w:eastAsia="宋体" w:hAnsi="宋体" w:cs="宋体"/>
                <w:b w:val="0"/>
                <w:i w:val="0"/>
                <w:color w:val="000000"/>
                <w:sz w:val="14"/>
              </w:rPr>
              <w:t xml:space="preserve">7.25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14.96</w:t>
            </w:r>
          </w:p>
        </w:tc>
        <w:tc>
          <w:tcPr>
            <w:tcW w:w="1100" w:type="dxa"/>
            <w:tcBorders/>
            <w:vAlign w:val="center"/>
          </w:tcPr>
          <w:p>
            <w:pPr>
              <w:jc w:val="right"/>
            </w:pPr>
            <w:r>
              <w:rPr>
                <w:rFonts w:ascii="宋体" w:eastAsia="宋体" w:hAnsi="宋体" w:cs="宋体"/>
                <w:b w:val="0"/>
                <w:i w:val="0"/>
                <w:color w:val="000000"/>
                <w:sz w:val="14"/>
              </w:rPr>
              <w:t xml:space="preserve">14.96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261.49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261.49</w:t>
            </w:r>
          </w:p>
        </w:tc>
        <w:tc>
          <w:tcPr>
            <w:tcW w:w="1100" w:type="dxa"/>
            <w:tcBorders/>
            <w:vAlign w:val="center"/>
          </w:tcPr>
          <w:p>
            <w:pPr>
              <w:jc w:val="right"/>
            </w:pPr>
            <w:r>
              <w:rPr>
                <w:rFonts w:ascii="宋体" w:eastAsia="宋体" w:hAnsi="宋体" w:cs="宋体"/>
                <w:b w:val="0"/>
                <w:i w:val="0"/>
                <w:color w:val="000000"/>
                <w:sz w:val="14"/>
              </w:rPr>
              <w:t xml:space="preserve">261.49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261.49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261.49</w:t>
            </w:r>
          </w:p>
        </w:tc>
        <w:tc>
          <w:tcPr>
            <w:tcW w:w="1100" w:type="dxa"/>
            <w:tcBorders/>
            <w:vAlign w:val="center"/>
          </w:tcPr>
          <w:p>
            <w:pPr>
              <w:jc w:val="right"/>
            </w:pPr>
            <w:r>
              <w:rPr>
                <w:rFonts w:ascii="宋体" w:eastAsia="宋体" w:hAnsi="宋体" w:cs="宋体"/>
                <w:b w:val="0"/>
                <w:i w:val="0"/>
                <w:color w:val="000000"/>
                <w:sz w:val="14"/>
              </w:rPr>
              <w:t xml:space="preserve">261.49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261.49</w:t>
            </w:r>
          </w:p>
        </w:tc>
        <w:tc>
          <w:tcPr>
            <w:tcW w:w="1980" w:type="dxa"/>
            <w:tcBorders/>
            <w:vAlign w:val="center"/>
          </w:tcPr>
          <w:p>
            <w:pPr>
              <w:jc w:val="right"/>
            </w:pPr>
            <w:r>
              <w:rPr>
                <w:rFonts w:ascii="宋体" w:eastAsia="宋体" w:hAnsi="宋体" w:cs="宋体"/>
                <w:b/>
                <w:i w:val="0"/>
                <w:color w:val="000000"/>
                <w:sz w:val="20"/>
              </w:rPr>
              <w:t xml:space="preserve">217.21</w:t>
            </w:r>
          </w:p>
        </w:tc>
        <w:tc>
          <w:tcPr>
            <w:tcW w:w="1952" w:type="dxa"/>
            <w:tcBorders/>
            <w:vAlign w:val="center"/>
          </w:tcPr>
          <w:p>
            <w:pPr>
              <w:jc w:val="right"/>
            </w:pPr>
            <w:r>
              <w:rPr>
                <w:rFonts w:ascii="宋体" w:eastAsia="宋体" w:hAnsi="宋体" w:cs="宋体"/>
                <w:b/>
                <w:i w:val="0"/>
                <w:color w:val="000000"/>
                <w:sz w:val="20"/>
              </w:rPr>
              <w:t xml:space="preserve">44.28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183.43</w:t>
            </w:r>
          </w:p>
        </w:tc>
        <w:tc>
          <w:tcPr>
            <w:tcW w:w="1980" w:type="dxa"/>
            <w:tcBorders/>
            <w:vAlign w:val="center"/>
          </w:tcPr>
          <w:p>
            <w:pPr>
              <w:jc w:val="right"/>
            </w:pPr>
            <w:r>
              <w:rPr>
                <w:rFonts w:ascii="宋体" w:eastAsia="宋体" w:hAnsi="宋体" w:cs="宋体"/>
                <w:b w:val="0"/>
                <w:i w:val="0"/>
                <w:color w:val="000000"/>
                <w:sz w:val="20"/>
              </w:rPr>
              <w:t xml:space="preserve">139.15</w:t>
            </w:r>
          </w:p>
        </w:tc>
        <w:tc>
          <w:tcPr>
            <w:tcW w:w="1952" w:type="dxa"/>
            <w:tcBorders/>
            <w:vAlign w:val="center"/>
          </w:tcPr>
          <w:p>
            <w:pPr>
              <w:jc w:val="right"/>
            </w:pPr>
            <w:r>
              <w:rPr>
                <w:rFonts w:ascii="宋体" w:eastAsia="宋体" w:hAnsi="宋体" w:cs="宋体"/>
                <w:b w:val="0"/>
                <w:i w:val="0"/>
                <w:color w:val="000000"/>
                <w:sz w:val="20"/>
              </w:rPr>
              <w:t xml:space="preserve">44.28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183.43</w:t>
            </w:r>
          </w:p>
        </w:tc>
        <w:tc>
          <w:tcPr>
            <w:tcW w:w="1980" w:type="dxa"/>
            <w:tcBorders/>
            <w:vAlign w:val="center"/>
          </w:tcPr>
          <w:p>
            <w:pPr>
              <w:jc w:val="right"/>
            </w:pPr>
            <w:r>
              <w:rPr>
                <w:rFonts w:ascii="宋体" w:eastAsia="宋体" w:hAnsi="宋体" w:cs="宋体"/>
                <w:b w:val="0"/>
                <w:i w:val="0"/>
                <w:color w:val="000000"/>
                <w:sz w:val="20"/>
              </w:rPr>
              <w:t xml:space="preserve">139.15</w:t>
            </w:r>
          </w:p>
        </w:tc>
        <w:tc>
          <w:tcPr>
            <w:tcW w:w="1952" w:type="dxa"/>
            <w:tcBorders/>
            <w:vAlign w:val="center"/>
          </w:tcPr>
          <w:p>
            <w:pPr>
              <w:jc w:val="right"/>
            </w:pPr>
            <w:r>
              <w:rPr>
                <w:rFonts w:ascii="宋体" w:eastAsia="宋体" w:hAnsi="宋体" w:cs="宋体"/>
                <w:b w:val="0"/>
                <w:i w:val="0"/>
                <w:color w:val="000000"/>
                <w:sz w:val="20"/>
              </w:rPr>
              <w:t xml:space="preserve">44.28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139.15</w:t>
            </w:r>
          </w:p>
        </w:tc>
        <w:tc>
          <w:tcPr>
            <w:tcW w:w="1980" w:type="dxa"/>
            <w:tcBorders/>
            <w:vAlign w:val="center"/>
          </w:tcPr>
          <w:p>
            <w:pPr>
              <w:jc w:val="right"/>
            </w:pPr>
            <w:r>
              <w:rPr>
                <w:rFonts w:ascii="宋体" w:eastAsia="宋体" w:hAnsi="宋体" w:cs="宋体"/>
                <w:b w:val="0"/>
                <w:i w:val="0"/>
                <w:color w:val="000000"/>
                <w:sz w:val="20"/>
              </w:rPr>
              <w:t xml:space="preserve">139.15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44.28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44.28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55.85</w:t>
            </w:r>
          </w:p>
        </w:tc>
        <w:tc>
          <w:tcPr>
            <w:tcW w:w="1980" w:type="dxa"/>
            <w:tcBorders/>
            <w:vAlign w:val="center"/>
          </w:tcPr>
          <w:p>
            <w:pPr>
              <w:jc w:val="right"/>
            </w:pPr>
            <w:r>
              <w:rPr>
                <w:rFonts w:ascii="宋体" w:eastAsia="宋体" w:hAnsi="宋体" w:cs="宋体"/>
                <w:b w:val="0"/>
                <w:i w:val="0"/>
                <w:color w:val="000000"/>
                <w:sz w:val="20"/>
              </w:rPr>
              <w:t xml:space="preserve">55.85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30.01</w:t>
            </w:r>
          </w:p>
        </w:tc>
        <w:tc>
          <w:tcPr>
            <w:tcW w:w="1980" w:type="dxa"/>
            <w:tcBorders/>
            <w:vAlign w:val="center"/>
          </w:tcPr>
          <w:p>
            <w:pPr>
              <w:jc w:val="right"/>
            </w:pPr>
            <w:r>
              <w:rPr>
                <w:rFonts w:ascii="宋体" w:eastAsia="宋体" w:hAnsi="宋体" w:cs="宋体"/>
                <w:b w:val="0"/>
                <w:i w:val="0"/>
                <w:color w:val="000000"/>
                <w:sz w:val="20"/>
              </w:rPr>
              <w:t xml:space="preserve">30.01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4.66</w:t>
            </w:r>
          </w:p>
        </w:tc>
        <w:tc>
          <w:tcPr>
            <w:tcW w:w="1980" w:type="dxa"/>
            <w:tcBorders/>
            <w:vAlign w:val="center"/>
          </w:tcPr>
          <w:p>
            <w:pPr>
              <w:jc w:val="right"/>
            </w:pPr>
            <w:r>
              <w:rPr>
                <w:rFonts w:ascii="宋体" w:eastAsia="宋体" w:hAnsi="宋体" w:cs="宋体"/>
                <w:b w:val="0"/>
                <w:i w:val="0"/>
                <w:color w:val="000000"/>
                <w:sz w:val="20"/>
              </w:rPr>
              <w:t xml:space="preserve">4.66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18.47</w:t>
            </w:r>
          </w:p>
        </w:tc>
        <w:tc>
          <w:tcPr>
            <w:tcW w:w="1980" w:type="dxa"/>
            <w:tcBorders/>
            <w:vAlign w:val="center"/>
          </w:tcPr>
          <w:p>
            <w:pPr>
              <w:jc w:val="right"/>
            </w:pPr>
            <w:r>
              <w:rPr>
                <w:rFonts w:ascii="宋体" w:eastAsia="宋体" w:hAnsi="宋体" w:cs="宋体"/>
                <w:b w:val="0"/>
                <w:i w:val="0"/>
                <w:color w:val="000000"/>
                <w:sz w:val="20"/>
              </w:rPr>
              <w:t xml:space="preserve">18.47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6.88</w:t>
            </w:r>
          </w:p>
        </w:tc>
        <w:tc>
          <w:tcPr>
            <w:tcW w:w="1980" w:type="dxa"/>
            <w:tcBorders/>
            <w:vAlign w:val="center"/>
          </w:tcPr>
          <w:p>
            <w:pPr>
              <w:jc w:val="right"/>
            </w:pPr>
            <w:r>
              <w:rPr>
                <w:rFonts w:ascii="宋体" w:eastAsia="宋体" w:hAnsi="宋体" w:cs="宋体"/>
                <w:b w:val="0"/>
                <w:i w:val="0"/>
                <w:color w:val="000000"/>
                <w:sz w:val="20"/>
              </w:rPr>
              <w:t xml:space="preserve">6.88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7.11</w:t>
            </w:r>
          </w:p>
        </w:tc>
        <w:tc>
          <w:tcPr>
            <w:tcW w:w="1980" w:type="dxa"/>
            <w:tcBorders/>
            <w:vAlign w:val="center"/>
          </w:tcPr>
          <w:p>
            <w:pPr>
              <w:jc w:val="right"/>
            </w:pPr>
            <w:r>
              <w:rPr>
                <w:rFonts w:ascii="宋体" w:eastAsia="宋体" w:hAnsi="宋体" w:cs="宋体"/>
                <w:b w:val="0"/>
                <w:i w:val="0"/>
                <w:color w:val="000000"/>
                <w:sz w:val="20"/>
              </w:rPr>
              <w:t xml:space="preserve">7.11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14.96</w:t>
            </w:r>
          </w:p>
        </w:tc>
        <w:tc>
          <w:tcPr>
            <w:tcW w:w="1980" w:type="dxa"/>
            <w:tcBorders/>
            <w:vAlign w:val="center"/>
          </w:tcPr>
          <w:p>
            <w:pPr>
              <w:jc w:val="right"/>
            </w:pPr>
            <w:r>
              <w:rPr>
                <w:rFonts w:ascii="宋体" w:eastAsia="宋体" w:hAnsi="宋体" w:cs="宋体"/>
                <w:b w:val="0"/>
                <w:i w:val="0"/>
                <w:color w:val="000000"/>
                <w:sz w:val="20"/>
              </w:rPr>
              <w:t xml:space="preserve">14.96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14.96</w:t>
            </w:r>
          </w:p>
        </w:tc>
        <w:tc>
          <w:tcPr>
            <w:tcW w:w="1980" w:type="dxa"/>
            <w:tcBorders/>
            <w:vAlign w:val="center"/>
          </w:tcPr>
          <w:p>
            <w:pPr>
              <w:jc w:val="right"/>
            </w:pPr>
            <w:r>
              <w:rPr>
                <w:rFonts w:ascii="宋体" w:eastAsia="宋体" w:hAnsi="宋体" w:cs="宋体"/>
                <w:b w:val="0"/>
                <w:i w:val="0"/>
                <w:color w:val="000000"/>
                <w:sz w:val="20"/>
              </w:rPr>
              <w:t xml:space="preserve">14.96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14.96</w:t>
            </w:r>
          </w:p>
        </w:tc>
        <w:tc>
          <w:tcPr>
            <w:tcW w:w="1980" w:type="dxa"/>
            <w:tcBorders/>
            <w:vAlign w:val="center"/>
          </w:tcPr>
          <w:p>
            <w:pPr>
              <w:jc w:val="right"/>
            </w:pPr>
            <w:r>
              <w:rPr>
                <w:rFonts w:ascii="宋体" w:eastAsia="宋体" w:hAnsi="宋体" w:cs="宋体"/>
                <w:b w:val="0"/>
                <w:i w:val="0"/>
                <w:color w:val="000000"/>
                <w:sz w:val="20"/>
              </w:rPr>
              <w:t xml:space="preserve">14.96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170.02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17.10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59.40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6.40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41.70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20.94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18.47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6.88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7.11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14.96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30.09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4.54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25.43</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0.92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9.36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200.11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17.10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0.92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0.92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0.92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013001盘锦市大洼区委政法委员会本级-211104000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11.9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21.99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169.26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完成全年各项工作任务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党的建设指标考核工作完成率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参训人员满意度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规范管理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013002盘锦市大洼区社会治理综合服务中心-211104000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0.04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45.42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4.43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保障单位全年正常运行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政府直属部门职工总体满意度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职工群众满意率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体制改革成效率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