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中共辽宁省盘锦市大洼区委统一战线工作部</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中共辽宁省盘锦市大洼区委统一战线工作部</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中共辽宁省盘锦市大洼区委统一战线工作部</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中共辽宁省盘锦市大洼区委统一战线工作部</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中共辽宁省盘锦市大洼区委统一战线工作部</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中共辽宁省盘锦市大洼区委统一战线工作部概况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中央、省、市和区委有关统战工作的方针、政策和工作部署；向区委反映统战政策的执行情况，提出开展统战工作的意见、建议和安排；研究拟定区统战工作的计划并组织实施；负责开展统战理论研究和统战方针政策的宣传、教育工作。 </w:t>
        <w:br/>
        <w:t xml:space="preserve">    （二）坚持落实共产党领导的多党合作和政治协商制度。发挥民主党派和无党派代表人士参政议政、民主监督作用；负责党外人事的政治安排；做好党外知识分子代表人物的培养工作；协同做好党外后备干部和新一代代表人物队伍的建设工作；协同做好民主党派、无党派代表人士、党外干部的培养、培训工作。 </w:t>
        <w:br/>
        <w:t xml:space="preserve">    （三）负责协调侨办、工商联、侨联等各部门涉及统战工作的方针政策和统战工作范围的重大活动；受区委委托领导区工商联党组，指导区工商联开展非公有制经济代表人士的各项工作。 </w:t>
        <w:br/>
        <w:t xml:space="preserve">    （四）负责开展以促进祖国统一为重点的海外统战工作。加强与港澳地区有关社团、代表人士和青年一代的联络交往；负责优秀海外联谊会，联系海外侨胞、归侨侨眷的代表人士及出国和归国留学人员的有关工作。 </w:t>
        <w:br/>
        <w:t xml:space="preserve">    （五）承办区委、区政府和上级有关部门授权和交办的其他事项。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中共辽宁省盘锦市大洼区委统一战线工作部</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中共辽宁省盘锦市大洼区委统一战线工作部本级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191.61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191.61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191.61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增加6.24万元，增长3.37%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191.61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171.45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89.48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工资福利支出149.47万元；商品和服务支出20.98万元；对个人和家庭的补助1.00万元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20.16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10.52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主要包括少数民族地区补贴及各民主党派活动等业务支出。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增加6.24万元，增长3.37%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人员增加及变动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实际支出到位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191.61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171.45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20.16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增加9.72万元，增长5.35%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补发相关项目经费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116.79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109.86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252.00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2023年度一般公共预算财政拨款支出191.61万元。按支出功能分类科目分，包括：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1.一般公共服务支出152.26万元，具体包括：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（1）一般公共服务支出（类）民族事务（款）民族工作专项（项）10.25万元,主要是少数民族地区补助等支出，完成年初预算的100%，决算数与年初预算数存在差异的主要原因是上级部门拨款。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（2）一般公共服务支出（类）民主党派及工商联事务（款）一般行政管理事务（项）3.00万元,主要是专项业务等支出，完成年初预算的100%，决算数与年初预算数存在差异的主要原因是无差异。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（3）一般公共服务支出（类）统战事务（款）行政运行（项）132.10万元,主要是人员工资保险及其他办公费用等支出，完成年初预算的103.38%，决算数与年初预算数存在差异的主要原因是人员变动及办公物品增加。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（4）一般公共服务支出（类）统战事务（款）一般行政管理事务（项）3.71万元,主要是统战事务办公等支出，完成年初预算的74.2%，决算数与年初预算数存在差异的主要原因是减少不必要支出。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（5）一般公共服务支出（类）统战事务（款）宗教事务（项）3.00万元,主要是相关设备等支出，完成年初预算的100%，决算数与年初预算数存在差异的主要原因是无差异。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（6）一般公共服务支出（类）统战事务（款）其他统战事务支出（项）0.20万元,主要是调研课题补助等支出，完成年初预算的100%，决算数与年初预算数存在差异的主要原因是实际支付。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2.社会保障和就业支出18.64万元，具体包括：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（1）社会保障和就业支出（类）行政事业单位养老支出（款）行政单位离退休（项）1.00万元,主要是退休人员取暖补助等支出，完成年初预算的96%，决算数与年初预算数存在差异的主要原因是实际支付。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17.27万元,主要是工作人员养老保险等支出，完成年初预算的111.42%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（3）社会保障和就业支出（类）其他社会保障和就业支出（款）其他社会保障和就业支出（项）0.37万元,主要是人员保险等支出，完成年初预算的185%，决算数与年初预算数存在差异的主要原因是人员增加等。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（1）卫生健康支出（类）行政事业单位医疗（款）行政单位医疗（项）6.53万元,主要是医疗保险费等支出，完成年初预算的96.59%，决算数与年初预算数存在差异的主要原因是按实际支付。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（2）卫生健康支出（类）行政事业单位医疗（款）其他行政事业单位医疗支出（项）0.08万元,主要是大额医疗保险等支出，完成年初预算的80%，决算数与年初预算数存在差异的主要原因是按实际人数支付。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4.住房保障支出14.10万元，具体包括：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（1）住房保障支出（类）住房改革支出（款）住房公积金（项）14.10万元,主要是工作人员公积金单位部分等支出，完成年初预算的110.94%，决算数与年初预算数存在差异的主要原因是人员增加及补缴22年差额。</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2.48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70.86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2.48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无相关业务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无相关业务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无相关业务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无相关业务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2.48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70.86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比上年增加1.77万元，增长249.30%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支付22年公务车运行费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2.48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主要用于日常使用等，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171.45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150.47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20.98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20.98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比上年增加8.14万元，增长63.40%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人员增加及付22年部分业务费用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2个（其中：一般公共预算项目2个，政府性基金预算项目0个，国有资本经营预算项目0个），涉及资金8万元（其中：一般公共预算资金8万元，政府性基金预算资金0万元，国有资本经营预算资金0万元），自评覆盖率（开展绩效自评的项目数/年初批复绩效目标的项目数*100%）达到100%，自评平均分（开展绩效自评的项目分数总和/开展绩效自评的项目数）90分。</w:t>
        <w:br/>
        <w:t xml:space="preserve">    组织对1个单位开展整体绩效自评，涉及资金8万元，自评平均分90分。《部门（单位）整体绩效自评表》见附件。</w:t>
        <w:br/>
        <w:t xml:space="preserve">    本部门组织对“组织是管理专项业务经费”等2个项目开展了部门评价，涉及资金8万元（其中：一般公共预算资金8万元，政府性基金预算资金0万元，国有资本经营预算资金0万元）。从评价情况来看，发现主要存在以下问题：一是细化预算编制工作做的不够;二是要压缩开支。下一步将采取以下措施加以改进：一是要严格按照预算编制的相关制度要求进行预算编制，全面编制预算项目，优先保障固定性的费用支出项目，进一步提高预算编制的科学性。二是加强财务管理、严格财务审批。在费用保障支付时，按照预算规定的费用项目和用途进行资金使用、审核、列报支付，财务核算杜绝超支现象的发生。</w:t>
        <w:br/>
        <w:t xml:space="preserve">    通过部门绩效评价发现主要存在以下问题：一是评价项目数量和资金数额占市级项目总量和支出比重还不高；</w:t>
        <w:br/>
        <w:t xml:space="preserve">    二是真正能体现项目效果的个性指标，由于设置难度较大，还不能满足目前工作开展需要。</w:t>
        <w:br/>
        <w:t xml:space="preserve">    三是人员缺乏系统的培训，预算绩效管理认识不到位、理解不充分，对预算绩效管理业务不了解、不熟悉，对工作重点把握不到位，由此造成绩效监控评价工作还未摆脱财务考评或竣工验收的影响。</w:t>
        <w:br/>
        <w:t xml:space="preserve">    《预算（项目）政策绩效自评表》见附件。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19.社会保障和就业（类）行政事业单位养老支出（款）机关事业单位基本养老保险缴费支出（项）：反映机关事业单位实施养老保险制度由单位缴纳的基本养老保险费支出。</w:t>
        <w:br/>
        <w:t xml:space="preserve">    20.社会保障和就业（类）行政事业单位养老支出（款）机关事业单位职业年金缴费支出（项）：反映机关事业单位实施养老保险制度由单位实际缴纳的职业年金支出。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191.61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152.26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18.65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191.61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191.61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191.61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191.61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191.61</w:t>
            </w:r>
          </w:p>
        </w:tc>
        <w:tc>
          <w:tcPr>
            <w:tcW w:w="1160" w:type="dxa"/>
            <w:tcBorders/>
            <w:vAlign w:val="center"/>
          </w:tcPr>
          <w:p>
            <w:pPr>
              <w:jc w:val="right"/>
            </w:pPr>
            <w:r>
              <w:rPr>
                <w:rFonts w:ascii="宋体" w:eastAsia="宋体" w:hAnsi="宋体" w:cs="宋体"/>
                <w:b/>
                <w:i w:val="0"/>
                <w:color w:val="000000"/>
                <w:sz w:val="14"/>
              </w:rPr>
              <w:t xml:space="preserve">191.61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152.26</w:t>
            </w:r>
          </w:p>
        </w:tc>
        <w:tc>
          <w:tcPr>
            <w:tcW w:w="1160" w:type="dxa"/>
            <w:tcBorders/>
            <w:vAlign w:val="center"/>
          </w:tcPr>
          <w:p>
            <w:pPr>
              <w:jc w:val="right"/>
            </w:pPr>
            <w:r>
              <w:rPr>
                <w:rFonts w:ascii="宋体" w:eastAsia="宋体" w:hAnsi="宋体" w:cs="宋体"/>
                <w:b w:val="0"/>
                <w:i w:val="0"/>
                <w:color w:val="000000"/>
                <w:sz w:val="14"/>
              </w:rPr>
              <w:t xml:space="preserve">152.26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民族事务</w:t>
            </w:r>
          </w:p>
        </w:tc>
        <w:tc>
          <w:tcPr>
            <w:tcW w:w="1160" w:type="dxa"/>
            <w:tcBorders/>
            <w:vAlign w:val="center"/>
          </w:tcPr>
          <w:p>
            <w:pPr>
              <w:jc w:val="right"/>
            </w:pPr>
            <w:r>
              <w:rPr>
                <w:rFonts w:ascii="宋体" w:eastAsia="宋体" w:hAnsi="宋体" w:cs="宋体"/>
                <w:b w:val="0"/>
                <w:i w:val="0"/>
                <w:color w:val="000000"/>
                <w:sz w:val="14"/>
              </w:rPr>
              <w:t xml:space="preserve">10.25</w:t>
            </w:r>
          </w:p>
        </w:tc>
        <w:tc>
          <w:tcPr>
            <w:tcW w:w="1160" w:type="dxa"/>
            <w:tcBorders/>
            <w:vAlign w:val="center"/>
          </w:tcPr>
          <w:p>
            <w:pPr>
              <w:jc w:val="right"/>
            </w:pPr>
            <w:r>
              <w:rPr>
                <w:rFonts w:ascii="宋体" w:eastAsia="宋体" w:hAnsi="宋体" w:cs="宋体"/>
                <w:b w:val="0"/>
                <w:i w:val="0"/>
                <w:color w:val="000000"/>
                <w:sz w:val="14"/>
              </w:rPr>
              <w:t xml:space="preserve">10.25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2012304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民族工作专项</w:t>
            </w:r>
          </w:p>
        </w:tc>
        <w:tc>
          <w:tcPr>
            <w:tcW w:w="1160" w:type="dxa"/>
            <w:tcBorders/>
            <w:vAlign w:val="center"/>
          </w:tcPr>
          <w:p>
            <w:pPr>
              <w:jc w:val="right"/>
            </w:pPr>
            <w:r>
              <w:rPr>
                <w:rFonts w:ascii="宋体" w:eastAsia="宋体" w:hAnsi="宋体" w:cs="宋体"/>
                <w:b w:val="0"/>
                <w:i w:val="0"/>
                <w:color w:val="000000"/>
                <w:sz w:val="14"/>
              </w:rPr>
              <w:t xml:space="preserve">10.25</w:t>
            </w:r>
          </w:p>
        </w:tc>
        <w:tc>
          <w:tcPr>
            <w:tcW w:w="1160" w:type="dxa"/>
            <w:tcBorders/>
            <w:vAlign w:val="center"/>
          </w:tcPr>
          <w:p>
            <w:pPr>
              <w:jc w:val="right"/>
            </w:pPr>
            <w:r>
              <w:rPr>
                <w:rFonts w:ascii="宋体" w:eastAsia="宋体" w:hAnsi="宋体" w:cs="宋体"/>
                <w:b w:val="0"/>
                <w:i w:val="0"/>
                <w:color w:val="000000"/>
                <w:sz w:val="14"/>
              </w:rPr>
              <w:t xml:space="preserve">10.25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民主党派及工商联事务</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统战事务</w:t>
            </w:r>
          </w:p>
        </w:tc>
        <w:tc>
          <w:tcPr>
            <w:tcW w:w="1160" w:type="dxa"/>
            <w:tcBorders/>
            <w:vAlign w:val="center"/>
          </w:tcPr>
          <w:p>
            <w:pPr>
              <w:jc w:val="right"/>
            </w:pPr>
            <w:r>
              <w:rPr>
                <w:rFonts w:ascii="宋体" w:eastAsia="宋体" w:hAnsi="宋体" w:cs="宋体"/>
                <w:b w:val="0"/>
                <w:i w:val="0"/>
                <w:color w:val="000000"/>
                <w:sz w:val="14"/>
              </w:rPr>
              <w:t xml:space="preserve">139.01</w:t>
            </w:r>
          </w:p>
        </w:tc>
        <w:tc>
          <w:tcPr>
            <w:tcW w:w="1160" w:type="dxa"/>
            <w:tcBorders/>
            <w:vAlign w:val="center"/>
          </w:tcPr>
          <w:p>
            <w:pPr>
              <w:jc w:val="right"/>
            </w:pPr>
            <w:r>
              <w:rPr>
                <w:rFonts w:ascii="宋体" w:eastAsia="宋体" w:hAnsi="宋体" w:cs="宋体"/>
                <w:b w:val="0"/>
                <w:i w:val="0"/>
                <w:color w:val="000000"/>
                <w:sz w:val="14"/>
              </w:rPr>
              <w:t xml:space="preserve">139.01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132.10</w:t>
            </w:r>
          </w:p>
        </w:tc>
        <w:tc>
          <w:tcPr>
            <w:tcW w:w="1160" w:type="dxa"/>
            <w:tcBorders/>
            <w:vAlign w:val="center"/>
          </w:tcPr>
          <w:p>
            <w:pPr>
              <w:jc w:val="right"/>
            </w:pPr>
            <w:r>
              <w:rPr>
                <w:rFonts w:ascii="宋体" w:eastAsia="宋体" w:hAnsi="宋体" w:cs="宋体"/>
                <w:b w:val="0"/>
                <w:i w:val="0"/>
                <w:color w:val="000000"/>
                <w:sz w:val="14"/>
              </w:rPr>
              <w:t xml:space="preserve">132.10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3.71</w:t>
            </w:r>
          </w:p>
        </w:tc>
        <w:tc>
          <w:tcPr>
            <w:tcW w:w="1160" w:type="dxa"/>
            <w:tcBorders/>
            <w:vAlign w:val="center"/>
          </w:tcPr>
          <w:p>
            <w:pPr>
              <w:jc w:val="right"/>
            </w:pPr>
            <w:r>
              <w:rPr>
                <w:rFonts w:ascii="宋体" w:eastAsia="宋体" w:hAnsi="宋体" w:cs="宋体"/>
                <w:b w:val="0"/>
                <w:i w:val="0"/>
                <w:color w:val="000000"/>
                <w:sz w:val="14"/>
              </w:rPr>
              <w:t xml:space="preserve">3.71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宗教事务</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其他统战事务支出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18.64</w:t>
            </w:r>
          </w:p>
        </w:tc>
        <w:tc>
          <w:tcPr>
            <w:tcW w:w="1160" w:type="dxa"/>
            <w:tcBorders/>
            <w:vAlign w:val="center"/>
          </w:tcPr>
          <w:p>
            <w:pPr>
              <w:jc w:val="right"/>
            </w:pPr>
            <w:r>
              <w:rPr>
                <w:rFonts w:ascii="宋体" w:eastAsia="宋体" w:hAnsi="宋体" w:cs="宋体"/>
                <w:b w:val="0"/>
                <w:i w:val="0"/>
                <w:color w:val="000000"/>
                <w:sz w:val="14"/>
              </w:rPr>
              <w:t xml:space="preserve">18.64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18.27</w:t>
            </w:r>
          </w:p>
        </w:tc>
        <w:tc>
          <w:tcPr>
            <w:tcW w:w="1160" w:type="dxa"/>
            <w:tcBorders/>
            <w:vAlign w:val="center"/>
          </w:tcPr>
          <w:p>
            <w:pPr>
              <w:jc w:val="right"/>
            </w:pPr>
            <w:r>
              <w:rPr>
                <w:rFonts w:ascii="宋体" w:eastAsia="宋体" w:hAnsi="宋体" w:cs="宋体"/>
                <w:b w:val="0"/>
                <w:i w:val="0"/>
                <w:color w:val="000000"/>
                <w:sz w:val="14"/>
              </w:rPr>
              <w:t xml:space="preserve">18.27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17.27</w:t>
            </w:r>
          </w:p>
        </w:tc>
        <w:tc>
          <w:tcPr>
            <w:tcW w:w="1160" w:type="dxa"/>
            <w:tcBorders/>
            <w:vAlign w:val="center"/>
          </w:tcPr>
          <w:p>
            <w:pPr>
              <w:jc w:val="right"/>
            </w:pPr>
            <w:r>
              <w:rPr>
                <w:rFonts w:ascii="宋体" w:eastAsia="宋体" w:hAnsi="宋体" w:cs="宋体"/>
                <w:b w:val="0"/>
                <w:i w:val="0"/>
                <w:color w:val="000000"/>
                <w:sz w:val="14"/>
              </w:rPr>
              <w:t xml:space="preserve">17.27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6.61</w:t>
            </w:r>
          </w:p>
        </w:tc>
        <w:tc>
          <w:tcPr>
            <w:tcW w:w="1160" w:type="dxa"/>
            <w:tcBorders/>
            <w:vAlign w:val="center"/>
          </w:tcPr>
          <w:p>
            <w:pPr>
              <w:jc w:val="right"/>
            </w:pPr>
            <w:r>
              <w:rPr>
                <w:rFonts w:ascii="宋体" w:eastAsia="宋体" w:hAnsi="宋体" w:cs="宋体"/>
                <w:b w:val="0"/>
                <w:i w:val="0"/>
                <w:color w:val="000000"/>
                <w:sz w:val="14"/>
              </w:rPr>
              <w:t xml:space="preserve">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6.61</w:t>
            </w:r>
          </w:p>
        </w:tc>
        <w:tc>
          <w:tcPr>
            <w:tcW w:w="1160" w:type="dxa"/>
            <w:tcBorders/>
            <w:vAlign w:val="center"/>
          </w:tcPr>
          <w:p>
            <w:pPr>
              <w:jc w:val="right"/>
            </w:pPr>
            <w:r>
              <w:rPr>
                <w:rFonts w:ascii="宋体" w:eastAsia="宋体" w:hAnsi="宋体" w:cs="宋体"/>
                <w:b w:val="0"/>
                <w:i w:val="0"/>
                <w:color w:val="000000"/>
                <w:sz w:val="14"/>
              </w:rPr>
              <w:t xml:space="preserve">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6.53</w:t>
            </w:r>
          </w:p>
        </w:tc>
        <w:tc>
          <w:tcPr>
            <w:tcW w:w="1160" w:type="dxa"/>
            <w:tcBorders/>
            <w:vAlign w:val="center"/>
          </w:tcPr>
          <w:p>
            <w:pPr>
              <w:jc w:val="right"/>
            </w:pPr>
            <w:r>
              <w:rPr>
                <w:rFonts w:ascii="宋体" w:eastAsia="宋体" w:hAnsi="宋体" w:cs="宋体"/>
                <w:b w:val="0"/>
                <w:i w:val="0"/>
                <w:color w:val="000000"/>
                <w:sz w:val="14"/>
              </w:rPr>
              <w:t xml:space="preserve">6.53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jc w:val="right"/>
            </w:pPr>
            <w:r>
              <w:rPr>
                <w:rFonts w:ascii="宋体" w:eastAsia="宋体" w:hAnsi="宋体" w:cs="宋体"/>
                <w:b w:val="0"/>
                <w:i w:val="0"/>
                <w:color w:val="000000"/>
                <w:sz w:val="14"/>
              </w:rPr>
              <w:t xml:space="preserve">14.10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191.61</w:t>
            </w:r>
          </w:p>
        </w:tc>
        <w:tc>
          <w:tcPr>
            <w:tcW w:w="1120" w:type="dxa"/>
            <w:tcBorders/>
            <w:vAlign w:val="center"/>
          </w:tcPr>
          <w:p>
            <w:pPr>
              <w:jc w:val="right"/>
            </w:pPr>
            <w:r>
              <w:rPr>
                <w:rFonts w:ascii="宋体" w:eastAsia="宋体" w:hAnsi="宋体" w:cs="宋体"/>
                <w:b/>
                <w:i w:val="0"/>
                <w:color w:val="000000"/>
                <w:sz w:val="16"/>
              </w:rPr>
              <w:t xml:space="preserve">171.45</w:t>
            </w:r>
          </w:p>
        </w:tc>
        <w:tc>
          <w:tcPr>
            <w:tcW w:w="1120" w:type="dxa"/>
            <w:tcBorders/>
            <w:vAlign w:val="center"/>
          </w:tcPr>
          <w:p>
            <w:pPr>
              <w:jc w:val="right"/>
            </w:pPr>
            <w:r>
              <w:rPr>
                <w:rFonts w:ascii="宋体" w:eastAsia="宋体" w:hAnsi="宋体" w:cs="宋体"/>
                <w:b/>
                <w:i w:val="0"/>
                <w:color w:val="000000"/>
                <w:sz w:val="16"/>
              </w:rPr>
              <w:t xml:space="preserve">20.16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152.26</w:t>
            </w:r>
          </w:p>
        </w:tc>
        <w:tc>
          <w:tcPr>
            <w:tcW w:w="1120" w:type="dxa"/>
            <w:tcBorders/>
            <w:vAlign w:val="center"/>
          </w:tcPr>
          <w:p>
            <w:pPr>
              <w:jc w:val="right"/>
            </w:pPr>
            <w:r>
              <w:rPr>
                <w:rFonts w:ascii="宋体" w:eastAsia="宋体" w:hAnsi="宋体" w:cs="宋体"/>
                <w:b w:val="0"/>
                <w:i w:val="0"/>
                <w:color w:val="000000"/>
                <w:sz w:val="16"/>
              </w:rPr>
              <w:t xml:space="preserve">132.10</w:t>
            </w:r>
          </w:p>
        </w:tc>
        <w:tc>
          <w:tcPr>
            <w:tcW w:w="1120" w:type="dxa"/>
            <w:tcBorders/>
            <w:vAlign w:val="center"/>
          </w:tcPr>
          <w:p>
            <w:pPr>
              <w:jc w:val="right"/>
            </w:pPr>
            <w:r>
              <w:rPr>
                <w:rFonts w:ascii="宋体" w:eastAsia="宋体" w:hAnsi="宋体" w:cs="宋体"/>
                <w:b w:val="0"/>
                <w:i w:val="0"/>
                <w:color w:val="000000"/>
                <w:sz w:val="16"/>
              </w:rPr>
              <w:t xml:space="preserve">20.16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民族事务</w:t>
            </w:r>
          </w:p>
        </w:tc>
        <w:tc>
          <w:tcPr>
            <w:tcW w:w="1120" w:type="dxa"/>
            <w:tcBorders/>
            <w:vAlign w:val="center"/>
          </w:tcPr>
          <w:p>
            <w:pPr>
              <w:jc w:val="right"/>
            </w:pPr>
            <w:r>
              <w:rPr>
                <w:rFonts w:ascii="宋体" w:eastAsia="宋体" w:hAnsi="宋体" w:cs="宋体"/>
                <w:b w:val="0"/>
                <w:i w:val="0"/>
                <w:color w:val="000000"/>
                <w:sz w:val="16"/>
              </w:rPr>
              <w:t xml:space="preserve">10.25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2012304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民族工作专项</w:t>
            </w:r>
          </w:p>
        </w:tc>
        <w:tc>
          <w:tcPr>
            <w:tcW w:w="1120" w:type="dxa"/>
            <w:tcBorders/>
            <w:vAlign w:val="center"/>
          </w:tcPr>
          <w:p>
            <w:pPr>
              <w:jc w:val="right"/>
            </w:pPr>
            <w:r>
              <w:rPr>
                <w:rFonts w:ascii="宋体" w:eastAsia="宋体" w:hAnsi="宋体" w:cs="宋体"/>
                <w:b w:val="0"/>
                <w:i w:val="0"/>
                <w:color w:val="000000"/>
                <w:sz w:val="16"/>
              </w:rPr>
              <w:t xml:space="preserve">10.25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民主党派及工商联事务</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统战事务</w:t>
            </w:r>
          </w:p>
        </w:tc>
        <w:tc>
          <w:tcPr>
            <w:tcW w:w="1120" w:type="dxa"/>
            <w:tcBorders/>
            <w:vAlign w:val="center"/>
          </w:tcPr>
          <w:p>
            <w:pPr>
              <w:jc w:val="right"/>
            </w:pPr>
            <w:r>
              <w:rPr>
                <w:rFonts w:ascii="宋体" w:eastAsia="宋体" w:hAnsi="宋体" w:cs="宋体"/>
                <w:b w:val="0"/>
                <w:i w:val="0"/>
                <w:color w:val="000000"/>
                <w:sz w:val="16"/>
              </w:rPr>
              <w:t xml:space="preserve">139.01</w:t>
            </w:r>
          </w:p>
        </w:tc>
        <w:tc>
          <w:tcPr>
            <w:tcW w:w="1120" w:type="dxa"/>
            <w:tcBorders/>
            <w:vAlign w:val="center"/>
          </w:tcPr>
          <w:p>
            <w:pPr>
              <w:jc w:val="right"/>
            </w:pPr>
            <w:r>
              <w:rPr>
                <w:rFonts w:ascii="宋体" w:eastAsia="宋体" w:hAnsi="宋体" w:cs="宋体"/>
                <w:b w:val="0"/>
                <w:i w:val="0"/>
                <w:color w:val="000000"/>
                <w:sz w:val="16"/>
              </w:rPr>
              <w:t xml:space="preserve">132.10</w:t>
            </w:r>
          </w:p>
        </w:tc>
        <w:tc>
          <w:tcPr>
            <w:tcW w:w="1120" w:type="dxa"/>
            <w:tcBorders/>
            <w:vAlign w:val="center"/>
          </w:tcPr>
          <w:p>
            <w:pPr>
              <w:jc w:val="right"/>
            </w:pPr>
            <w:r>
              <w:rPr>
                <w:rFonts w:ascii="宋体" w:eastAsia="宋体" w:hAnsi="宋体" w:cs="宋体"/>
                <w:b w:val="0"/>
                <w:i w:val="0"/>
                <w:color w:val="000000"/>
                <w:sz w:val="16"/>
              </w:rPr>
              <w:t xml:space="preserve">6.91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132.10</w:t>
            </w:r>
          </w:p>
        </w:tc>
        <w:tc>
          <w:tcPr>
            <w:tcW w:w="1120" w:type="dxa"/>
            <w:tcBorders/>
            <w:vAlign w:val="center"/>
          </w:tcPr>
          <w:p>
            <w:pPr>
              <w:jc w:val="right"/>
            </w:pPr>
            <w:r>
              <w:rPr>
                <w:rFonts w:ascii="宋体" w:eastAsia="宋体" w:hAnsi="宋体" w:cs="宋体"/>
                <w:b w:val="0"/>
                <w:i w:val="0"/>
                <w:color w:val="000000"/>
                <w:sz w:val="16"/>
              </w:rPr>
              <w:t xml:space="preserve">132.10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3.71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宗教事务</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其他统战事务支出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18.64</w:t>
            </w:r>
          </w:p>
        </w:tc>
        <w:tc>
          <w:tcPr>
            <w:tcW w:w="1120" w:type="dxa"/>
            <w:tcBorders/>
            <w:vAlign w:val="center"/>
          </w:tcPr>
          <w:p>
            <w:pPr>
              <w:jc w:val="right"/>
            </w:pPr>
            <w:r>
              <w:rPr>
                <w:rFonts w:ascii="宋体" w:eastAsia="宋体" w:hAnsi="宋体" w:cs="宋体"/>
                <w:b w:val="0"/>
                <w:i w:val="0"/>
                <w:color w:val="000000"/>
                <w:sz w:val="16"/>
              </w:rPr>
              <w:t xml:space="preserve">18.64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18.27</w:t>
            </w:r>
          </w:p>
        </w:tc>
        <w:tc>
          <w:tcPr>
            <w:tcW w:w="1120" w:type="dxa"/>
            <w:tcBorders/>
            <w:vAlign w:val="center"/>
          </w:tcPr>
          <w:p>
            <w:pPr>
              <w:jc w:val="right"/>
            </w:pPr>
            <w:r>
              <w:rPr>
                <w:rFonts w:ascii="宋体" w:eastAsia="宋体" w:hAnsi="宋体" w:cs="宋体"/>
                <w:b w:val="0"/>
                <w:i w:val="0"/>
                <w:color w:val="000000"/>
                <w:sz w:val="16"/>
              </w:rPr>
              <w:t xml:space="preserve">18.27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17.27</w:t>
            </w:r>
          </w:p>
        </w:tc>
        <w:tc>
          <w:tcPr>
            <w:tcW w:w="1120" w:type="dxa"/>
            <w:tcBorders/>
            <w:vAlign w:val="center"/>
          </w:tcPr>
          <w:p>
            <w:pPr>
              <w:jc w:val="right"/>
            </w:pPr>
            <w:r>
              <w:rPr>
                <w:rFonts w:ascii="宋体" w:eastAsia="宋体" w:hAnsi="宋体" w:cs="宋体"/>
                <w:b w:val="0"/>
                <w:i w:val="0"/>
                <w:color w:val="000000"/>
                <w:sz w:val="16"/>
              </w:rPr>
              <w:t xml:space="preserve">17.27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6.61</w:t>
            </w:r>
          </w:p>
        </w:tc>
        <w:tc>
          <w:tcPr>
            <w:tcW w:w="1120" w:type="dxa"/>
            <w:tcBorders/>
            <w:vAlign w:val="center"/>
          </w:tcPr>
          <w:p>
            <w:pPr>
              <w:jc w:val="right"/>
            </w:pPr>
            <w:r>
              <w:rPr>
                <w:rFonts w:ascii="宋体" w:eastAsia="宋体" w:hAnsi="宋体" w:cs="宋体"/>
                <w:b w:val="0"/>
                <w:i w:val="0"/>
                <w:color w:val="000000"/>
                <w:sz w:val="16"/>
              </w:rPr>
              <w:t xml:space="preserve">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6.61</w:t>
            </w:r>
          </w:p>
        </w:tc>
        <w:tc>
          <w:tcPr>
            <w:tcW w:w="1120" w:type="dxa"/>
            <w:tcBorders/>
            <w:vAlign w:val="center"/>
          </w:tcPr>
          <w:p>
            <w:pPr>
              <w:jc w:val="right"/>
            </w:pPr>
            <w:r>
              <w:rPr>
                <w:rFonts w:ascii="宋体" w:eastAsia="宋体" w:hAnsi="宋体" w:cs="宋体"/>
                <w:b w:val="0"/>
                <w:i w:val="0"/>
                <w:color w:val="000000"/>
                <w:sz w:val="16"/>
              </w:rPr>
              <w:t xml:space="preserve">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6.53</w:t>
            </w:r>
          </w:p>
        </w:tc>
        <w:tc>
          <w:tcPr>
            <w:tcW w:w="1120" w:type="dxa"/>
            <w:tcBorders/>
            <w:vAlign w:val="center"/>
          </w:tcPr>
          <w:p>
            <w:pPr>
              <w:jc w:val="right"/>
            </w:pPr>
            <w:r>
              <w:rPr>
                <w:rFonts w:ascii="宋体" w:eastAsia="宋体" w:hAnsi="宋体" w:cs="宋体"/>
                <w:b w:val="0"/>
                <w:i w:val="0"/>
                <w:color w:val="000000"/>
                <w:sz w:val="16"/>
              </w:rPr>
              <w:t xml:space="preserve">6.53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14.10</w:t>
            </w:r>
          </w:p>
        </w:tc>
        <w:tc>
          <w:tcPr>
            <w:tcW w:w="1120" w:type="dxa"/>
            <w:tcBorders/>
            <w:vAlign w:val="center"/>
          </w:tcPr>
          <w:p>
            <w:pPr>
              <w:jc w:val="right"/>
            </w:pPr>
            <w:r>
              <w:rPr>
                <w:rFonts w:ascii="宋体" w:eastAsia="宋体" w:hAnsi="宋体" w:cs="宋体"/>
                <w:b w:val="0"/>
                <w:i w:val="0"/>
                <w:color w:val="000000"/>
                <w:sz w:val="16"/>
              </w:rPr>
              <w:t xml:space="preserve">14.10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14.10</w:t>
            </w:r>
          </w:p>
        </w:tc>
        <w:tc>
          <w:tcPr>
            <w:tcW w:w="1120" w:type="dxa"/>
            <w:tcBorders/>
            <w:vAlign w:val="center"/>
          </w:tcPr>
          <w:p>
            <w:pPr>
              <w:jc w:val="right"/>
            </w:pPr>
            <w:r>
              <w:rPr>
                <w:rFonts w:ascii="宋体" w:eastAsia="宋体" w:hAnsi="宋体" w:cs="宋体"/>
                <w:b w:val="0"/>
                <w:i w:val="0"/>
                <w:color w:val="000000"/>
                <w:sz w:val="16"/>
              </w:rPr>
              <w:t xml:space="preserve">14.10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14.10</w:t>
            </w:r>
          </w:p>
        </w:tc>
        <w:tc>
          <w:tcPr>
            <w:tcW w:w="1120" w:type="dxa"/>
            <w:tcBorders/>
            <w:vAlign w:val="center"/>
          </w:tcPr>
          <w:p>
            <w:pPr>
              <w:jc w:val="right"/>
            </w:pPr>
            <w:r>
              <w:rPr>
                <w:rFonts w:ascii="宋体" w:eastAsia="宋体" w:hAnsi="宋体" w:cs="宋体"/>
                <w:b w:val="0"/>
                <w:i w:val="0"/>
                <w:color w:val="000000"/>
                <w:sz w:val="16"/>
              </w:rPr>
              <w:t xml:space="preserve">14.10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152.26</w:t>
            </w:r>
          </w:p>
        </w:tc>
        <w:tc>
          <w:tcPr>
            <w:tcW w:w="1100" w:type="dxa"/>
            <w:tcBorders/>
            <w:vAlign w:val="center"/>
          </w:tcPr>
          <w:p>
            <w:pPr>
              <w:jc w:val="right"/>
            </w:pPr>
            <w:r>
              <w:rPr>
                <w:rFonts w:ascii="宋体" w:eastAsia="宋体" w:hAnsi="宋体" w:cs="宋体"/>
                <w:b w:val="0"/>
                <w:i w:val="0"/>
                <w:color w:val="000000"/>
                <w:sz w:val="14"/>
              </w:rPr>
              <w:t xml:space="preserve">152.26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18.65</w:t>
            </w:r>
          </w:p>
        </w:tc>
        <w:tc>
          <w:tcPr>
            <w:tcW w:w="1100" w:type="dxa"/>
            <w:tcBorders/>
            <w:vAlign w:val="center"/>
          </w:tcPr>
          <w:p>
            <w:pPr>
              <w:jc w:val="right"/>
            </w:pPr>
            <w:r>
              <w:rPr>
                <w:rFonts w:ascii="宋体" w:eastAsia="宋体" w:hAnsi="宋体" w:cs="宋体"/>
                <w:b w:val="0"/>
                <w:i w:val="0"/>
                <w:color w:val="000000"/>
                <w:sz w:val="14"/>
              </w:rPr>
              <w:t xml:space="preserve">18.65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6.60</w:t>
            </w:r>
          </w:p>
        </w:tc>
        <w:tc>
          <w:tcPr>
            <w:tcW w:w="1100" w:type="dxa"/>
            <w:tcBorders/>
            <w:vAlign w:val="center"/>
          </w:tcPr>
          <w:p>
            <w:pPr>
              <w:jc w:val="right"/>
            </w:pPr>
            <w:r>
              <w:rPr>
                <w:rFonts w:ascii="宋体" w:eastAsia="宋体" w:hAnsi="宋体" w:cs="宋体"/>
                <w:b w:val="0"/>
                <w:i w:val="0"/>
                <w:color w:val="000000"/>
                <w:sz w:val="14"/>
              </w:rPr>
              <w:t xml:space="preserve">6.60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14.10</w:t>
            </w:r>
          </w:p>
        </w:tc>
        <w:tc>
          <w:tcPr>
            <w:tcW w:w="1100" w:type="dxa"/>
            <w:tcBorders/>
            <w:vAlign w:val="center"/>
          </w:tcPr>
          <w:p>
            <w:pPr>
              <w:jc w:val="right"/>
            </w:pPr>
            <w:r>
              <w:rPr>
                <w:rFonts w:ascii="宋体" w:eastAsia="宋体" w:hAnsi="宋体" w:cs="宋体"/>
                <w:b w:val="0"/>
                <w:i w:val="0"/>
                <w:color w:val="000000"/>
                <w:sz w:val="14"/>
              </w:rPr>
              <w:t xml:space="preserve">14.10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1100" w:type="dxa"/>
            <w:tcBorders/>
            <w:vAlign w:val="center"/>
          </w:tcPr>
          <w:p>
            <w:pPr>
              <w:jc w:val="right"/>
            </w:pPr>
            <w:r>
              <w:rPr>
                <w:rFonts w:ascii="宋体" w:eastAsia="宋体" w:hAnsi="宋体" w:cs="宋体"/>
                <w:b w:val="0"/>
                <w:i w:val="0"/>
                <w:color w:val="000000"/>
                <w:sz w:val="14"/>
              </w:rPr>
              <w:t xml:space="preserve">191.61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191.61</w:t>
            </w:r>
          </w:p>
        </w:tc>
        <w:tc>
          <w:tcPr>
            <w:tcW w:w="1980" w:type="dxa"/>
            <w:tcBorders/>
            <w:vAlign w:val="center"/>
          </w:tcPr>
          <w:p>
            <w:pPr>
              <w:jc w:val="right"/>
            </w:pPr>
            <w:r>
              <w:rPr>
                <w:rFonts w:ascii="宋体" w:eastAsia="宋体" w:hAnsi="宋体" w:cs="宋体"/>
                <w:b/>
                <w:i w:val="0"/>
                <w:color w:val="000000"/>
                <w:sz w:val="20"/>
              </w:rPr>
              <w:t xml:space="preserve">171.45</w:t>
            </w:r>
          </w:p>
        </w:tc>
        <w:tc>
          <w:tcPr>
            <w:tcW w:w="1952" w:type="dxa"/>
            <w:tcBorders/>
            <w:vAlign w:val="center"/>
          </w:tcPr>
          <w:p>
            <w:pPr>
              <w:jc w:val="right"/>
            </w:pPr>
            <w:r>
              <w:rPr>
                <w:rFonts w:ascii="宋体" w:eastAsia="宋体" w:hAnsi="宋体" w:cs="宋体"/>
                <w:b/>
                <w:i w:val="0"/>
                <w:color w:val="000000"/>
                <w:sz w:val="20"/>
              </w:rPr>
              <w:t xml:space="preserve">20.16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152.26</w:t>
            </w:r>
          </w:p>
        </w:tc>
        <w:tc>
          <w:tcPr>
            <w:tcW w:w="1980" w:type="dxa"/>
            <w:tcBorders/>
            <w:vAlign w:val="center"/>
          </w:tcPr>
          <w:p>
            <w:pPr>
              <w:jc w:val="right"/>
            </w:pPr>
            <w:r>
              <w:rPr>
                <w:rFonts w:ascii="宋体" w:eastAsia="宋体" w:hAnsi="宋体" w:cs="宋体"/>
                <w:b w:val="0"/>
                <w:i w:val="0"/>
                <w:color w:val="000000"/>
                <w:sz w:val="20"/>
              </w:rPr>
              <w:t xml:space="preserve">132.10</w:t>
            </w:r>
          </w:p>
        </w:tc>
        <w:tc>
          <w:tcPr>
            <w:tcW w:w="1952" w:type="dxa"/>
            <w:tcBorders/>
            <w:vAlign w:val="center"/>
          </w:tcPr>
          <w:p>
            <w:pPr>
              <w:jc w:val="right"/>
            </w:pPr>
            <w:r>
              <w:rPr>
                <w:rFonts w:ascii="宋体" w:eastAsia="宋体" w:hAnsi="宋体" w:cs="宋体"/>
                <w:b w:val="0"/>
                <w:i w:val="0"/>
                <w:color w:val="000000"/>
                <w:sz w:val="20"/>
              </w:rPr>
              <w:t xml:space="preserve">20.16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民族事务</w:t>
            </w:r>
          </w:p>
        </w:tc>
        <w:tc>
          <w:tcPr>
            <w:tcW w:w="1980" w:type="dxa"/>
            <w:tcBorders/>
            <w:vAlign w:val="center"/>
          </w:tcPr>
          <w:p>
            <w:pPr>
              <w:jc w:val="right"/>
            </w:pPr>
            <w:r>
              <w:rPr>
                <w:rFonts w:ascii="宋体" w:eastAsia="宋体" w:hAnsi="宋体" w:cs="宋体"/>
                <w:b w:val="0"/>
                <w:i w:val="0"/>
                <w:color w:val="000000"/>
                <w:sz w:val="20"/>
              </w:rPr>
              <w:t xml:space="preserve">10.25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2012304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民族工作专项</w:t>
            </w:r>
          </w:p>
        </w:tc>
        <w:tc>
          <w:tcPr>
            <w:tcW w:w="1980" w:type="dxa"/>
            <w:tcBorders/>
            <w:vAlign w:val="center"/>
          </w:tcPr>
          <w:p>
            <w:pPr>
              <w:jc w:val="right"/>
            </w:pPr>
            <w:r>
              <w:rPr>
                <w:rFonts w:ascii="宋体" w:eastAsia="宋体" w:hAnsi="宋体" w:cs="宋体"/>
                <w:b w:val="0"/>
                <w:i w:val="0"/>
                <w:color w:val="000000"/>
                <w:sz w:val="20"/>
              </w:rPr>
              <w:t xml:space="preserve">10.25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民主党派及工商联事务</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统战事务</w:t>
            </w:r>
          </w:p>
        </w:tc>
        <w:tc>
          <w:tcPr>
            <w:tcW w:w="1980" w:type="dxa"/>
            <w:tcBorders/>
            <w:vAlign w:val="center"/>
          </w:tcPr>
          <w:p>
            <w:pPr>
              <w:jc w:val="right"/>
            </w:pPr>
            <w:r>
              <w:rPr>
                <w:rFonts w:ascii="宋体" w:eastAsia="宋体" w:hAnsi="宋体" w:cs="宋体"/>
                <w:b w:val="0"/>
                <w:i w:val="0"/>
                <w:color w:val="000000"/>
                <w:sz w:val="20"/>
              </w:rPr>
              <w:t xml:space="preserve">139.01</w:t>
            </w:r>
          </w:p>
        </w:tc>
        <w:tc>
          <w:tcPr>
            <w:tcW w:w="1980" w:type="dxa"/>
            <w:tcBorders/>
            <w:vAlign w:val="center"/>
          </w:tcPr>
          <w:p>
            <w:pPr>
              <w:jc w:val="right"/>
            </w:pPr>
            <w:r>
              <w:rPr>
                <w:rFonts w:ascii="宋体" w:eastAsia="宋体" w:hAnsi="宋体" w:cs="宋体"/>
                <w:b w:val="0"/>
                <w:i w:val="0"/>
                <w:color w:val="000000"/>
                <w:sz w:val="20"/>
              </w:rPr>
              <w:t xml:space="preserve">132.10</w:t>
            </w:r>
          </w:p>
        </w:tc>
        <w:tc>
          <w:tcPr>
            <w:tcW w:w="1952" w:type="dxa"/>
            <w:tcBorders/>
            <w:vAlign w:val="center"/>
          </w:tcPr>
          <w:p>
            <w:pPr>
              <w:jc w:val="right"/>
            </w:pPr>
            <w:r>
              <w:rPr>
                <w:rFonts w:ascii="宋体" w:eastAsia="宋体" w:hAnsi="宋体" w:cs="宋体"/>
                <w:b w:val="0"/>
                <w:i w:val="0"/>
                <w:color w:val="000000"/>
                <w:sz w:val="20"/>
              </w:rPr>
              <w:t xml:space="preserve">6.91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132.10</w:t>
            </w:r>
          </w:p>
        </w:tc>
        <w:tc>
          <w:tcPr>
            <w:tcW w:w="1980" w:type="dxa"/>
            <w:tcBorders/>
            <w:vAlign w:val="center"/>
          </w:tcPr>
          <w:p>
            <w:pPr>
              <w:jc w:val="right"/>
            </w:pPr>
            <w:r>
              <w:rPr>
                <w:rFonts w:ascii="宋体" w:eastAsia="宋体" w:hAnsi="宋体" w:cs="宋体"/>
                <w:b w:val="0"/>
                <w:i w:val="0"/>
                <w:color w:val="000000"/>
                <w:sz w:val="20"/>
              </w:rPr>
              <w:t xml:space="preserve">132.10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3.71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宗教事务</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其他统战事务支出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18.64</w:t>
            </w:r>
          </w:p>
        </w:tc>
        <w:tc>
          <w:tcPr>
            <w:tcW w:w="1980" w:type="dxa"/>
            <w:tcBorders/>
            <w:vAlign w:val="center"/>
          </w:tcPr>
          <w:p>
            <w:pPr>
              <w:jc w:val="right"/>
            </w:pPr>
            <w:r>
              <w:rPr>
                <w:rFonts w:ascii="宋体" w:eastAsia="宋体" w:hAnsi="宋体" w:cs="宋体"/>
                <w:b w:val="0"/>
                <w:i w:val="0"/>
                <w:color w:val="000000"/>
                <w:sz w:val="20"/>
              </w:rPr>
              <w:t xml:space="preserve">18.64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18.27</w:t>
            </w:r>
          </w:p>
        </w:tc>
        <w:tc>
          <w:tcPr>
            <w:tcW w:w="1980" w:type="dxa"/>
            <w:tcBorders/>
            <w:vAlign w:val="center"/>
          </w:tcPr>
          <w:p>
            <w:pPr>
              <w:jc w:val="right"/>
            </w:pPr>
            <w:r>
              <w:rPr>
                <w:rFonts w:ascii="宋体" w:eastAsia="宋体" w:hAnsi="宋体" w:cs="宋体"/>
                <w:b w:val="0"/>
                <w:i w:val="0"/>
                <w:color w:val="000000"/>
                <w:sz w:val="20"/>
              </w:rPr>
              <w:t xml:space="preserve">18.27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17.27</w:t>
            </w:r>
          </w:p>
        </w:tc>
        <w:tc>
          <w:tcPr>
            <w:tcW w:w="1980" w:type="dxa"/>
            <w:tcBorders/>
            <w:vAlign w:val="center"/>
          </w:tcPr>
          <w:p>
            <w:pPr>
              <w:jc w:val="right"/>
            </w:pPr>
            <w:r>
              <w:rPr>
                <w:rFonts w:ascii="宋体" w:eastAsia="宋体" w:hAnsi="宋体" w:cs="宋体"/>
                <w:b w:val="0"/>
                <w:i w:val="0"/>
                <w:color w:val="000000"/>
                <w:sz w:val="20"/>
              </w:rPr>
              <w:t xml:space="preserve">17.27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6.61</w:t>
            </w:r>
          </w:p>
        </w:tc>
        <w:tc>
          <w:tcPr>
            <w:tcW w:w="1980" w:type="dxa"/>
            <w:tcBorders/>
            <w:vAlign w:val="center"/>
          </w:tcPr>
          <w:p>
            <w:pPr>
              <w:jc w:val="right"/>
            </w:pPr>
            <w:r>
              <w:rPr>
                <w:rFonts w:ascii="宋体" w:eastAsia="宋体" w:hAnsi="宋体" w:cs="宋体"/>
                <w:b w:val="0"/>
                <w:i w:val="0"/>
                <w:color w:val="000000"/>
                <w:sz w:val="20"/>
              </w:rPr>
              <w:t xml:space="preserve">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6.61</w:t>
            </w:r>
          </w:p>
        </w:tc>
        <w:tc>
          <w:tcPr>
            <w:tcW w:w="1980" w:type="dxa"/>
            <w:tcBorders/>
            <w:vAlign w:val="center"/>
          </w:tcPr>
          <w:p>
            <w:pPr>
              <w:jc w:val="right"/>
            </w:pPr>
            <w:r>
              <w:rPr>
                <w:rFonts w:ascii="宋体" w:eastAsia="宋体" w:hAnsi="宋体" w:cs="宋体"/>
                <w:b w:val="0"/>
                <w:i w:val="0"/>
                <w:color w:val="000000"/>
                <w:sz w:val="20"/>
              </w:rPr>
              <w:t xml:space="preserve">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6.53</w:t>
            </w:r>
          </w:p>
        </w:tc>
        <w:tc>
          <w:tcPr>
            <w:tcW w:w="1980" w:type="dxa"/>
            <w:tcBorders/>
            <w:vAlign w:val="center"/>
          </w:tcPr>
          <w:p>
            <w:pPr>
              <w:jc w:val="right"/>
            </w:pPr>
            <w:r>
              <w:rPr>
                <w:rFonts w:ascii="宋体" w:eastAsia="宋体" w:hAnsi="宋体" w:cs="宋体"/>
                <w:b w:val="0"/>
                <w:i w:val="0"/>
                <w:color w:val="000000"/>
                <w:sz w:val="20"/>
              </w:rPr>
              <w:t xml:space="preserve">6.53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80" w:type="dxa"/>
            <w:tcBorders/>
            <w:vAlign w:val="center"/>
          </w:tcPr>
          <w:p>
            <w:pPr>
              <w:jc w:val="right"/>
            </w:pPr>
            <w:r>
              <w:rPr>
                <w:rFonts w:ascii="宋体" w:eastAsia="宋体" w:hAnsi="宋体" w:cs="宋体"/>
                <w:b w:val="0"/>
                <w:i w:val="0"/>
                <w:color w:val="000000"/>
                <w:sz w:val="20"/>
              </w:rPr>
              <w:t xml:space="preserve">14.10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149.47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20.98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57.31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7.65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32.30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21.51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17.27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6.53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14.10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2.48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9.97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150.47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20.98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2.48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2.48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2.48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部门：中共辽宁省盘锦市大洼区委统一战线工作部</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004001中共盘锦市大洼区委统一战线工作部本级-211104000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156.06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156.06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126.59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126.59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充分发挥统战工作在市场经济发展和构建和谐社会中的重要作用。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有利于实现各民族共同繁荣</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规范管理</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有利于密切党同人民群众的关系</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企业劳动合同签订率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经济效益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联络商协会及其相关办事机构</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建立可持续发展方案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