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中共辽宁省盘锦市大洼区委机构编制委员会办公室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中共辽宁省盘锦市大洼区委机构编制委员会办公室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中共辽宁省盘锦市大洼区委机构编制委员会办公室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中共辽宁省盘锦市大洼区委机构编制委员会办公室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中共辽宁省盘锦市大洼区委机构编制委员会办公室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中共辽宁省盘锦市大洼区委机构编制委员会办公室概况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（一）在区委和区委编委会领导下，负责全区各级党委、人大、政府、政协、监委、民主党派、群众团体机关及事业单位管理体制和机构改革、机构编制管理工作。</w:t>
        <w:br/>
        <w:t xml:space="preserve">    （二）贯彻执行中央、省、市关于行政体制改革和机构编制管理的方针政策、法律法规，统筹谋划全区行政体制改革，负责党政群机构改革和事业单位改革，指导全区各级行政体制改革和机构编制管理工作。</w:t>
        <w:br/>
        <w:t xml:space="preserve">    （三）负责全区各级机关、事业单位机构编制总量管理和实名制管理，拟订全区各级机关行政编制分配方案和全区事业单位编制总量控制方案。</w:t>
        <w:br/>
        <w:t xml:space="preserve">    （四）拟订区级机关机构改革方案并组织实施，审核区级机关各部门机构改革方案。</w:t>
        <w:br/>
        <w:t xml:space="preserve">    （五）按照管理权限，负责区级机关机构设置、职责配置、人员编制和领导职数配备的审核和审批，负责区级议事协调机构日常管理，审核区级机关机构设置，协调区级机关各部门之间以及区级机关各部门与各镇（街道）之间职责分工。</w:t>
        <w:br/>
        <w:t xml:space="preserve">    （六）负责区直部门权责清单管理工作。</w:t>
        <w:br/>
        <w:t xml:space="preserve">    （七）拟订区直事业单位机构改革方案并组织实施，推进事业单位分类改革，配合行业管理体制改革，推进相关事业单位机构改革。</w:t>
        <w:br/>
        <w:t xml:space="preserve">    （八）按照管理权限，负责区直事业单位机构设置、职能配置、人员编制、领导职数、经费渠道等事项的审核和审批，贯彻执行事业单位编制标准。</w:t>
        <w:br/>
        <w:t xml:space="preserve">    （九）监督检查全区各级机构改革方案和机构编制管理政策、制度执行情况，党政群机构改革、事业单位机构改革政策落实情况，拟订全区控编减编方案并组织实施，建立机构编制工作考核评估制度，会同有关部门查处机构编制违法违纪行为。</w:t>
        <w:br/>
        <w:t xml:space="preserve">    （十）建立和完善全区事业单位法人登记制度，依法对全区事业单位进行登记管理，承办全区机关统一社会信用代码赋码工作。</w:t>
        <w:br/>
        <w:t xml:space="preserve">    （十一）参与人才队伍建设规划的制定，提出机构编制方面的政策建议。</w:t>
        <w:br/>
        <w:t xml:space="preserve">    （十二）完成区委和区委编委会交办的其他任务。</w:t>
        <w:br/>
        <w:t xml:space="preserve">    二、机构设置</w:t>
        <w:br/>
        <w:t xml:space="preserve">    根据本部门主要职责，内设机构如下：</w:t>
        <w:br/>
        <w:t xml:space="preserve">    1.党政综合室</w:t>
        <w:br/>
        <w:t xml:space="preserve">    负责机关日常文电、会务、档案管理、机要保密、文字综合、信息宣传、统计、信访工作和主任办公会议议定的重要工作事项的督查督办；负责机关及所属机构的财务、固定资产管理和后勤管理工作；负责机关及所属机构的机构编制和人事管理工作；承担人大代表建议、政协委员提案的协调办理工作。</w:t>
        <w:br/>
        <w:t xml:space="preserve">    2.行政编制室</w:t>
        <w:br/>
        <w:t xml:space="preserve">    拟订区直党群机关(包括区委、区人大、区政协、区监委、民主党派区委、区群众团体机关)机构改革方案并组织实施，审核区直党群机关及开发区机构设置、职能配置、人员编制和领导职数配备，负责镇街级党群机关机构改革方案的审核和备案，审核各镇街副科级以上党群机关机构设置和调整事项，负责涉及区直党群机关的议事协调机构日常管理工作，承担区直党群机关机构编制实名制管理工作，指导镇街以下党群机关机构改革和机构编制管理工作。</w:t>
        <w:br/>
        <w:t xml:space="preserve">    3.事业编制室</w:t>
        <w:br/>
        <w:t xml:space="preserve">    拟订全区事业单位机构改革方案，拟订区直事业单位机构改革方案并组织实施，拟订全区事业单位机构编制管理制度和编制总量控制方案并组织实施，贯彻执行事业单位编制标准，审核区直事业单位机构设置、职能配置、人员编制和领导职数配备、经费渠道和各镇街股级以上事业单位的机构设置及调整事项，承担区直事业单位机构编制实名制管理工作，指导镇街事业单位机构改革和机构编制管理工作。</w:t>
        <w:br/>
        <w:t xml:space="preserve">    4.监督检查室</w:t>
        <w:br/>
        <w:t xml:space="preserve">    负责全区党政群机构改革和事业单位改革工作落实情况的监督检查，负责对全区各级机关、事业单位贯彻执行机构编制法律法规、方针政策和“三定”规定情况的监督检查，拟订全区控编减编方案并组织实施，拟订全区各级机关和事业单位机构编制实名制管理制度，督促检查机构编制实名制落实情况，组织对镇街以下机构编制执行情况进行考核评估，负责受理违反机构编制法律、法规、纪律的检举和投诉，负责群众来信来访处理和“12310” 举报电话受理工作，对违反机构编制法律、法规、纪律问题进行调查核实并提出处理意见，负责开展机构编制违纪违法行为教育。指导镇街以下机构编制监督检查和机构编制实名制管理工作。负责机构编制监督检查工作与纪检、巡视、审计等部门间的协调配合。</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中共辽宁省盘锦市大洼区委机构编制委员会办公室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1.中共盘锦市大洼区委机构编制委员会办公室（本级）2.盘锦市大洼区人才储备中心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354.57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354.13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354.13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0.44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0.12</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增加26.92万元，增长8.22%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354.13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351.90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99.37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工资福利支出335.78万元；商品和服务支出15.43万元；对个人和家庭的补助0.69万元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0.63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主要包括新开发机构编制实名制系统等业务支出。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增加26.92万元，增长8.23%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0.45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主要是域名服务费等原因形成的结余。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354.13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351.90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增加27.21万元，增长8.32%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113.06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112.35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2023年度一般公共预算财政拨款支出354.13万元。按支出功能分类科目分，包括：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1.一般公共服务支出253.89万元，具体包括：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（1）一般公共服务支出（类）组织事务（款）行政运行（项）61.45万元,主要是人员经费和公用经费等支出，完成年初预算的107%，决算数与年初预算数存在差异的主要原因是人员经费和公用经费增加。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（2）一般公共服务支出（类）组织事务（款）一般行政管理事务（项）2.23万元,主要是新开发机构编制实名制系统等支出，完成年初预算的0%，决算数与年初预算数存在差异的主要原因是无年初预算。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（3）一般公共服务支出（类）组织事务（款）事业运行（项）190.21万元,主要是人员经费和公用经费等支出，完成年初预算的105%，决算数与年初预算数存在差异的主要原因是人员经费和公用经费增加。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2.社会保障和就业支出58.16万元，具体包括：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0.25万元,主要是退休独生子女费和取暖费等支出，完成年初预算的96%，决算数与年初预算数存在差异的主要原因是预算四舍五入进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（2）社会保障和就业支出（类）行政事业单位养老支出（款）事业单位离退休（项）0.26万元,主要是退休独生子女费和取暖费等支出，完成年初预算的100%，决算数与年初预算数存在差异的主要原因是无变化。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42.51万元,主要是养老保险等支出，完成年初预算的127%，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（4）社会保障和就业支出（类）行政事业单位养老支出（款）机关事业单位职业年金缴费支出（项）14.63万元,主要是职业年金等支出，完成年初预算的0%，决算数与年初预算数存在差异的主要原因是无。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（5）社会保障和就业支出（类）其他社会保障和就业支出（款）其他社会保障和就业支出（项）0.51万元,主要是工伤保险等支出，完成年初预算的119%，决算数与年初预算数存在差异的主要原因是基数调整。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（1）卫生健康支出（类）行政事业单位医疗（款）行政单位医疗（项）3.04万元,主要是医疗保险等支出，完成年初预算的92%，决算数与年初预算数存在差异的主要原因是人员调整。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（2）卫生健康支出（类）行政事业单位医疗（款）事业单位医疗（项）11.13万元,主要是医疗保险等支出，完成年初预算的98%，决算数与年初预算数存在差异的主要原因是人员调整。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（3）卫生健康支出（类）行政事业单位医疗（款）其他行政事业单位医疗支出（项）0.17万元,主要是大额保险等支出，完成年初预算的94%，决算数与年初预算数存在差异的主要原因是人员调整。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4.住房保障支出27.74万元，具体包括：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（1）住房保障支出（类）住房改革支出（款）住房公积金（项）27.74万元,主要是住房公积金等支出，完成年初预算的108%，决算数与年初预算数存在差异的主要原因是基数调整。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比上年减少0.34万元，降低23.94%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主要用于业务活动减少等，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351.90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336.47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15.43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9.45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比上年减少2.62万元，降低21.71%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业务活动减少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0.32</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0.32</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0.32</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0.32</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1个，涉及资金2.23万元，自评覆盖率（开展绩效自评的项目数/年初批复绩效目标的项目数）达到100%，自评平均分（开展绩效自评的项目分数总和/开展绩效自评的项目数）99.5分。组织对2个单位开展整体绩效自评，涉及资金313.22万元，自评平均分99.5分。</w:t>
        <w:br/>
        <w:t xml:space="preserve">    （2）部门评价情况。我部门组织对“新开发机构编制实名制系统”等1个项目开展了部门评价，涉及资金2.23万元。</w:t>
        <w:br/>
        <w:t xml:space="preserve">    2.部门决算中项目绩效自评结果。</w:t>
        <w:br/>
        <w:t xml:space="preserve">    （1）“新开发机构编制实名制系统”项目自评综述：根据年初设定的绩效目标，项目自评得分99.5分。项目年初预算数为0万元，执行数为2.23万元，完成预算的0%。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16.一般公共服务支出（类）组织事务（款）行政运行（项）：反映行政单位（包括实行公务员管理的事业单位）的基本支出。</w:t>
        <w:br/>
        <w:t xml:space="preserve">    17.一般公共服务支出（类）组织事务（款）事业运行（项）：反映事业单位的基本支出。 </w:t>
        <w:br/>
        <w:t xml:space="preserve">    18.一般公共服务支出（类）组织事务（款）一般行政管理事务（项）：反映行政单位（包括实行公务员管理的事业单位）未单独设置项级科目的其他项目支出。</w:t>
        <w:br/>
        <w:t xml:space="preserve">    19.社会保障和就业支出（类）行政事业单位离退休（款）行政单位离退休（项）：反映实行归口管理的行政单位开支的离退休经费。</w:t>
        <w:br/>
        <w:t xml:space="preserve">    20.社会保障和就业支出（类）行政事业单位养老支出（款）机关事业单位基本养老保险缴费支出（项）：反映机关事业单位实施养老保险制度由于单位缴纳的基本养老保险费用的支出</w:t>
        <w:br/>
        <w:t xml:space="preserve">    21.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22.卫生健康支出（类）行政事业单位医疗（款）其他行政事业单位医疗支出（项）：反映除上述项目以外的其他用于行政事业单位医疗方面的支出。</w:t>
        <w:br/>
        <w:t xml:space="preserve">    23.住房保障支出（类）住房改革支出（款）住房公积金（项）：反映行政事业单位按人力资源和社会保障部、财政部规定的基本工资和津贴补贴以及规定比例为职工缴纳的住房公积金。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354.13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253.88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58.16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27.74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354.13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354.13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0.44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354.57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354.57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354.13</w:t>
            </w:r>
          </w:p>
        </w:tc>
        <w:tc>
          <w:tcPr>
            <w:tcW w:w="1160" w:type="dxa"/>
            <w:tcBorders/>
            <w:vAlign w:val="center"/>
          </w:tcPr>
          <w:p>
            <w:pPr>
              <w:jc w:val="right"/>
            </w:pPr>
            <w:r>
              <w:rPr>
                <w:rFonts w:ascii="宋体" w:eastAsia="宋体" w:hAnsi="宋体" w:cs="宋体"/>
                <w:b/>
                <w:i w:val="0"/>
                <w:color w:val="000000"/>
                <w:sz w:val="14"/>
              </w:rPr>
              <w:t xml:space="preserve">354.13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253.89</w:t>
            </w:r>
          </w:p>
        </w:tc>
        <w:tc>
          <w:tcPr>
            <w:tcW w:w="1160" w:type="dxa"/>
            <w:tcBorders/>
            <w:vAlign w:val="center"/>
          </w:tcPr>
          <w:p>
            <w:pPr>
              <w:jc w:val="right"/>
            </w:pPr>
            <w:r>
              <w:rPr>
                <w:rFonts w:ascii="宋体" w:eastAsia="宋体" w:hAnsi="宋体" w:cs="宋体"/>
                <w:b w:val="0"/>
                <w:i w:val="0"/>
                <w:color w:val="000000"/>
                <w:sz w:val="14"/>
              </w:rPr>
              <w:t xml:space="preserve">253.89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253.89</w:t>
            </w:r>
          </w:p>
        </w:tc>
        <w:tc>
          <w:tcPr>
            <w:tcW w:w="1160" w:type="dxa"/>
            <w:tcBorders/>
            <w:vAlign w:val="center"/>
          </w:tcPr>
          <w:p>
            <w:pPr>
              <w:jc w:val="right"/>
            </w:pPr>
            <w:r>
              <w:rPr>
                <w:rFonts w:ascii="宋体" w:eastAsia="宋体" w:hAnsi="宋体" w:cs="宋体"/>
                <w:b w:val="0"/>
                <w:i w:val="0"/>
                <w:color w:val="000000"/>
                <w:sz w:val="14"/>
              </w:rPr>
              <w:t xml:space="preserve">253.89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61.45</w:t>
            </w:r>
          </w:p>
        </w:tc>
        <w:tc>
          <w:tcPr>
            <w:tcW w:w="1160" w:type="dxa"/>
            <w:tcBorders/>
            <w:vAlign w:val="center"/>
          </w:tcPr>
          <w:p>
            <w:pPr>
              <w:jc w:val="right"/>
            </w:pPr>
            <w:r>
              <w:rPr>
                <w:rFonts w:ascii="宋体" w:eastAsia="宋体" w:hAnsi="宋体" w:cs="宋体"/>
                <w:b w:val="0"/>
                <w:i w:val="0"/>
                <w:color w:val="000000"/>
                <w:sz w:val="14"/>
              </w:rPr>
              <w:t xml:space="preserve">61.45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57.65</w:t>
            </w:r>
          </w:p>
        </w:tc>
        <w:tc>
          <w:tcPr>
            <w:tcW w:w="1160" w:type="dxa"/>
            <w:tcBorders/>
            <w:vAlign w:val="center"/>
          </w:tcPr>
          <w:p>
            <w:pPr>
              <w:jc w:val="right"/>
            </w:pPr>
            <w:r>
              <w:rPr>
                <w:rFonts w:ascii="宋体" w:eastAsia="宋体" w:hAnsi="宋体" w:cs="宋体"/>
                <w:b w:val="0"/>
                <w:i w:val="0"/>
                <w:color w:val="000000"/>
                <w:sz w:val="14"/>
              </w:rPr>
              <w:t xml:space="preserve">57.65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42.51</w:t>
            </w:r>
          </w:p>
        </w:tc>
        <w:tc>
          <w:tcPr>
            <w:tcW w:w="1160" w:type="dxa"/>
            <w:tcBorders/>
            <w:vAlign w:val="center"/>
          </w:tcPr>
          <w:p>
            <w:pPr>
              <w:jc w:val="right"/>
            </w:pPr>
            <w:r>
              <w:rPr>
                <w:rFonts w:ascii="宋体" w:eastAsia="宋体" w:hAnsi="宋体" w:cs="宋体"/>
                <w:b w:val="0"/>
                <w:i w:val="0"/>
                <w:color w:val="000000"/>
                <w:sz w:val="14"/>
              </w:rPr>
              <w:t xml:space="preserve">42.51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14.63</w:t>
            </w:r>
          </w:p>
        </w:tc>
        <w:tc>
          <w:tcPr>
            <w:tcW w:w="1160" w:type="dxa"/>
            <w:tcBorders/>
            <w:vAlign w:val="center"/>
          </w:tcPr>
          <w:p>
            <w:pPr>
              <w:jc w:val="right"/>
            </w:pPr>
            <w:r>
              <w:rPr>
                <w:rFonts w:ascii="宋体" w:eastAsia="宋体" w:hAnsi="宋体" w:cs="宋体"/>
                <w:b w:val="0"/>
                <w:i w:val="0"/>
                <w:color w:val="000000"/>
                <w:sz w:val="14"/>
              </w:rPr>
              <w:t xml:space="preserve">14.63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jc w:val="right"/>
            </w:pPr>
            <w:r>
              <w:rPr>
                <w:rFonts w:ascii="宋体" w:eastAsia="宋体" w:hAnsi="宋体" w:cs="宋体"/>
                <w:b w:val="0"/>
                <w:i w:val="0"/>
                <w:color w:val="000000"/>
                <w:sz w:val="14"/>
              </w:rPr>
              <w:t xml:space="preserve">14.34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11.13</w:t>
            </w:r>
          </w:p>
        </w:tc>
        <w:tc>
          <w:tcPr>
            <w:tcW w:w="1160" w:type="dxa"/>
            <w:tcBorders/>
            <w:vAlign w:val="center"/>
          </w:tcPr>
          <w:p>
            <w:pPr>
              <w:jc w:val="right"/>
            </w:pPr>
            <w:r>
              <w:rPr>
                <w:rFonts w:ascii="宋体" w:eastAsia="宋体" w:hAnsi="宋体" w:cs="宋体"/>
                <w:b w:val="0"/>
                <w:i w:val="0"/>
                <w:color w:val="000000"/>
                <w:sz w:val="14"/>
              </w:rPr>
              <w:t xml:space="preserve">11.13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jc w:val="right"/>
            </w:pPr>
            <w:r>
              <w:rPr>
                <w:rFonts w:ascii="宋体" w:eastAsia="宋体" w:hAnsi="宋体" w:cs="宋体"/>
                <w:b w:val="0"/>
                <w:i w:val="0"/>
                <w:color w:val="000000"/>
                <w:sz w:val="14"/>
              </w:rPr>
              <w:t xml:space="preserve">27.74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354.13</w:t>
            </w:r>
          </w:p>
        </w:tc>
        <w:tc>
          <w:tcPr>
            <w:tcW w:w="1120" w:type="dxa"/>
            <w:tcBorders/>
            <w:vAlign w:val="center"/>
          </w:tcPr>
          <w:p>
            <w:pPr>
              <w:jc w:val="right"/>
            </w:pPr>
            <w:r>
              <w:rPr>
                <w:rFonts w:ascii="宋体" w:eastAsia="宋体" w:hAnsi="宋体" w:cs="宋体"/>
                <w:b/>
                <w:i w:val="0"/>
                <w:color w:val="000000"/>
                <w:sz w:val="16"/>
              </w:rPr>
              <w:t xml:space="preserve">351.90</w:t>
            </w:r>
          </w:p>
        </w:tc>
        <w:tc>
          <w:tcPr>
            <w:tcW w:w="1120" w:type="dxa"/>
            <w:tcBorders/>
            <w:vAlign w:val="center"/>
          </w:tcPr>
          <w:p>
            <w:pPr>
              <w:jc w:val="right"/>
            </w:pPr>
            <w:r>
              <w:rPr>
                <w:rFonts w:ascii="宋体" w:eastAsia="宋体" w:hAnsi="宋体" w:cs="宋体"/>
                <w:b/>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253.89</w:t>
            </w:r>
          </w:p>
        </w:tc>
        <w:tc>
          <w:tcPr>
            <w:tcW w:w="1120" w:type="dxa"/>
            <w:tcBorders/>
            <w:vAlign w:val="center"/>
          </w:tcPr>
          <w:p>
            <w:pPr>
              <w:jc w:val="right"/>
            </w:pPr>
            <w:r>
              <w:rPr>
                <w:rFonts w:ascii="宋体" w:eastAsia="宋体" w:hAnsi="宋体" w:cs="宋体"/>
                <w:b w:val="0"/>
                <w:i w:val="0"/>
                <w:color w:val="000000"/>
                <w:sz w:val="16"/>
              </w:rPr>
              <w:t xml:space="preserve">251.66</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253.89</w:t>
            </w:r>
          </w:p>
        </w:tc>
        <w:tc>
          <w:tcPr>
            <w:tcW w:w="1120" w:type="dxa"/>
            <w:tcBorders/>
            <w:vAlign w:val="center"/>
          </w:tcPr>
          <w:p>
            <w:pPr>
              <w:jc w:val="right"/>
            </w:pPr>
            <w:r>
              <w:rPr>
                <w:rFonts w:ascii="宋体" w:eastAsia="宋体" w:hAnsi="宋体" w:cs="宋体"/>
                <w:b w:val="0"/>
                <w:i w:val="0"/>
                <w:color w:val="000000"/>
                <w:sz w:val="16"/>
              </w:rPr>
              <w:t xml:space="preserve">251.66</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57.65</w:t>
            </w:r>
          </w:p>
        </w:tc>
        <w:tc>
          <w:tcPr>
            <w:tcW w:w="1120" w:type="dxa"/>
            <w:tcBorders/>
            <w:vAlign w:val="center"/>
          </w:tcPr>
          <w:p>
            <w:pPr>
              <w:jc w:val="right"/>
            </w:pPr>
            <w:r>
              <w:rPr>
                <w:rFonts w:ascii="宋体" w:eastAsia="宋体" w:hAnsi="宋体" w:cs="宋体"/>
                <w:b w:val="0"/>
                <w:i w:val="0"/>
                <w:color w:val="000000"/>
                <w:sz w:val="16"/>
              </w:rPr>
              <w:t xml:space="preserve">57.65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42.51</w:t>
            </w:r>
          </w:p>
        </w:tc>
        <w:tc>
          <w:tcPr>
            <w:tcW w:w="1120" w:type="dxa"/>
            <w:tcBorders/>
            <w:vAlign w:val="center"/>
          </w:tcPr>
          <w:p>
            <w:pPr>
              <w:jc w:val="right"/>
            </w:pPr>
            <w:r>
              <w:rPr>
                <w:rFonts w:ascii="宋体" w:eastAsia="宋体" w:hAnsi="宋体" w:cs="宋体"/>
                <w:b w:val="0"/>
                <w:i w:val="0"/>
                <w:color w:val="000000"/>
                <w:sz w:val="16"/>
              </w:rPr>
              <w:t xml:space="preserve">42.51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14.63</w:t>
            </w:r>
          </w:p>
        </w:tc>
        <w:tc>
          <w:tcPr>
            <w:tcW w:w="1120" w:type="dxa"/>
            <w:tcBorders/>
            <w:vAlign w:val="center"/>
          </w:tcPr>
          <w:p>
            <w:pPr>
              <w:jc w:val="right"/>
            </w:pPr>
            <w:r>
              <w:rPr>
                <w:rFonts w:ascii="宋体" w:eastAsia="宋体" w:hAnsi="宋体" w:cs="宋体"/>
                <w:b w:val="0"/>
                <w:i w:val="0"/>
                <w:color w:val="000000"/>
                <w:sz w:val="16"/>
              </w:rPr>
              <w:t xml:space="preserve">14.63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11.13</w:t>
            </w:r>
          </w:p>
        </w:tc>
        <w:tc>
          <w:tcPr>
            <w:tcW w:w="1120" w:type="dxa"/>
            <w:tcBorders/>
            <w:vAlign w:val="center"/>
          </w:tcPr>
          <w:p>
            <w:pPr>
              <w:jc w:val="right"/>
            </w:pPr>
            <w:r>
              <w:rPr>
                <w:rFonts w:ascii="宋体" w:eastAsia="宋体" w:hAnsi="宋体" w:cs="宋体"/>
                <w:b w:val="0"/>
                <w:i w:val="0"/>
                <w:color w:val="000000"/>
                <w:sz w:val="16"/>
              </w:rPr>
              <w:t xml:space="preserve">11.13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jc w:val="right"/>
            </w:pPr>
            <w:r>
              <w:rPr>
                <w:rFonts w:ascii="宋体" w:eastAsia="宋体" w:hAnsi="宋体" w:cs="宋体"/>
                <w:b w:val="0"/>
                <w:i w:val="0"/>
                <w:color w:val="000000"/>
                <w:sz w:val="16"/>
              </w:rPr>
              <w:t xml:space="preserve">27.74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253.88</w:t>
            </w:r>
          </w:p>
        </w:tc>
        <w:tc>
          <w:tcPr>
            <w:tcW w:w="1100" w:type="dxa"/>
            <w:tcBorders/>
            <w:vAlign w:val="center"/>
          </w:tcPr>
          <w:p>
            <w:pPr>
              <w:jc w:val="right"/>
            </w:pPr>
            <w:r>
              <w:rPr>
                <w:rFonts w:ascii="宋体" w:eastAsia="宋体" w:hAnsi="宋体" w:cs="宋体"/>
                <w:b w:val="0"/>
                <w:i w:val="0"/>
                <w:color w:val="000000"/>
                <w:sz w:val="14"/>
              </w:rPr>
              <w:t xml:space="preserve">253.88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58.16</w:t>
            </w:r>
          </w:p>
        </w:tc>
        <w:tc>
          <w:tcPr>
            <w:tcW w:w="1100" w:type="dxa"/>
            <w:tcBorders/>
            <w:vAlign w:val="center"/>
          </w:tcPr>
          <w:p>
            <w:pPr>
              <w:jc w:val="right"/>
            </w:pPr>
            <w:r>
              <w:rPr>
                <w:rFonts w:ascii="宋体" w:eastAsia="宋体" w:hAnsi="宋体" w:cs="宋体"/>
                <w:b w:val="0"/>
                <w:i w:val="0"/>
                <w:color w:val="000000"/>
                <w:sz w:val="14"/>
              </w:rPr>
              <w:t xml:space="preserve">58.16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14.34</w:t>
            </w:r>
          </w:p>
        </w:tc>
        <w:tc>
          <w:tcPr>
            <w:tcW w:w="1100" w:type="dxa"/>
            <w:tcBorders/>
            <w:vAlign w:val="center"/>
          </w:tcPr>
          <w:p>
            <w:pPr>
              <w:jc w:val="right"/>
            </w:pPr>
            <w:r>
              <w:rPr>
                <w:rFonts w:ascii="宋体" w:eastAsia="宋体" w:hAnsi="宋体" w:cs="宋体"/>
                <w:b w:val="0"/>
                <w:i w:val="0"/>
                <w:color w:val="000000"/>
                <w:sz w:val="14"/>
              </w:rPr>
              <w:t xml:space="preserve">14.34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27.74</w:t>
            </w:r>
          </w:p>
        </w:tc>
        <w:tc>
          <w:tcPr>
            <w:tcW w:w="1100" w:type="dxa"/>
            <w:tcBorders/>
            <w:vAlign w:val="center"/>
          </w:tcPr>
          <w:p>
            <w:pPr>
              <w:jc w:val="right"/>
            </w:pPr>
            <w:r>
              <w:rPr>
                <w:rFonts w:ascii="宋体" w:eastAsia="宋体" w:hAnsi="宋体" w:cs="宋体"/>
                <w:b w:val="0"/>
                <w:i w:val="0"/>
                <w:color w:val="000000"/>
                <w:sz w:val="14"/>
              </w:rPr>
              <w:t xml:space="preserve">27.74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1100" w:type="dxa"/>
            <w:tcBorders/>
            <w:vAlign w:val="center"/>
          </w:tcPr>
          <w:p>
            <w:pPr>
              <w:jc w:val="right"/>
            </w:pPr>
            <w:r>
              <w:rPr>
                <w:rFonts w:ascii="宋体" w:eastAsia="宋体" w:hAnsi="宋体" w:cs="宋体"/>
                <w:b w:val="0"/>
                <w:i w:val="0"/>
                <w:color w:val="000000"/>
                <w:sz w:val="14"/>
              </w:rPr>
              <w:t xml:space="preserve">354.13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354.13</w:t>
            </w:r>
          </w:p>
        </w:tc>
        <w:tc>
          <w:tcPr>
            <w:tcW w:w="1980" w:type="dxa"/>
            <w:tcBorders/>
            <w:vAlign w:val="center"/>
          </w:tcPr>
          <w:p>
            <w:pPr>
              <w:jc w:val="right"/>
            </w:pPr>
            <w:r>
              <w:rPr>
                <w:rFonts w:ascii="宋体" w:eastAsia="宋体" w:hAnsi="宋体" w:cs="宋体"/>
                <w:b/>
                <w:i w:val="0"/>
                <w:color w:val="000000"/>
                <w:sz w:val="20"/>
              </w:rPr>
              <w:t xml:space="preserve">351.90</w:t>
            </w:r>
          </w:p>
        </w:tc>
        <w:tc>
          <w:tcPr>
            <w:tcW w:w="1952" w:type="dxa"/>
            <w:tcBorders/>
            <w:vAlign w:val="center"/>
          </w:tcPr>
          <w:p>
            <w:pPr>
              <w:jc w:val="right"/>
            </w:pPr>
            <w:r>
              <w:rPr>
                <w:rFonts w:ascii="宋体" w:eastAsia="宋体" w:hAnsi="宋体" w:cs="宋体"/>
                <w:b/>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253.89</w:t>
            </w:r>
          </w:p>
        </w:tc>
        <w:tc>
          <w:tcPr>
            <w:tcW w:w="1980" w:type="dxa"/>
            <w:tcBorders/>
            <w:vAlign w:val="center"/>
          </w:tcPr>
          <w:p>
            <w:pPr>
              <w:jc w:val="right"/>
            </w:pPr>
            <w:r>
              <w:rPr>
                <w:rFonts w:ascii="宋体" w:eastAsia="宋体" w:hAnsi="宋体" w:cs="宋体"/>
                <w:b w:val="0"/>
                <w:i w:val="0"/>
                <w:color w:val="000000"/>
                <w:sz w:val="20"/>
              </w:rPr>
              <w:t xml:space="preserve">251.66</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253.89</w:t>
            </w:r>
          </w:p>
        </w:tc>
        <w:tc>
          <w:tcPr>
            <w:tcW w:w="1980" w:type="dxa"/>
            <w:tcBorders/>
            <w:vAlign w:val="center"/>
          </w:tcPr>
          <w:p>
            <w:pPr>
              <w:jc w:val="right"/>
            </w:pPr>
            <w:r>
              <w:rPr>
                <w:rFonts w:ascii="宋体" w:eastAsia="宋体" w:hAnsi="宋体" w:cs="宋体"/>
                <w:b w:val="0"/>
                <w:i w:val="0"/>
                <w:color w:val="000000"/>
                <w:sz w:val="20"/>
              </w:rPr>
              <w:t xml:space="preserve">251.66</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58.16</w:t>
            </w:r>
          </w:p>
        </w:tc>
        <w:tc>
          <w:tcPr>
            <w:tcW w:w="1980" w:type="dxa"/>
            <w:tcBorders/>
            <w:vAlign w:val="center"/>
          </w:tcPr>
          <w:p>
            <w:pPr>
              <w:jc w:val="right"/>
            </w:pPr>
            <w:r>
              <w:rPr>
                <w:rFonts w:ascii="宋体" w:eastAsia="宋体" w:hAnsi="宋体" w:cs="宋体"/>
                <w:b w:val="0"/>
                <w:i w:val="0"/>
                <w:color w:val="000000"/>
                <w:sz w:val="20"/>
              </w:rPr>
              <w:t xml:space="preserve">58.16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57.65</w:t>
            </w:r>
          </w:p>
        </w:tc>
        <w:tc>
          <w:tcPr>
            <w:tcW w:w="1980" w:type="dxa"/>
            <w:tcBorders/>
            <w:vAlign w:val="center"/>
          </w:tcPr>
          <w:p>
            <w:pPr>
              <w:jc w:val="right"/>
            </w:pPr>
            <w:r>
              <w:rPr>
                <w:rFonts w:ascii="宋体" w:eastAsia="宋体" w:hAnsi="宋体" w:cs="宋体"/>
                <w:b w:val="0"/>
                <w:i w:val="0"/>
                <w:color w:val="000000"/>
                <w:sz w:val="20"/>
              </w:rPr>
              <w:t xml:space="preserve">57.65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42.51</w:t>
            </w:r>
          </w:p>
        </w:tc>
        <w:tc>
          <w:tcPr>
            <w:tcW w:w="1980" w:type="dxa"/>
            <w:tcBorders/>
            <w:vAlign w:val="center"/>
          </w:tcPr>
          <w:p>
            <w:pPr>
              <w:jc w:val="right"/>
            </w:pPr>
            <w:r>
              <w:rPr>
                <w:rFonts w:ascii="宋体" w:eastAsia="宋体" w:hAnsi="宋体" w:cs="宋体"/>
                <w:b w:val="0"/>
                <w:i w:val="0"/>
                <w:color w:val="000000"/>
                <w:sz w:val="20"/>
              </w:rPr>
              <w:t xml:space="preserve">42.51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14.63</w:t>
            </w:r>
          </w:p>
        </w:tc>
        <w:tc>
          <w:tcPr>
            <w:tcW w:w="1980" w:type="dxa"/>
            <w:tcBorders/>
            <w:vAlign w:val="center"/>
          </w:tcPr>
          <w:p>
            <w:pPr>
              <w:jc w:val="right"/>
            </w:pPr>
            <w:r>
              <w:rPr>
                <w:rFonts w:ascii="宋体" w:eastAsia="宋体" w:hAnsi="宋体" w:cs="宋体"/>
                <w:b w:val="0"/>
                <w:i w:val="0"/>
                <w:color w:val="000000"/>
                <w:sz w:val="20"/>
              </w:rPr>
              <w:t xml:space="preserve">14.63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80" w:type="dxa"/>
            <w:tcBorders/>
            <w:vAlign w:val="center"/>
          </w:tcPr>
          <w:p>
            <w:pPr>
              <w:jc w:val="right"/>
            </w:pPr>
            <w:r>
              <w:rPr>
                <w:rFonts w:ascii="宋体" w:eastAsia="宋体" w:hAnsi="宋体" w:cs="宋体"/>
                <w:b w:val="0"/>
                <w:i w:val="0"/>
                <w:color w:val="000000"/>
                <w:sz w:val="20"/>
              </w:rPr>
              <w:t xml:space="preserve">14.34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11.13</w:t>
            </w:r>
          </w:p>
        </w:tc>
        <w:tc>
          <w:tcPr>
            <w:tcW w:w="1980" w:type="dxa"/>
            <w:tcBorders/>
            <w:vAlign w:val="center"/>
          </w:tcPr>
          <w:p>
            <w:pPr>
              <w:jc w:val="right"/>
            </w:pPr>
            <w:r>
              <w:rPr>
                <w:rFonts w:ascii="宋体" w:eastAsia="宋体" w:hAnsi="宋体" w:cs="宋体"/>
                <w:b w:val="0"/>
                <w:i w:val="0"/>
                <w:color w:val="000000"/>
                <w:sz w:val="20"/>
              </w:rPr>
              <w:t xml:space="preserve">11.13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80" w:type="dxa"/>
            <w:tcBorders/>
            <w:vAlign w:val="center"/>
          </w:tcPr>
          <w:p>
            <w:pPr>
              <w:jc w:val="right"/>
            </w:pPr>
            <w:r>
              <w:rPr>
                <w:rFonts w:ascii="宋体" w:eastAsia="宋体" w:hAnsi="宋体" w:cs="宋体"/>
                <w:b w:val="0"/>
                <w:i w:val="0"/>
                <w:color w:val="000000"/>
                <w:sz w:val="20"/>
              </w:rPr>
              <w:t xml:space="preserve">27.74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335.78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15.43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124.17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7.31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76.90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10.56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24.42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42.51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14.63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14.17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27.74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336.47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15.43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014001中共盘锦市大洼区委机构编制委员会办公室本级-211104000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8.91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61.73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完成全年各项工作任务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党的建设指标考核工作完成率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接待对象满意度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014002盘锦市大洼区人才储备中心-211104000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218.95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完成全年工作任务，保障单位运行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客户满意度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信访群众投诉满意率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