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中共辽宁省盘锦市大洼区纪律检查委员会（本级）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中共辽宁省盘锦市大洼区纪律检查委员会（本级）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中共辽宁省盘锦市大洼区纪律检查委员会（本级）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中共辽宁省盘锦市大洼区纪律检查委员会（本级）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中共辽宁省盘锦市大洼区纪律检查委员会（本级）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中共辽宁省盘锦市大洼区纪律检查委员会（本级）概况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主管全区党的纪检监察工作。负责贯彻落实中央和省、市、区委关于加强党风廉政建设的决定，认真抓好反腐败斗争，维护党的章程和其他党内法规，检查党的路线、方针、政策和决议的执行情况。</w:t>
        <w:br/>
        <w:t xml:space="preserve">    大洼区纪律检查委员会与监察委员会合署办公，履行纪检、监察两项职责，实行一套工作机构，两个机关名称。</w:t>
        <w:br/>
        <w:t xml:space="preserve">    （一）主管全区党的纪律检查工作。负责贯彻落实中央和省、市、区委关于加强党风廉政建设的决定，认真抓好反腐败斗争，维护党的章程和其他党内法规，检查党的路线、方针、政策和决议的执行情况。</w:t>
        <w:br/>
        <w:t xml:space="preserve">    （二）主管全区行政监察工作。负责贯彻落实党中央、国务院和省、市、区委、政府有关行政监察工作的决定，监督检查区政府各部门及其工作人员和各镇人民政府及其主要负责人贯彻执行国家政策和法律法规、国民经济和社会发展计划及区政府颁发的决定、命令的情况。</w:t>
        <w:br/>
        <w:t xml:space="preserve">    （三）负责检查并处理区委、区政府机关各部门、各镇党组织和区委管理的党员领导干部违反党的章程及其他党内法规的案件，决定或取消对这些案件中的党员的处分；受理党员的控告和申诉，必要时直接查处下级党的纪律检查机关管辖范围内的比较重要或复杂的案件。</w:t>
        <w:br/>
        <w:t xml:space="preserve">    （四）负责调查处理区政府各部门及其工作人员和各镇人民政府及其负责人违反国家政策、法律、法规以及违反政纪的行为，并根据责任人所犯错误的情节轻重，按照《中华人民共和国行政监察法》规定给予行政处分（对涉及选举产生的领导干部按法定程序办理）；受理监察对象不服政纪处分的申诉，受理个人或单位对监察对象违纪行为的检举、控告。</w:t>
        <w:br/>
        <w:t xml:space="preserve">    （五）负责作出关于维护党纪的决定，制定全区党风党纪教育规划，配合有关部门做好党的纪检工作方针政策的宣传工作和对党员遵守纪律的教育工作。</w:t>
        <w:br/>
        <w:t xml:space="preserve">    （六）会同有关部门做好行政监察工作的方针、政策和法律法规的宣传工作，教育国家机关工作人员遵纪守法、为政清廉。</w:t>
        <w:br/>
        <w:t xml:space="preserve">    （七）负责对纪检监察工作理论及有关问题进行调查研究，拟定党纪条规和政策规定。</w:t>
        <w:br/>
        <w:t xml:space="preserve">    （八）负责全区纪检监察系统的组织建设，按照干部管理权限，对基层纪委和区直派驻纪检组领导干部进行考核和任免。</w:t>
        <w:br/>
        <w:t xml:space="preserve">    （九）组织和指导全区纪检、监察系统干部的培训工作。</w:t>
        <w:br/>
        <w:t xml:space="preserve">    （十）完成区委、区政府和市纪委授权和交办的其他任务。</w:t>
        <w:br/>
        <w:t xml:space="preserve">    根据本单位主要职责，内设机构如下：</w:t>
        <w:br/>
        <w:t xml:space="preserve">    中共盘锦市大洼区纪律检查委员会现有11个内设科室：办公室、党风政风监督室、信访室、案件监督管理室、纪检监察一室、纪检监察二室、纪检监察三室、纪检监察四室、纪检监察五室、纪检监察六室、案件审理室。</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中共辽宁省盘锦市大洼区纪律检查委员会（本级）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中共辽宁省盘锦市大洼区纪律检查委员会（本级）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880.97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880.82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99.98</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880.82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0.14</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0.02</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增加42.76万元，增长5.10%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880.86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832.85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94.55</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工资福利支出703.21万元；商品和服务支出89.14万元；对个人和家庭的补助33.01万元；资本性支出7.49万元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48.01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5.45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主要包括委托业务费、差旅费等业务支出。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增加42.65万元，增长5.09%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0.11</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主要是基本户银行利息等原因形成的结余。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增加0.11万元，增长0.00%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基本户银行利息结转</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880.82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832.82</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48.01</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增加42.62万元，增长5.08%</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92.48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104.43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30.97</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2023年度一般公共预算财政拨款支出880.82万元。按支出功能分类科目分，包括：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1.一般公共服务支出661.44万元，具体包括：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（1）一般公共服务支出（类）纪检监察事务（款）行政运行（项）613.43万元,主要是工资及办公经费等支出，完成年初预算的79.82%，决算数与年初预算数存在差异的主要原因是项目支出减少。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（2）一般公共服务支出（类）纪检监察事务（款）一般行政管理事务（项）48.01万元,主要是差旅费、委托业务费等支出，完成年初预算的30.1%，决算数与年初预算数存在差异的主要原因是项目支出减少。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2.社会保障和就业支出126.28万元，具体包括：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（1）社会保障和就业支出（类）行政事业单位养老支出（款）行政单位离退休（项）8.98万元,主要是取暖费等支出，完成年初预算的179.6%，决算数与年初预算数存在差异的主要原因是退休人员补贴增加。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75.85万元,主要是养老保险等支出，完成年初预算的95.12%，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（3）社会保障和就业支出（类）行政事业单位养老支出（款）机关事业单位职业年金缴费支出（项）16.07万元,主要是职业年金等支出，完成年初预算的0%，决算数与年初预算数存在差异的主要原因是人员调出。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（4）社会保障和就业支出（类）抚恤（款）死亡抚恤（项）23.73万元,主要是抚恤金等支出，完成年初预算的0%，决算数与年初预算数存在差异的主要原因是死亡人员未确定。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（5）社会保障和就业支出（类）其他社会保障和就业支出（款）其他社会保障和就业支出（项）1.65万元,主要是工伤保险等支出，完成年初预算的165%，决算数与年初预算数存在差异的主要原因是调整缴费比例。</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3.卫生健康支出28.86万元，具体包括：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（1）卫生健康支出（类）行政事业单位医疗（款）行政单位医疗（项）28.46万元,主要是医疗保险等支出，完成年初预算的83.94%，决算数与年初预算数存在差异的主要原因是人员调出。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（2）卫生健康支出（类）行政事业单位医疗（款）其他行政事业单位医疗支出（项）0.40万元,主要是大额医疗保险等支出，完成年初预算的99.5%，决算数与年初预算数存在差异的主要原因是无差异。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4.住房保障支出64.26万元，具体包括：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（1）住房保障支出（类）住房改革支出（款）住房公积金（项）64.26万元,主要是公积金等支出，完成年初预算的99.6%，决算数与年初预算数存在差异的主要原因是基本持平。</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10.20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58.29</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经费未支出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10.20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10.20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58.29</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经费未支出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比上年增加3.14万元，增长44.48%</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公务用车使用数量增加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10.20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主要用于公务用车加油等，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5</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832.82</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736.22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96.60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96.60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比上年增加14.60万元，增长17.80%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项目支出增加、公车使用数量增加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2.11</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2.11</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100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5</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4</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绩效自评情况。根据预算绩效管理要求，我部门组织对2023年度预算项目支出全面开展绩效自评，共涉及预算支出项目6个，涉及资金155万元，自评覆盖率（开展绩效自评的项目数/年初批复绩效目标的项目数）达到100%，自评平均分（开展绩效自评的项目分数总和/开展绩效自评的项目数）65.79分。组织对1个单位开展整体绩效自评，涉及资金952.46万元，自评平均分100.</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单位：中共辽宁省盘锦市大洼区纪律检查委员会（本级）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880.82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661.46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0.00</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126.27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28.86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64.26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880.83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880.86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0.14</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0.11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880.97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880.97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单位：中共辽宁省盘锦市大洼区纪律检查委员会（本级）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880.83</w:t>
            </w:r>
          </w:p>
        </w:tc>
        <w:tc>
          <w:tcPr>
            <w:tcW w:w="1160" w:type="dxa"/>
            <w:tcBorders/>
            <w:vAlign w:val="center"/>
          </w:tcPr>
          <w:p>
            <w:pPr>
              <w:jc w:val="right"/>
            </w:pPr>
            <w:r>
              <w:rPr>
                <w:rFonts w:ascii="宋体" w:eastAsia="宋体" w:hAnsi="宋体" w:cs="宋体"/>
                <w:b/>
                <w:i w:val="0"/>
                <w:color w:val="000000"/>
                <w:sz w:val="14"/>
              </w:rPr>
              <w:t xml:space="preserve">880.82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661.44</w:t>
            </w:r>
          </w:p>
        </w:tc>
        <w:tc>
          <w:tcPr>
            <w:tcW w:w="1160" w:type="dxa"/>
            <w:tcBorders/>
            <w:vAlign w:val="center"/>
          </w:tcPr>
          <w:p>
            <w:pPr>
              <w:jc w:val="right"/>
            </w:pPr>
            <w:r>
              <w:rPr>
                <w:rFonts w:ascii="宋体" w:eastAsia="宋体" w:hAnsi="宋体" w:cs="宋体"/>
                <w:b w:val="0"/>
                <w:i w:val="0"/>
                <w:color w:val="000000"/>
                <w:sz w:val="14"/>
              </w:rPr>
              <w:t xml:space="preserve">661.44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纪检监察事务</w:t>
            </w:r>
          </w:p>
        </w:tc>
        <w:tc>
          <w:tcPr>
            <w:tcW w:w="1160" w:type="dxa"/>
            <w:tcBorders/>
            <w:vAlign w:val="center"/>
          </w:tcPr>
          <w:p>
            <w:pPr>
              <w:jc w:val="right"/>
            </w:pPr>
            <w:r>
              <w:rPr>
                <w:rFonts w:ascii="宋体" w:eastAsia="宋体" w:hAnsi="宋体" w:cs="宋体"/>
                <w:b w:val="0"/>
                <w:i w:val="0"/>
                <w:color w:val="000000"/>
                <w:sz w:val="14"/>
              </w:rPr>
              <w:t xml:space="preserve">661.44</w:t>
            </w:r>
          </w:p>
        </w:tc>
        <w:tc>
          <w:tcPr>
            <w:tcW w:w="1160" w:type="dxa"/>
            <w:tcBorders/>
            <w:vAlign w:val="center"/>
          </w:tcPr>
          <w:p>
            <w:pPr>
              <w:jc w:val="right"/>
            </w:pPr>
            <w:r>
              <w:rPr>
                <w:rFonts w:ascii="宋体" w:eastAsia="宋体" w:hAnsi="宋体" w:cs="宋体"/>
                <w:b w:val="0"/>
                <w:i w:val="0"/>
                <w:color w:val="000000"/>
                <w:sz w:val="14"/>
              </w:rPr>
              <w:t xml:space="preserve">661.44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613.43</w:t>
            </w:r>
          </w:p>
        </w:tc>
        <w:tc>
          <w:tcPr>
            <w:tcW w:w="1160" w:type="dxa"/>
            <w:tcBorders/>
            <w:vAlign w:val="center"/>
          </w:tcPr>
          <w:p>
            <w:pPr>
              <w:jc w:val="right"/>
            </w:pPr>
            <w:r>
              <w:rPr>
                <w:rFonts w:ascii="宋体" w:eastAsia="宋体" w:hAnsi="宋体" w:cs="宋体"/>
                <w:b w:val="0"/>
                <w:i w:val="0"/>
                <w:color w:val="000000"/>
                <w:sz w:val="14"/>
              </w:rPr>
              <w:t xml:space="preserve">613.43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48.01</w:t>
            </w:r>
          </w:p>
        </w:tc>
        <w:tc>
          <w:tcPr>
            <w:tcW w:w="1160" w:type="dxa"/>
            <w:tcBorders/>
            <w:vAlign w:val="center"/>
          </w:tcPr>
          <w:p>
            <w:pPr>
              <w:jc w:val="right"/>
            </w:pPr>
            <w:r>
              <w:rPr>
                <w:rFonts w:ascii="宋体" w:eastAsia="宋体" w:hAnsi="宋体" w:cs="宋体"/>
                <w:b w:val="0"/>
                <w:i w:val="0"/>
                <w:color w:val="000000"/>
                <w:sz w:val="14"/>
              </w:rPr>
              <w:t xml:space="preserve">48.01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126.28</w:t>
            </w:r>
          </w:p>
        </w:tc>
        <w:tc>
          <w:tcPr>
            <w:tcW w:w="1160" w:type="dxa"/>
            <w:tcBorders/>
            <w:vAlign w:val="center"/>
          </w:tcPr>
          <w:p>
            <w:pPr>
              <w:jc w:val="right"/>
            </w:pPr>
            <w:r>
              <w:rPr>
                <w:rFonts w:ascii="宋体" w:eastAsia="宋体" w:hAnsi="宋体" w:cs="宋体"/>
                <w:b w:val="0"/>
                <w:i w:val="0"/>
                <w:color w:val="000000"/>
                <w:sz w:val="14"/>
              </w:rPr>
              <w:t xml:space="preserve">126.28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100.90</w:t>
            </w:r>
          </w:p>
        </w:tc>
        <w:tc>
          <w:tcPr>
            <w:tcW w:w="1160" w:type="dxa"/>
            <w:tcBorders/>
            <w:vAlign w:val="center"/>
          </w:tcPr>
          <w:p>
            <w:pPr>
              <w:jc w:val="right"/>
            </w:pPr>
            <w:r>
              <w:rPr>
                <w:rFonts w:ascii="宋体" w:eastAsia="宋体" w:hAnsi="宋体" w:cs="宋体"/>
                <w:b w:val="0"/>
                <w:i w:val="0"/>
                <w:color w:val="000000"/>
                <w:sz w:val="14"/>
              </w:rPr>
              <w:t xml:space="preserve">100.90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8.98</w:t>
            </w:r>
          </w:p>
        </w:tc>
        <w:tc>
          <w:tcPr>
            <w:tcW w:w="1160" w:type="dxa"/>
            <w:tcBorders/>
            <w:vAlign w:val="center"/>
          </w:tcPr>
          <w:p>
            <w:pPr>
              <w:jc w:val="right"/>
            </w:pPr>
            <w:r>
              <w:rPr>
                <w:rFonts w:ascii="宋体" w:eastAsia="宋体" w:hAnsi="宋体" w:cs="宋体"/>
                <w:b w:val="0"/>
                <w:i w:val="0"/>
                <w:color w:val="000000"/>
                <w:sz w:val="14"/>
              </w:rPr>
              <w:t xml:space="preserve">8.98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75.85</w:t>
            </w:r>
          </w:p>
        </w:tc>
        <w:tc>
          <w:tcPr>
            <w:tcW w:w="1160" w:type="dxa"/>
            <w:tcBorders/>
            <w:vAlign w:val="center"/>
          </w:tcPr>
          <w:p>
            <w:pPr>
              <w:jc w:val="right"/>
            </w:pPr>
            <w:r>
              <w:rPr>
                <w:rFonts w:ascii="宋体" w:eastAsia="宋体" w:hAnsi="宋体" w:cs="宋体"/>
                <w:b w:val="0"/>
                <w:i w:val="0"/>
                <w:color w:val="000000"/>
                <w:sz w:val="14"/>
              </w:rPr>
              <w:t xml:space="preserve">75.85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16.07</w:t>
            </w:r>
          </w:p>
        </w:tc>
        <w:tc>
          <w:tcPr>
            <w:tcW w:w="1160" w:type="dxa"/>
            <w:tcBorders/>
            <w:vAlign w:val="center"/>
          </w:tcPr>
          <w:p>
            <w:pPr>
              <w:jc w:val="right"/>
            </w:pPr>
            <w:r>
              <w:rPr>
                <w:rFonts w:ascii="宋体" w:eastAsia="宋体" w:hAnsi="宋体" w:cs="宋体"/>
                <w:b w:val="0"/>
                <w:i w:val="0"/>
                <w:color w:val="000000"/>
                <w:sz w:val="14"/>
              </w:rPr>
              <w:t xml:space="preserve">16.07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23.73</w:t>
            </w:r>
          </w:p>
        </w:tc>
        <w:tc>
          <w:tcPr>
            <w:tcW w:w="1160" w:type="dxa"/>
            <w:tcBorders/>
            <w:vAlign w:val="center"/>
          </w:tcPr>
          <w:p>
            <w:pPr>
              <w:jc w:val="right"/>
            </w:pPr>
            <w:r>
              <w:rPr>
                <w:rFonts w:ascii="宋体" w:eastAsia="宋体" w:hAnsi="宋体" w:cs="宋体"/>
                <w:b w:val="0"/>
                <w:i w:val="0"/>
                <w:color w:val="000000"/>
                <w:sz w:val="14"/>
              </w:rPr>
              <w:t xml:space="preserve">23.73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23.73</w:t>
            </w:r>
          </w:p>
        </w:tc>
        <w:tc>
          <w:tcPr>
            <w:tcW w:w="1160" w:type="dxa"/>
            <w:tcBorders/>
            <w:vAlign w:val="center"/>
          </w:tcPr>
          <w:p>
            <w:pPr>
              <w:jc w:val="right"/>
            </w:pPr>
            <w:r>
              <w:rPr>
                <w:rFonts w:ascii="宋体" w:eastAsia="宋体" w:hAnsi="宋体" w:cs="宋体"/>
                <w:b w:val="0"/>
                <w:i w:val="0"/>
                <w:color w:val="000000"/>
                <w:sz w:val="14"/>
              </w:rPr>
              <w:t xml:space="preserve">23.73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1.65</w:t>
            </w:r>
          </w:p>
        </w:tc>
        <w:tc>
          <w:tcPr>
            <w:tcW w:w="1160" w:type="dxa"/>
            <w:tcBorders/>
            <w:vAlign w:val="center"/>
          </w:tcPr>
          <w:p>
            <w:pPr>
              <w:jc w:val="right"/>
            </w:pPr>
            <w:r>
              <w:rPr>
                <w:rFonts w:ascii="宋体" w:eastAsia="宋体" w:hAnsi="宋体" w:cs="宋体"/>
                <w:b w:val="0"/>
                <w:i w:val="0"/>
                <w:color w:val="000000"/>
                <w:sz w:val="14"/>
              </w:rPr>
              <w:t xml:space="preserve">1.65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1.65</w:t>
            </w:r>
          </w:p>
        </w:tc>
        <w:tc>
          <w:tcPr>
            <w:tcW w:w="1160" w:type="dxa"/>
            <w:tcBorders/>
            <w:vAlign w:val="center"/>
          </w:tcPr>
          <w:p>
            <w:pPr>
              <w:jc w:val="right"/>
            </w:pPr>
            <w:r>
              <w:rPr>
                <w:rFonts w:ascii="宋体" w:eastAsia="宋体" w:hAnsi="宋体" w:cs="宋体"/>
                <w:b w:val="0"/>
                <w:i w:val="0"/>
                <w:color w:val="000000"/>
                <w:sz w:val="14"/>
              </w:rPr>
              <w:t xml:space="preserve">1.65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28.86</w:t>
            </w:r>
          </w:p>
        </w:tc>
        <w:tc>
          <w:tcPr>
            <w:tcW w:w="1160" w:type="dxa"/>
            <w:tcBorders/>
            <w:vAlign w:val="center"/>
          </w:tcPr>
          <w:p>
            <w:pPr>
              <w:jc w:val="right"/>
            </w:pPr>
            <w:r>
              <w:rPr>
                <w:rFonts w:ascii="宋体" w:eastAsia="宋体" w:hAnsi="宋体" w:cs="宋体"/>
                <w:b w:val="0"/>
                <w:i w:val="0"/>
                <w:color w:val="000000"/>
                <w:sz w:val="14"/>
              </w:rPr>
              <w:t xml:space="preserve">28.86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28.86</w:t>
            </w:r>
          </w:p>
        </w:tc>
        <w:tc>
          <w:tcPr>
            <w:tcW w:w="1160" w:type="dxa"/>
            <w:tcBorders/>
            <w:vAlign w:val="center"/>
          </w:tcPr>
          <w:p>
            <w:pPr>
              <w:jc w:val="right"/>
            </w:pPr>
            <w:r>
              <w:rPr>
                <w:rFonts w:ascii="宋体" w:eastAsia="宋体" w:hAnsi="宋体" w:cs="宋体"/>
                <w:b w:val="0"/>
                <w:i w:val="0"/>
                <w:color w:val="000000"/>
                <w:sz w:val="14"/>
              </w:rPr>
              <w:t xml:space="preserve">28.86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28.46</w:t>
            </w:r>
          </w:p>
        </w:tc>
        <w:tc>
          <w:tcPr>
            <w:tcW w:w="1160" w:type="dxa"/>
            <w:tcBorders/>
            <w:vAlign w:val="center"/>
          </w:tcPr>
          <w:p>
            <w:pPr>
              <w:jc w:val="right"/>
            </w:pPr>
            <w:r>
              <w:rPr>
                <w:rFonts w:ascii="宋体" w:eastAsia="宋体" w:hAnsi="宋体" w:cs="宋体"/>
                <w:b w:val="0"/>
                <w:i w:val="0"/>
                <w:color w:val="000000"/>
                <w:sz w:val="14"/>
              </w:rPr>
              <w:t xml:space="preserve">28.46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0.40</w:t>
            </w:r>
          </w:p>
        </w:tc>
        <w:tc>
          <w:tcPr>
            <w:tcW w:w="1160" w:type="dxa"/>
            <w:tcBorders/>
            <w:vAlign w:val="center"/>
          </w:tcPr>
          <w:p>
            <w:pPr>
              <w:jc w:val="right"/>
            </w:pPr>
            <w:r>
              <w:rPr>
                <w:rFonts w:ascii="宋体" w:eastAsia="宋体" w:hAnsi="宋体" w:cs="宋体"/>
                <w:b w:val="0"/>
                <w:i w:val="0"/>
                <w:color w:val="000000"/>
                <w:sz w:val="14"/>
              </w:rPr>
              <w:t xml:space="preserve">0.40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64.26</w:t>
            </w:r>
          </w:p>
        </w:tc>
        <w:tc>
          <w:tcPr>
            <w:tcW w:w="1160" w:type="dxa"/>
            <w:tcBorders/>
            <w:vAlign w:val="center"/>
          </w:tcPr>
          <w:p>
            <w:pPr>
              <w:jc w:val="right"/>
            </w:pPr>
            <w:r>
              <w:rPr>
                <w:rFonts w:ascii="宋体" w:eastAsia="宋体" w:hAnsi="宋体" w:cs="宋体"/>
                <w:b w:val="0"/>
                <w:i w:val="0"/>
                <w:color w:val="000000"/>
                <w:sz w:val="14"/>
              </w:rPr>
              <w:t xml:space="preserve">64.26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64.26</w:t>
            </w:r>
          </w:p>
        </w:tc>
        <w:tc>
          <w:tcPr>
            <w:tcW w:w="1160" w:type="dxa"/>
            <w:tcBorders/>
            <w:vAlign w:val="center"/>
          </w:tcPr>
          <w:p>
            <w:pPr>
              <w:jc w:val="right"/>
            </w:pPr>
            <w:r>
              <w:rPr>
                <w:rFonts w:ascii="宋体" w:eastAsia="宋体" w:hAnsi="宋体" w:cs="宋体"/>
                <w:b w:val="0"/>
                <w:i w:val="0"/>
                <w:color w:val="000000"/>
                <w:sz w:val="14"/>
              </w:rPr>
              <w:t xml:space="preserve">64.26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64.26</w:t>
            </w:r>
          </w:p>
        </w:tc>
        <w:tc>
          <w:tcPr>
            <w:tcW w:w="1160" w:type="dxa"/>
            <w:tcBorders/>
            <w:vAlign w:val="center"/>
          </w:tcPr>
          <w:p>
            <w:pPr>
              <w:jc w:val="right"/>
            </w:pPr>
            <w:r>
              <w:rPr>
                <w:rFonts w:ascii="宋体" w:eastAsia="宋体" w:hAnsi="宋体" w:cs="宋体"/>
                <w:b w:val="0"/>
                <w:i w:val="0"/>
                <w:color w:val="000000"/>
                <w:sz w:val="14"/>
              </w:rPr>
              <w:t xml:space="preserve">64.26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单位：中共辽宁省盘锦市大洼区纪律检查委员会（本级）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880.86</w:t>
            </w:r>
          </w:p>
        </w:tc>
        <w:tc>
          <w:tcPr>
            <w:tcW w:w="1120" w:type="dxa"/>
            <w:tcBorders/>
            <w:vAlign w:val="center"/>
          </w:tcPr>
          <w:p>
            <w:pPr>
              <w:jc w:val="right"/>
            </w:pPr>
            <w:r>
              <w:rPr>
                <w:rFonts w:ascii="宋体" w:eastAsia="宋体" w:hAnsi="宋体" w:cs="宋体"/>
                <w:b/>
                <w:i w:val="0"/>
                <w:color w:val="000000"/>
                <w:sz w:val="16"/>
              </w:rPr>
              <w:t xml:space="preserve">832.85</w:t>
            </w:r>
          </w:p>
        </w:tc>
        <w:tc>
          <w:tcPr>
            <w:tcW w:w="1120" w:type="dxa"/>
            <w:tcBorders/>
            <w:vAlign w:val="center"/>
          </w:tcPr>
          <w:p>
            <w:pPr>
              <w:jc w:val="right"/>
            </w:pPr>
            <w:r>
              <w:rPr>
                <w:rFonts w:ascii="宋体" w:eastAsia="宋体" w:hAnsi="宋体" w:cs="宋体"/>
                <w:b/>
                <w:i w:val="0"/>
                <w:color w:val="000000"/>
                <w:sz w:val="16"/>
              </w:rPr>
              <w:t xml:space="preserve">48.01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661.47</w:t>
            </w:r>
          </w:p>
        </w:tc>
        <w:tc>
          <w:tcPr>
            <w:tcW w:w="1120" w:type="dxa"/>
            <w:tcBorders/>
            <w:vAlign w:val="center"/>
          </w:tcPr>
          <w:p>
            <w:pPr>
              <w:jc w:val="right"/>
            </w:pPr>
            <w:r>
              <w:rPr>
                <w:rFonts w:ascii="宋体" w:eastAsia="宋体" w:hAnsi="宋体" w:cs="宋体"/>
                <w:b w:val="0"/>
                <w:i w:val="0"/>
                <w:color w:val="000000"/>
                <w:sz w:val="16"/>
              </w:rPr>
              <w:t xml:space="preserve">613.46</w:t>
            </w:r>
          </w:p>
        </w:tc>
        <w:tc>
          <w:tcPr>
            <w:tcW w:w="1120" w:type="dxa"/>
            <w:tcBorders/>
            <w:vAlign w:val="center"/>
          </w:tcPr>
          <w:p>
            <w:pPr>
              <w:jc w:val="right"/>
            </w:pPr>
            <w:r>
              <w:rPr>
                <w:rFonts w:ascii="宋体" w:eastAsia="宋体" w:hAnsi="宋体" w:cs="宋体"/>
                <w:b w:val="0"/>
                <w:i w:val="0"/>
                <w:color w:val="000000"/>
                <w:sz w:val="16"/>
              </w:rPr>
              <w:t xml:space="preserve">48.01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纪检监察事务</w:t>
            </w:r>
          </w:p>
        </w:tc>
        <w:tc>
          <w:tcPr>
            <w:tcW w:w="1120" w:type="dxa"/>
            <w:tcBorders/>
            <w:vAlign w:val="center"/>
          </w:tcPr>
          <w:p>
            <w:pPr>
              <w:jc w:val="right"/>
            </w:pPr>
            <w:r>
              <w:rPr>
                <w:rFonts w:ascii="宋体" w:eastAsia="宋体" w:hAnsi="宋体" w:cs="宋体"/>
                <w:b w:val="0"/>
                <w:i w:val="0"/>
                <w:color w:val="000000"/>
                <w:sz w:val="16"/>
              </w:rPr>
              <w:t xml:space="preserve">661.47</w:t>
            </w:r>
          </w:p>
        </w:tc>
        <w:tc>
          <w:tcPr>
            <w:tcW w:w="1120" w:type="dxa"/>
            <w:tcBorders/>
            <w:vAlign w:val="center"/>
          </w:tcPr>
          <w:p>
            <w:pPr>
              <w:jc w:val="right"/>
            </w:pPr>
            <w:r>
              <w:rPr>
                <w:rFonts w:ascii="宋体" w:eastAsia="宋体" w:hAnsi="宋体" w:cs="宋体"/>
                <w:b w:val="0"/>
                <w:i w:val="0"/>
                <w:color w:val="000000"/>
                <w:sz w:val="16"/>
              </w:rPr>
              <w:t xml:space="preserve">613.46</w:t>
            </w:r>
          </w:p>
        </w:tc>
        <w:tc>
          <w:tcPr>
            <w:tcW w:w="1120" w:type="dxa"/>
            <w:tcBorders/>
            <w:vAlign w:val="center"/>
          </w:tcPr>
          <w:p>
            <w:pPr>
              <w:jc w:val="right"/>
            </w:pPr>
            <w:r>
              <w:rPr>
                <w:rFonts w:ascii="宋体" w:eastAsia="宋体" w:hAnsi="宋体" w:cs="宋体"/>
                <w:b w:val="0"/>
                <w:i w:val="0"/>
                <w:color w:val="000000"/>
                <w:sz w:val="16"/>
              </w:rPr>
              <w:t xml:space="preserve">48.01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613.46</w:t>
            </w:r>
          </w:p>
        </w:tc>
        <w:tc>
          <w:tcPr>
            <w:tcW w:w="1120" w:type="dxa"/>
            <w:tcBorders/>
            <w:vAlign w:val="center"/>
          </w:tcPr>
          <w:p>
            <w:pPr>
              <w:jc w:val="right"/>
            </w:pPr>
            <w:r>
              <w:rPr>
                <w:rFonts w:ascii="宋体" w:eastAsia="宋体" w:hAnsi="宋体" w:cs="宋体"/>
                <w:b w:val="0"/>
                <w:i w:val="0"/>
                <w:color w:val="000000"/>
                <w:sz w:val="16"/>
              </w:rPr>
              <w:t xml:space="preserve">613.46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48.01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48.01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126.28</w:t>
            </w:r>
          </w:p>
        </w:tc>
        <w:tc>
          <w:tcPr>
            <w:tcW w:w="1120" w:type="dxa"/>
            <w:tcBorders/>
            <w:vAlign w:val="center"/>
          </w:tcPr>
          <w:p>
            <w:pPr>
              <w:jc w:val="right"/>
            </w:pPr>
            <w:r>
              <w:rPr>
                <w:rFonts w:ascii="宋体" w:eastAsia="宋体" w:hAnsi="宋体" w:cs="宋体"/>
                <w:b w:val="0"/>
                <w:i w:val="0"/>
                <w:color w:val="000000"/>
                <w:sz w:val="16"/>
              </w:rPr>
              <w:t xml:space="preserve">126.28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100.90</w:t>
            </w:r>
          </w:p>
        </w:tc>
        <w:tc>
          <w:tcPr>
            <w:tcW w:w="1120" w:type="dxa"/>
            <w:tcBorders/>
            <w:vAlign w:val="center"/>
          </w:tcPr>
          <w:p>
            <w:pPr>
              <w:jc w:val="right"/>
            </w:pPr>
            <w:r>
              <w:rPr>
                <w:rFonts w:ascii="宋体" w:eastAsia="宋体" w:hAnsi="宋体" w:cs="宋体"/>
                <w:b w:val="0"/>
                <w:i w:val="0"/>
                <w:color w:val="000000"/>
                <w:sz w:val="16"/>
              </w:rPr>
              <w:t xml:space="preserve">100.90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8.98</w:t>
            </w:r>
          </w:p>
        </w:tc>
        <w:tc>
          <w:tcPr>
            <w:tcW w:w="1120" w:type="dxa"/>
            <w:tcBorders/>
            <w:vAlign w:val="center"/>
          </w:tcPr>
          <w:p>
            <w:pPr>
              <w:jc w:val="right"/>
            </w:pPr>
            <w:r>
              <w:rPr>
                <w:rFonts w:ascii="宋体" w:eastAsia="宋体" w:hAnsi="宋体" w:cs="宋体"/>
                <w:b w:val="0"/>
                <w:i w:val="0"/>
                <w:color w:val="000000"/>
                <w:sz w:val="16"/>
              </w:rPr>
              <w:t xml:space="preserve">8.98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75.85</w:t>
            </w:r>
          </w:p>
        </w:tc>
        <w:tc>
          <w:tcPr>
            <w:tcW w:w="1120" w:type="dxa"/>
            <w:tcBorders/>
            <w:vAlign w:val="center"/>
          </w:tcPr>
          <w:p>
            <w:pPr>
              <w:jc w:val="right"/>
            </w:pPr>
            <w:r>
              <w:rPr>
                <w:rFonts w:ascii="宋体" w:eastAsia="宋体" w:hAnsi="宋体" w:cs="宋体"/>
                <w:b w:val="0"/>
                <w:i w:val="0"/>
                <w:color w:val="000000"/>
                <w:sz w:val="16"/>
              </w:rPr>
              <w:t xml:space="preserve">75.85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16.07</w:t>
            </w:r>
          </w:p>
        </w:tc>
        <w:tc>
          <w:tcPr>
            <w:tcW w:w="1120" w:type="dxa"/>
            <w:tcBorders/>
            <w:vAlign w:val="center"/>
          </w:tcPr>
          <w:p>
            <w:pPr>
              <w:jc w:val="right"/>
            </w:pPr>
            <w:r>
              <w:rPr>
                <w:rFonts w:ascii="宋体" w:eastAsia="宋体" w:hAnsi="宋体" w:cs="宋体"/>
                <w:b w:val="0"/>
                <w:i w:val="0"/>
                <w:color w:val="000000"/>
                <w:sz w:val="16"/>
              </w:rPr>
              <w:t xml:space="preserve">16.07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23.73</w:t>
            </w:r>
          </w:p>
        </w:tc>
        <w:tc>
          <w:tcPr>
            <w:tcW w:w="1120" w:type="dxa"/>
            <w:tcBorders/>
            <w:vAlign w:val="center"/>
          </w:tcPr>
          <w:p>
            <w:pPr>
              <w:jc w:val="right"/>
            </w:pPr>
            <w:r>
              <w:rPr>
                <w:rFonts w:ascii="宋体" w:eastAsia="宋体" w:hAnsi="宋体" w:cs="宋体"/>
                <w:b w:val="0"/>
                <w:i w:val="0"/>
                <w:color w:val="000000"/>
                <w:sz w:val="16"/>
              </w:rPr>
              <w:t xml:space="preserve">23.73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23.73</w:t>
            </w:r>
          </w:p>
        </w:tc>
        <w:tc>
          <w:tcPr>
            <w:tcW w:w="1120" w:type="dxa"/>
            <w:tcBorders/>
            <w:vAlign w:val="center"/>
          </w:tcPr>
          <w:p>
            <w:pPr>
              <w:jc w:val="right"/>
            </w:pPr>
            <w:r>
              <w:rPr>
                <w:rFonts w:ascii="宋体" w:eastAsia="宋体" w:hAnsi="宋体" w:cs="宋体"/>
                <w:b w:val="0"/>
                <w:i w:val="0"/>
                <w:color w:val="000000"/>
                <w:sz w:val="16"/>
              </w:rPr>
              <w:t xml:space="preserve">23.73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1.65</w:t>
            </w:r>
          </w:p>
        </w:tc>
        <w:tc>
          <w:tcPr>
            <w:tcW w:w="1120" w:type="dxa"/>
            <w:tcBorders/>
            <w:vAlign w:val="center"/>
          </w:tcPr>
          <w:p>
            <w:pPr>
              <w:jc w:val="right"/>
            </w:pPr>
            <w:r>
              <w:rPr>
                <w:rFonts w:ascii="宋体" w:eastAsia="宋体" w:hAnsi="宋体" w:cs="宋体"/>
                <w:b w:val="0"/>
                <w:i w:val="0"/>
                <w:color w:val="000000"/>
                <w:sz w:val="16"/>
              </w:rPr>
              <w:t xml:space="preserve">1.65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1.65</w:t>
            </w:r>
          </w:p>
        </w:tc>
        <w:tc>
          <w:tcPr>
            <w:tcW w:w="1120" w:type="dxa"/>
            <w:tcBorders/>
            <w:vAlign w:val="center"/>
          </w:tcPr>
          <w:p>
            <w:pPr>
              <w:jc w:val="right"/>
            </w:pPr>
            <w:r>
              <w:rPr>
                <w:rFonts w:ascii="宋体" w:eastAsia="宋体" w:hAnsi="宋体" w:cs="宋体"/>
                <w:b w:val="0"/>
                <w:i w:val="0"/>
                <w:color w:val="000000"/>
                <w:sz w:val="16"/>
              </w:rPr>
              <w:t xml:space="preserve">1.65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28.86</w:t>
            </w:r>
          </w:p>
        </w:tc>
        <w:tc>
          <w:tcPr>
            <w:tcW w:w="1120" w:type="dxa"/>
            <w:tcBorders/>
            <w:vAlign w:val="center"/>
          </w:tcPr>
          <w:p>
            <w:pPr>
              <w:jc w:val="right"/>
            </w:pPr>
            <w:r>
              <w:rPr>
                <w:rFonts w:ascii="宋体" w:eastAsia="宋体" w:hAnsi="宋体" w:cs="宋体"/>
                <w:b w:val="0"/>
                <w:i w:val="0"/>
                <w:color w:val="000000"/>
                <w:sz w:val="16"/>
              </w:rPr>
              <w:t xml:space="preserve">28.86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28.86</w:t>
            </w:r>
          </w:p>
        </w:tc>
        <w:tc>
          <w:tcPr>
            <w:tcW w:w="1120" w:type="dxa"/>
            <w:tcBorders/>
            <w:vAlign w:val="center"/>
          </w:tcPr>
          <w:p>
            <w:pPr>
              <w:jc w:val="right"/>
            </w:pPr>
            <w:r>
              <w:rPr>
                <w:rFonts w:ascii="宋体" w:eastAsia="宋体" w:hAnsi="宋体" w:cs="宋体"/>
                <w:b w:val="0"/>
                <w:i w:val="0"/>
                <w:color w:val="000000"/>
                <w:sz w:val="16"/>
              </w:rPr>
              <w:t xml:space="preserve">28.86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28.46</w:t>
            </w:r>
          </w:p>
        </w:tc>
        <w:tc>
          <w:tcPr>
            <w:tcW w:w="1120" w:type="dxa"/>
            <w:tcBorders/>
            <w:vAlign w:val="center"/>
          </w:tcPr>
          <w:p>
            <w:pPr>
              <w:jc w:val="right"/>
            </w:pPr>
            <w:r>
              <w:rPr>
                <w:rFonts w:ascii="宋体" w:eastAsia="宋体" w:hAnsi="宋体" w:cs="宋体"/>
                <w:b w:val="0"/>
                <w:i w:val="0"/>
                <w:color w:val="000000"/>
                <w:sz w:val="16"/>
              </w:rPr>
              <w:t xml:space="preserve">28.46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0.40</w:t>
            </w:r>
          </w:p>
        </w:tc>
        <w:tc>
          <w:tcPr>
            <w:tcW w:w="1120" w:type="dxa"/>
            <w:tcBorders/>
            <w:vAlign w:val="center"/>
          </w:tcPr>
          <w:p>
            <w:pPr>
              <w:jc w:val="right"/>
            </w:pPr>
            <w:r>
              <w:rPr>
                <w:rFonts w:ascii="宋体" w:eastAsia="宋体" w:hAnsi="宋体" w:cs="宋体"/>
                <w:b w:val="0"/>
                <w:i w:val="0"/>
                <w:color w:val="000000"/>
                <w:sz w:val="16"/>
              </w:rPr>
              <w:t xml:space="preserve">0.40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64.26</w:t>
            </w:r>
          </w:p>
        </w:tc>
        <w:tc>
          <w:tcPr>
            <w:tcW w:w="1120" w:type="dxa"/>
            <w:tcBorders/>
            <w:vAlign w:val="center"/>
          </w:tcPr>
          <w:p>
            <w:pPr>
              <w:jc w:val="right"/>
            </w:pPr>
            <w:r>
              <w:rPr>
                <w:rFonts w:ascii="宋体" w:eastAsia="宋体" w:hAnsi="宋体" w:cs="宋体"/>
                <w:b w:val="0"/>
                <w:i w:val="0"/>
                <w:color w:val="000000"/>
                <w:sz w:val="16"/>
              </w:rPr>
              <w:t xml:space="preserve">64.26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64.26</w:t>
            </w:r>
          </w:p>
        </w:tc>
        <w:tc>
          <w:tcPr>
            <w:tcW w:w="1120" w:type="dxa"/>
            <w:tcBorders/>
            <w:vAlign w:val="center"/>
          </w:tcPr>
          <w:p>
            <w:pPr>
              <w:jc w:val="right"/>
            </w:pPr>
            <w:r>
              <w:rPr>
                <w:rFonts w:ascii="宋体" w:eastAsia="宋体" w:hAnsi="宋体" w:cs="宋体"/>
                <w:b w:val="0"/>
                <w:i w:val="0"/>
                <w:color w:val="000000"/>
                <w:sz w:val="16"/>
              </w:rPr>
              <w:t xml:space="preserve">64.26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64.26</w:t>
            </w:r>
          </w:p>
        </w:tc>
        <w:tc>
          <w:tcPr>
            <w:tcW w:w="1120" w:type="dxa"/>
            <w:tcBorders/>
            <w:vAlign w:val="center"/>
          </w:tcPr>
          <w:p>
            <w:pPr>
              <w:jc w:val="right"/>
            </w:pPr>
            <w:r>
              <w:rPr>
                <w:rFonts w:ascii="宋体" w:eastAsia="宋体" w:hAnsi="宋体" w:cs="宋体"/>
                <w:b w:val="0"/>
                <w:i w:val="0"/>
                <w:color w:val="000000"/>
                <w:sz w:val="16"/>
              </w:rPr>
              <w:t xml:space="preserve">64.26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单位：中共辽宁省盘锦市大洼区纪律检查委员会（本级）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880.82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661.43</w:t>
            </w:r>
          </w:p>
        </w:tc>
        <w:tc>
          <w:tcPr>
            <w:tcW w:w="1100" w:type="dxa"/>
            <w:tcBorders/>
            <w:vAlign w:val="center"/>
          </w:tcPr>
          <w:p>
            <w:pPr>
              <w:jc w:val="right"/>
            </w:pPr>
            <w:r>
              <w:rPr>
                <w:rFonts w:ascii="宋体" w:eastAsia="宋体" w:hAnsi="宋体" w:cs="宋体"/>
                <w:b w:val="0"/>
                <w:i w:val="0"/>
                <w:color w:val="000000"/>
                <w:sz w:val="14"/>
              </w:rPr>
              <w:t xml:space="preserve">661.43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126.27</w:t>
            </w:r>
          </w:p>
        </w:tc>
        <w:tc>
          <w:tcPr>
            <w:tcW w:w="1100" w:type="dxa"/>
            <w:tcBorders/>
            <w:vAlign w:val="center"/>
          </w:tcPr>
          <w:p>
            <w:pPr>
              <w:jc w:val="right"/>
            </w:pPr>
            <w:r>
              <w:rPr>
                <w:rFonts w:ascii="宋体" w:eastAsia="宋体" w:hAnsi="宋体" w:cs="宋体"/>
                <w:b w:val="0"/>
                <w:i w:val="0"/>
                <w:color w:val="000000"/>
                <w:sz w:val="14"/>
              </w:rPr>
              <w:t xml:space="preserve">126.27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28.86</w:t>
            </w:r>
          </w:p>
        </w:tc>
        <w:tc>
          <w:tcPr>
            <w:tcW w:w="1100" w:type="dxa"/>
            <w:tcBorders/>
            <w:vAlign w:val="center"/>
          </w:tcPr>
          <w:p>
            <w:pPr>
              <w:jc w:val="right"/>
            </w:pPr>
            <w:r>
              <w:rPr>
                <w:rFonts w:ascii="宋体" w:eastAsia="宋体" w:hAnsi="宋体" w:cs="宋体"/>
                <w:b w:val="0"/>
                <w:i w:val="0"/>
                <w:color w:val="000000"/>
                <w:sz w:val="14"/>
              </w:rPr>
              <w:t xml:space="preserve">28.86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64.26</w:t>
            </w:r>
          </w:p>
        </w:tc>
        <w:tc>
          <w:tcPr>
            <w:tcW w:w="1100" w:type="dxa"/>
            <w:tcBorders/>
            <w:vAlign w:val="center"/>
          </w:tcPr>
          <w:p>
            <w:pPr>
              <w:jc w:val="right"/>
            </w:pPr>
            <w:r>
              <w:rPr>
                <w:rFonts w:ascii="宋体" w:eastAsia="宋体" w:hAnsi="宋体" w:cs="宋体"/>
                <w:b w:val="0"/>
                <w:i w:val="0"/>
                <w:color w:val="000000"/>
                <w:sz w:val="14"/>
              </w:rPr>
              <w:t xml:space="preserve">64.26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880.82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880.82</w:t>
            </w:r>
          </w:p>
        </w:tc>
        <w:tc>
          <w:tcPr>
            <w:tcW w:w="1100" w:type="dxa"/>
            <w:tcBorders/>
            <w:vAlign w:val="center"/>
          </w:tcPr>
          <w:p>
            <w:pPr>
              <w:jc w:val="right"/>
            </w:pPr>
            <w:r>
              <w:rPr>
                <w:rFonts w:ascii="宋体" w:eastAsia="宋体" w:hAnsi="宋体" w:cs="宋体"/>
                <w:b w:val="0"/>
                <w:i w:val="0"/>
                <w:color w:val="000000"/>
                <w:sz w:val="14"/>
              </w:rPr>
              <w:t xml:space="preserve">880.82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880.82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880.82</w:t>
            </w:r>
          </w:p>
        </w:tc>
        <w:tc>
          <w:tcPr>
            <w:tcW w:w="1100" w:type="dxa"/>
            <w:tcBorders/>
            <w:vAlign w:val="center"/>
          </w:tcPr>
          <w:p>
            <w:pPr>
              <w:jc w:val="right"/>
            </w:pPr>
            <w:r>
              <w:rPr>
                <w:rFonts w:ascii="宋体" w:eastAsia="宋体" w:hAnsi="宋体" w:cs="宋体"/>
                <w:b w:val="0"/>
                <w:i w:val="0"/>
                <w:color w:val="000000"/>
                <w:sz w:val="14"/>
              </w:rPr>
              <w:t xml:space="preserve">880.82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单位：中共辽宁省盘锦市大洼区纪律检查委员会（本级）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880.82</w:t>
            </w:r>
          </w:p>
        </w:tc>
        <w:tc>
          <w:tcPr>
            <w:tcW w:w="1980" w:type="dxa"/>
            <w:tcBorders/>
            <w:vAlign w:val="center"/>
          </w:tcPr>
          <w:p>
            <w:pPr>
              <w:jc w:val="right"/>
            </w:pPr>
            <w:r>
              <w:rPr>
                <w:rFonts w:ascii="宋体" w:eastAsia="宋体" w:hAnsi="宋体" w:cs="宋体"/>
                <w:b/>
                <w:i w:val="0"/>
                <w:color w:val="000000"/>
                <w:sz w:val="20"/>
              </w:rPr>
              <w:t xml:space="preserve">832.82</w:t>
            </w:r>
          </w:p>
        </w:tc>
        <w:tc>
          <w:tcPr>
            <w:tcW w:w="1952" w:type="dxa"/>
            <w:tcBorders/>
            <w:vAlign w:val="center"/>
          </w:tcPr>
          <w:p>
            <w:pPr>
              <w:jc w:val="right"/>
            </w:pPr>
            <w:r>
              <w:rPr>
                <w:rFonts w:ascii="宋体" w:eastAsia="宋体" w:hAnsi="宋体" w:cs="宋体"/>
                <w:b/>
                <w:i w:val="0"/>
                <w:color w:val="000000"/>
                <w:sz w:val="20"/>
              </w:rPr>
              <w:t xml:space="preserve">48.01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661.44</w:t>
            </w:r>
          </w:p>
        </w:tc>
        <w:tc>
          <w:tcPr>
            <w:tcW w:w="1980" w:type="dxa"/>
            <w:tcBorders/>
            <w:vAlign w:val="center"/>
          </w:tcPr>
          <w:p>
            <w:pPr>
              <w:jc w:val="right"/>
            </w:pPr>
            <w:r>
              <w:rPr>
                <w:rFonts w:ascii="宋体" w:eastAsia="宋体" w:hAnsi="宋体" w:cs="宋体"/>
                <w:b w:val="0"/>
                <w:i w:val="0"/>
                <w:color w:val="000000"/>
                <w:sz w:val="20"/>
              </w:rPr>
              <w:t xml:space="preserve">613.43</w:t>
            </w:r>
          </w:p>
        </w:tc>
        <w:tc>
          <w:tcPr>
            <w:tcW w:w="1952" w:type="dxa"/>
            <w:tcBorders/>
            <w:vAlign w:val="center"/>
          </w:tcPr>
          <w:p>
            <w:pPr>
              <w:jc w:val="right"/>
            </w:pPr>
            <w:r>
              <w:rPr>
                <w:rFonts w:ascii="宋体" w:eastAsia="宋体" w:hAnsi="宋体" w:cs="宋体"/>
                <w:b w:val="0"/>
                <w:i w:val="0"/>
                <w:color w:val="000000"/>
                <w:sz w:val="20"/>
              </w:rPr>
              <w:t xml:space="preserve">48.01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纪检监察事务</w:t>
            </w:r>
          </w:p>
        </w:tc>
        <w:tc>
          <w:tcPr>
            <w:tcW w:w="1980" w:type="dxa"/>
            <w:tcBorders/>
            <w:vAlign w:val="center"/>
          </w:tcPr>
          <w:p>
            <w:pPr>
              <w:jc w:val="right"/>
            </w:pPr>
            <w:r>
              <w:rPr>
                <w:rFonts w:ascii="宋体" w:eastAsia="宋体" w:hAnsi="宋体" w:cs="宋体"/>
                <w:b w:val="0"/>
                <w:i w:val="0"/>
                <w:color w:val="000000"/>
                <w:sz w:val="20"/>
              </w:rPr>
              <w:t xml:space="preserve">661.44</w:t>
            </w:r>
          </w:p>
        </w:tc>
        <w:tc>
          <w:tcPr>
            <w:tcW w:w="1980" w:type="dxa"/>
            <w:tcBorders/>
            <w:vAlign w:val="center"/>
          </w:tcPr>
          <w:p>
            <w:pPr>
              <w:jc w:val="right"/>
            </w:pPr>
            <w:r>
              <w:rPr>
                <w:rFonts w:ascii="宋体" w:eastAsia="宋体" w:hAnsi="宋体" w:cs="宋体"/>
                <w:b w:val="0"/>
                <w:i w:val="0"/>
                <w:color w:val="000000"/>
                <w:sz w:val="20"/>
              </w:rPr>
              <w:t xml:space="preserve">613.43</w:t>
            </w:r>
          </w:p>
        </w:tc>
        <w:tc>
          <w:tcPr>
            <w:tcW w:w="1952" w:type="dxa"/>
            <w:tcBorders/>
            <w:vAlign w:val="center"/>
          </w:tcPr>
          <w:p>
            <w:pPr>
              <w:jc w:val="right"/>
            </w:pPr>
            <w:r>
              <w:rPr>
                <w:rFonts w:ascii="宋体" w:eastAsia="宋体" w:hAnsi="宋体" w:cs="宋体"/>
                <w:b w:val="0"/>
                <w:i w:val="0"/>
                <w:color w:val="000000"/>
                <w:sz w:val="20"/>
              </w:rPr>
              <w:t xml:space="preserve">48.01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613.43</w:t>
            </w:r>
          </w:p>
        </w:tc>
        <w:tc>
          <w:tcPr>
            <w:tcW w:w="1980" w:type="dxa"/>
            <w:tcBorders/>
            <w:vAlign w:val="center"/>
          </w:tcPr>
          <w:p>
            <w:pPr>
              <w:jc w:val="right"/>
            </w:pPr>
            <w:r>
              <w:rPr>
                <w:rFonts w:ascii="宋体" w:eastAsia="宋体" w:hAnsi="宋体" w:cs="宋体"/>
                <w:b w:val="0"/>
                <w:i w:val="0"/>
                <w:color w:val="000000"/>
                <w:sz w:val="20"/>
              </w:rPr>
              <w:t xml:space="preserve">613.43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48.01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48.01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126.28</w:t>
            </w:r>
          </w:p>
        </w:tc>
        <w:tc>
          <w:tcPr>
            <w:tcW w:w="1980" w:type="dxa"/>
            <w:tcBorders/>
            <w:vAlign w:val="center"/>
          </w:tcPr>
          <w:p>
            <w:pPr>
              <w:jc w:val="right"/>
            </w:pPr>
            <w:r>
              <w:rPr>
                <w:rFonts w:ascii="宋体" w:eastAsia="宋体" w:hAnsi="宋体" w:cs="宋体"/>
                <w:b w:val="0"/>
                <w:i w:val="0"/>
                <w:color w:val="000000"/>
                <w:sz w:val="20"/>
              </w:rPr>
              <w:t xml:space="preserve">126.28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100.90</w:t>
            </w:r>
          </w:p>
        </w:tc>
        <w:tc>
          <w:tcPr>
            <w:tcW w:w="1980" w:type="dxa"/>
            <w:tcBorders/>
            <w:vAlign w:val="center"/>
          </w:tcPr>
          <w:p>
            <w:pPr>
              <w:jc w:val="right"/>
            </w:pPr>
            <w:r>
              <w:rPr>
                <w:rFonts w:ascii="宋体" w:eastAsia="宋体" w:hAnsi="宋体" w:cs="宋体"/>
                <w:b w:val="0"/>
                <w:i w:val="0"/>
                <w:color w:val="000000"/>
                <w:sz w:val="20"/>
              </w:rPr>
              <w:t xml:space="preserve">100.90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8.98</w:t>
            </w:r>
          </w:p>
        </w:tc>
        <w:tc>
          <w:tcPr>
            <w:tcW w:w="1980" w:type="dxa"/>
            <w:tcBorders/>
            <w:vAlign w:val="center"/>
          </w:tcPr>
          <w:p>
            <w:pPr>
              <w:jc w:val="right"/>
            </w:pPr>
            <w:r>
              <w:rPr>
                <w:rFonts w:ascii="宋体" w:eastAsia="宋体" w:hAnsi="宋体" w:cs="宋体"/>
                <w:b w:val="0"/>
                <w:i w:val="0"/>
                <w:color w:val="000000"/>
                <w:sz w:val="20"/>
              </w:rPr>
              <w:t xml:space="preserve">8.98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75.85</w:t>
            </w:r>
          </w:p>
        </w:tc>
        <w:tc>
          <w:tcPr>
            <w:tcW w:w="1980" w:type="dxa"/>
            <w:tcBorders/>
            <w:vAlign w:val="center"/>
          </w:tcPr>
          <w:p>
            <w:pPr>
              <w:jc w:val="right"/>
            </w:pPr>
            <w:r>
              <w:rPr>
                <w:rFonts w:ascii="宋体" w:eastAsia="宋体" w:hAnsi="宋体" w:cs="宋体"/>
                <w:b w:val="0"/>
                <w:i w:val="0"/>
                <w:color w:val="000000"/>
                <w:sz w:val="20"/>
              </w:rPr>
              <w:t xml:space="preserve">75.85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16.07</w:t>
            </w:r>
          </w:p>
        </w:tc>
        <w:tc>
          <w:tcPr>
            <w:tcW w:w="1980" w:type="dxa"/>
            <w:tcBorders/>
            <w:vAlign w:val="center"/>
          </w:tcPr>
          <w:p>
            <w:pPr>
              <w:jc w:val="right"/>
            </w:pPr>
            <w:r>
              <w:rPr>
                <w:rFonts w:ascii="宋体" w:eastAsia="宋体" w:hAnsi="宋体" w:cs="宋体"/>
                <w:b w:val="0"/>
                <w:i w:val="0"/>
                <w:color w:val="000000"/>
                <w:sz w:val="20"/>
              </w:rPr>
              <w:t xml:space="preserve">16.07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23.73</w:t>
            </w:r>
          </w:p>
        </w:tc>
        <w:tc>
          <w:tcPr>
            <w:tcW w:w="1980" w:type="dxa"/>
            <w:tcBorders/>
            <w:vAlign w:val="center"/>
          </w:tcPr>
          <w:p>
            <w:pPr>
              <w:jc w:val="right"/>
            </w:pPr>
            <w:r>
              <w:rPr>
                <w:rFonts w:ascii="宋体" w:eastAsia="宋体" w:hAnsi="宋体" w:cs="宋体"/>
                <w:b w:val="0"/>
                <w:i w:val="0"/>
                <w:color w:val="000000"/>
                <w:sz w:val="20"/>
              </w:rPr>
              <w:t xml:space="preserve">23.73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23.73</w:t>
            </w:r>
          </w:p>
        </w:tc>
        <w:tc>
          <w:tcPr>
            <w:tcW w:w="1980" w:type="dxa"/>
            <w:tcBorders/>
            <w:vAlign w:val="center"/>
          </w:tcPr>
          <w:p>
            <w:pPr>
              <w:jc w:val="right"/>
            </w:pPr>
            <w:r>
              <w:rPr>
                <w:rFonts w:ascii="宋体" w:eastAsia="宋体" w:hAnsi="宋体" w:cs="宋体"/>
                <w:b w:val="0"/>
                <w:i w:val="0"/>
                <w:color w:val="000000"/>
                <w:sz w:val="20"/>
              </w:rPr>
              <w:t xml:space="preserve">23.73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1.65</w:t>
            </w:r>
          </w:p>
        </w:tc>
        <w:tc>
          <w:tcPr>
            <w:tcW w:w="1980" w:type="dxa"/>
            <w:tcBorders/>
            <w:vAlign w:val="center"/>
          </w:tcPr>
          <w:p>
            <w:pPr>
              <w:jc w:val="right"/>
            </w:pPr>
            <w:r>
              <w:rPr>
                <w:rFonts w:ascii="宋体" w:eastAsia="宋体" w:hAnsi="宋体" w:cs="宋体"/>
                <w:b w:val="0"/>
                <w:i w:val="0"/>
                <w:color w:val="000000"/>
                <w:sz w:val="20"/>
              </w:rPr>
              <w:t xml:space="preserve">1.65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1.65</w:t>
            </w:r>
          </w:p>
        </w:tc>
        <w:tc>
          <w:tcPr>
            <w:tcW w:w="1980" w:type="dxa"/>
            <w:tcBorders/>
            <w:vAlign w:val="center"/>
          </w:tcPr>
          <w:p>
            <w:pPr>
              <w:jc w:val="right"/>
            </w:pPr>
            <w:r>
              <w:rPr>
                <w:rFonts w:ascii="宋体" w:eastAsia="宋体" w:hAnsi="宋体" w:cs="宋体"/>
                <w:b w:val="0"/>
                <w:i w:val="0"/>
                <w:color w:val="000000"/>
                <w:sz w:val="20"/>
              </w:rPr>
              <w:t xml:space="preserve">1.65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28.86</w:t>
            </w:r>
          </w:p>
        </w:tc>
        <w:tc>
          <w:tcPr>
            <w:tcW w:w="1980" w:type="dxa"/>
            <w:tcBorders/>
            <w:vAlign w:val="center"/>
          </w:tcPr>
          <w:p>
            <w:pPr>
              <w:jc w:val="right"/>
            </w:pPr>
            <w:r>
              <w:rPr>
                <w:rFonts w:ascii="宋体" w:eastAsia="宋体" w:hAnsi="宋体" w:cs="宋体"/>
                <w:b w:val="0"/>
                <w:i w:val="0"/>
                <w:color w:val="000000"/>
                <w:sz w:val="20"/>
              </w:rPr>
              <w:t xml:space="preserve">28.86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28.86</w:t>
            </w:r>
          </w:p>
        </w:tc>
        <w:tc>
          <w:tcPr>
            <w:tcW w:w="1980" w:type="dxa"/>
            <w:tcBorders/>
            <w:vAlign w:val="center"/>
          </w:tcPr>
          <w:p>
            <w:pPr>
              <w:jc w:val="right"/>
            </w:pPr>
            <w:r>
              <w:rPr>
                <w:rFonts w:ascii="宋体" w:eastAsia="宋体" w:hAnsi="宋体" w:cs="宋体"/>
                <w:b w:val="0"/>
                <w:i w:val="0"/>
                <w:color w:val="000000"/>
                <w:sz w:val="20"/>
              </w:rPr>
              <w:t xml:space="preserve">28.86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28.46</w:t>
            </w:r>
          </w:p>
        </w:tc>
        <w:tc>
          <w:tcPr>
            <w:tcW w:w="1980" w:type="dxa"/>
            <w:tcBorders/>
            <w:vAlign w:val="center"/>
          </w:tcPr>
          <w:p>
            <w:pPr>
              <w:jc w:val="right"/>
            </w:pPr>
            <w:r>
              <w:rPr>
                <w:rFonts w:ascii="宋体" w:eastAsia="宋体" w:hAnsi="宋体" w:cs="宋体"/>
                <w:b w:val="0"/>
                <w:i w:val="0"/>
                <w:color w:val="000000"/>
                <w:sz w:val="20"/>
              </w:rPr>
              <w:t xml:space="preserve">28.46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0.40</w:t>
            </w:r>
          </w:p>
        </w:tc>
        <w:tc>
          <w:tcPr>
            <w:tcW w:w="1980" w:type="dxa"/>
            <w:tcBorders/>
            <w:vAlign w:val="center"/>
          </w:tcPr>
          <w:p>
            <w:pPr>
              <w:jc w:val="right"/>
            </w:pPr>
            <w:r>
              <w:rPr>
                <w:rFonts w:ascii="宋体" w:eastAsia="宋体" w:hAnsi="宋体" w:cs="宋体"/>
                <w:b w:val="0"/>
                <w:i w:val="0"/>
                <w:color w:val="000000"/>
                <w:sz w:val="20"/>
              </w:rPr>
              <w:t xml:space="preserve">0.40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64.26</w:t>
            </w:r>
          </w:p>
        </w:tc>
        <w:tc>
          <w:tcPr>
            <w:tcW w:w="1980" w:type="dxa"/>
            <w:tcBorders/>
            <w:vAlign w:val="center"/>
          </w:tcPr>
          <w:p>
            <w:pPr>
              <w:jc w:val="right"/>
            </w:pPr>
            <w:r>
              <w:rPr>
                <w:rFonts w:ascii="宋体" w:eastAsia="宋体" w:hAnsi="宋体" w:cs="宋体"/>
                <w:b w:val="0"/>
                <w:i w:val="0"/>
                <w:color w:val="000000"/>
                <w:sz w:val="20"/>
              </w:rPr>
              <w:t xml:space="preserve">64.26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64.26</w:t>
            </w:r>
          </w:p>
        </w:tc>
        <w:tc>
          <w:tcPr>
            <w:tcW w:w="1980" w:type="dxa"/>
            <w:tcBorders/>
            <w:vAlign w:val="center"/>
          </w:tcPr>
          <w:p>
            <w:pPr>
              <w:jc w:val="right"/>
            </w:pPr>
            <w:r>
              <w:rPr>
                <w:rFonts w:ascii="宋体" w:eastAsia="宋体" w:hAnsi="宋体" w:cs="宋体"/>
                <w:b w:val="0"/>
                <w:i w:val="0"/>
                <w:color w:val="000000"/>
                <w:sz w:val="20"/>
              </w:rPr>
              <w:t xml:space="preserve">64.26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64.26</w:t>
            </w:r>
          </w:p>
        </w:tc>
        <w:tc>
          <w:tcPr>
            <w:tcW w:w="1980" w:type="dxa"/>
            <w:tcBorders/>
            <w:vAlign w:val="center"/>
          </w:tcPr>
          <w:p>
            <w:pPr>
              <w:jc w:val="right"/>
            </w:pPr>
            <w:r>
              <w:rPr>
                <w:rFonts w:ascii="宋体" w:eastAsia="宋体" w:hAnsi="宋体" w:cs="宋体"/>
                <w:b w:val="0"/>
                <w:i w:val="0"/>
                <w:color w:val="000000"/>
                <w:sz w:val="20"/>
              </w:rPr>
              <w:t xml:space="preserve">64.26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单位：中共辽宁省盘锦市大洼区纪律检查委员会（本级）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703.21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89.11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244.44</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17.97</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173.10</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1.63</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97.67</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7.49</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7.49</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75.85</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16.07</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0.03</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27.90</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2.05</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8.45</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64.26</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0.57</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1.31</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33.01</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jc w:val="right"/>
            </w:pPr>
            <w:r>
              <w:rPr>
                <w:rFonts w:ascii="宋体" w:eastAsia="宋体" w:hAnsi="宋体" w:cs="宋体"/>
                <w:b w:val="0"/>
                <w:i w:val="0"/>
                <w:color w:val="000000"/>
                <w:sz w:val="14"/>
              </w:rPr>
              <w:t xml:space="preserve">0.90</w:t>
            </w: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0.58</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8.83</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23.73</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0.14</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10.20</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47.19</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0.31</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2.16</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736.22</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96.60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单位：中共辽宁省盘锦市大洼区纪律检查委员会（本级）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17.50</w:t>
            </w:r>
          </w:p>
        </w:tc>
        <w:tc>
          <w:tcPr>
            <w:tcW w:w="3092" w:type="dxa"/>
            <w:tcBorders/>
            <w:vAlign w:val="center"/>
          </w:tcPr>
          <w:p>
            <w:pPr>
              <w:jc w:val="right"/>
            </w:pPr>
            <w:r>
              <w:rPr>
                <w:rFonts w:ascii="宋体" w:eastAsia="宋体" w:hAnsi="宋体" w:cs="宋体"/>
                <w:b w:val="0"/>
                <w:i w:val="0"/>
                <w:color w:val="000000"/>
                <w:sz w:val="23"/>
              </w:rPr>
              <w:t xml:space="preserve">10.20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17.50</w:t>
            </w:r>
          </w:p>
        </w:tc>
        <w:tc>
          <w:tcPr>
            <w:tcW w:w="3092" w:type="dxa"/>
            <w:tcBorders/>
            <w:vAlign w:val="center"/>
          </w:tcPr>
          <w:p>
            <w:pPr>
              <w:jc w:val="right"/>
            </w:pPr>
            <w:r>
              <w:rPr>
                <w:rFonts w:ascii="宋体" w:eastAsia="宋体" w:hAnsi="宋体" w:cs="宋体"/>
                <w:b w:val="0"/>
                <w:i w:val="0"/>
                <w:color w:val="000000"/>
                <w:sz w:val="23"/>
              </w:rPr>
              <w:t xml:space="preserve">10.20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17.50</w:t>
            </w:r>
          </w:p>
        </w:tc>
        <w:tc>
          <w:tcPr>
            <w:tcW w:w="3092" w:type="dxa"/>
            <w:tcBorders/>
            <w:vAlign w:val="center"/>
          </w:tcPr>
          <w:p>
            <w:pPr>
              <w:jc w:val="right"/>
            </w:pPr>
            <w:r>
              <w:rPr>
                <w:rFonts w:ascii="宋体" w:eastAsia="宋体" w:hAnsi="宋体" w:cs="宋体"/>
                <w:b w:val="0"/>
                <w:i w:val="0"/>
                <w:color w:val="000000"/>
                <w:sz w:val="23"/>
              </w:rPr>
              <w:t xml:space="preserve">10.20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单位：中共辽宁省盘锦市大洼区纪律检查委员会（本级）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单位：中共辽宁省盘锦市大洼区纪律检查委员会（本级）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012001中共盘锦市大洼区纪律检查委员会本级-211104000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797.46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797.46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1.76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1.76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630.82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630.81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87.03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87.03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46.94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46.94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有序推进年度案件线索、纪律审查、监察调查工作提质增效，统筹推进党风廉政建设和反腐败工作高质量发展。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案件线索有序推进，纪律审查监察调查工作提质增效，党风廉政建设和反腐败工作高质量发展。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政治效益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有利于促进社会公平、正义</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主管部门满意度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上级主管部门满意度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体制机制改革</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统筹推进纪检监察体制改革</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持续深化</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100.00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纪检监察干部培训经费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中共盘锦市大洼区纪律检查委员会-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中共盘锦市大洼区纪律检查委员会本级-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深入开展纪检监察干部培训工作，提升纪检监察干部队伍素质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培训学员计划完成率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培训时间</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日</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268"/>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其他:未使用该项经费，授课人员均为纪检监察工作人员，传授实践工作中的经验和教训，提升办案质量。</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其他:未使用该项经费，授课人员均为纪检监察工作人员，传授实践工作中的经验和教训，提升办案质量。</w:t>
            </w:r>
          </w:p>
          <w:p>
            <w:pPr>
              <w:snapToGrid w:val="0"/>
              <w:spacing w:before="0" w:beforeAutospacing="0" w:after="0" w:afterAutospacing="0" w:line="240" w:lineRule="auto"/>
              <w:jc w:val="left"/>
              <w:rP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培训学员考试通过率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041"/>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基层人才培训合格率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其他:纪检监察人才涉及的知识面广，需要各个专业领域的知识储备，对人才的要求相对较高。。</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其他:纪检监察人才涉及的知识面广，需要各个专业领域的知识储备，对人才的要求相对较高。。</w:t>
            </w:r>
          </w:p>
          <w:p>
            <w:pPr>
              <w:snapToGrid w:val="0"/>
              <w:spacing w:before="0" w:beforeAutospacing="0" w:after="0" w:afterAutospacing="0" w:line="240" w:lineRule="auto"/>
              <w:jc w:val="left"/>
              <w:rP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运行可持续性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是否良好</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268"/>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其他:比较满意，还需进一步提高培训标准，争取让群众和服务对象都满意。以群众的需要为培训的主要目的。</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其他:比较满意，还需进一步提高培训标准，争取让群众和服务对象都满意。以群众的需要为培训的主要目的。</w:t>
            </w:r>
          </w:p>
          <w:p>
            <w:pPr>
              <w:snapToGrid w:val="0"/>
              <w:spacing w:before="0" w:beforeAutospacing="0" w:after="0" w:afterAutospacing="0" w:line="240" w:lineRule="auto"/>
              <w:jc w:val="left"/>
              <w:rP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80.2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21.2</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纪检监察派驻机构工作经费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中共盘锦市大洼区纪律检查委员会-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中共盘锦市大洼区纪律检查委员会本级-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派驻机构工作正常运转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巡查监管对象个数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监管单位数量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工作效率提升率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监管覆盖率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268"/>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推进生态文明建设</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精神文明</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其他:生态文明建设是一个长期的过程，派驻机构需要按职责分配持续监管各个单位，确保生态文明持续建设。</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其他:生态文明建设是一个长期的过程，派驻机构需要按职责分配持续监管各个单位，确保生态文明持续建设。</w:t>
            </w:r>
          </w:p>
          <w:p>
            <w:pPr>
              <w:snapToGrid w:val="0"/>
              <w:spacing w:before="0" w:beforeAutospacing="0" w:after="0" w:afterAutospacing="0" w:line="240" w:lineRule="auto"/>
              <w:jc w:val="left"/>
              <w:rPr/>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维护政府信誉</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信誉度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30.2</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纪律审查监察调查专案经费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中共盘锦市大洼区纪律检查委员会-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中共盘锦市大洼区纪律检查委员会本级-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35.08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97.43%</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为了全面优化提升案件查处的程序、效率、质量，推进全区纪律审查监察调查工作提质增效。</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确保办案安全，提高审查调查工作质量。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执法办案案件数量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件</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案件结案率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执法办案任务完成率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立案案件办结率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执法办案行为投诉率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政策可持续性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9.74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99.74</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开展巡查工作经费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中共盘锦市大洼区纪律检查委员会-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中共盘锦市大洼区纪律检查委员会本级-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确保巡察工作高效高质量开展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全年执法检查数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270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270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分析报告编写数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篇</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政策执行到位率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调查报告可用性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是否可用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维护国家权益</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巡察成效</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政策可持续性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是否稳定</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廉政警示教育基地运行维护费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中共盘锦市大洼区纪律检查委员会-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中共盘锦市大洼区纪律检查委员会本级-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大洼区廉政警示教育基地正式投入使用，保证教育基地正常运转。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廉政警示教育基地正常运转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接待人次</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接待团组数量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政策宣传覆盖率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正确引导舆论导向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导向正确</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维护政府信誉</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公信力</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廉政文化建设和反腐倡廉宣传经费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中共盘锦市大洼区纪律检查委员会-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中共盘锦市大洼区纪律检查委员会本级-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积极开展廉政文化建设和加强反腐倡廉工作的宣传</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专题宣传活动次数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党员教育、管理和服务人数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70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70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268"/>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加强群众理论素养培养</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意识培养</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部分达成预期指标并具有一定效果80%-60%（含）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4.97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其他:意识培养是一个长期且漫长的过程，需要不断的渗透和持续的培养学习，需要持续的坚持和和长久的韧劲。</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其他:意识培养是一个长期且漫长的过程，需要不断的渗透和持续的培养学习，需要持续的坚持和和长久的韧劲。</w:t>
            </w:r>
          </w:p>
          <w:p>
            <w:pPr>
              <w:snapToGrid w:val="0"/>
              <w:spacing w:before="0" w:beforeAutospacing="0" w:after="0" w:afterAutospacing="0" w:line="240" w:lineRule="auto"/>
              <w:jc w:val="left"/>
              <w:rP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正确引导舆论导向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方向正确</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政策可持续性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87.87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28.87</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